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FC040" w14:textId="77777777" w:rsidR="00596F51" w:rsidRPr="00AB0B42" w:rsidRDefault="005D0E98">
      <w:pPr>
        <w:spacing w:before="200" w:after="200"/>
        <w:jc w:val="both"/>
        <w:rPr>
          <w:b/>
          <w:bCs/>
          <w:color w:val="202124"/>
          <w:u w:color="202124"/>
        </w:rPr>
      </w:pPr>
      <w:r w:rsidRPr="00AB0B42">
        <w:rPr>
          <w:b/>
          <w:bCs/>
          <w:color w:val="202124"/>
          <w:u w:color="202124"/>
        </w:rPr>
        <w:t>Mechanical power and 30-day mortality in mechanically ventilated, critically ill patients with and without Coronavirus Disease-2019: A hospital registry study.</w:t>
      </w:r>
    </w:p>
    <w:p w14:paraId="0E9D3A5F" w14:textId="2D00285E" w:rsidR="00A41538" w:rsidRPr="00AB0B42" w:rsidRDefault="00A41538" w:rsidP="00A41538">
      <w:pPr>
        <w:spacing w:before="200" w:after="200"/>
        <w:rPr>
          <w:i/>
          <w:iCs/>
          <w:vertAlign w:val="superscript"/>
        </w:rPr>
      </w:pPr>
      <w:bookmarkStart w:id="0" w:name="_headingh.gjdgxs"/>
      <w:bookmarkEnd w:id="0"/>
      <w:r w:rsidRPr="00AB0B42">
        <w:t>Basit A. Azizi, cand. med.</w:t>
      </w:r>
      <w:r w:rsidRPr="00AB0B42">
        <w:rPr>
          <w:vertAlign w:val="superscript"/>
        </w:rPr>
        <w:t>1,2</w:t>
      </w:r>
      <w:r w:rsidRPr="00AB0B42">
        <w:t>, Ricardo Munoz-Acuna, MD</w:t>
      </w:r>
      <w:r w:rsidRPr="00AB0B42">
        <w:rPr>
          <w:vertAlign w:val="superscript"/>
        </w:rPr>
        <w:t>1,2</w:t>
      </w:r>
      <w:r w:rsidRPr="00AB0B42">
        <w:t xml:space="preserve">, </w:t>
      </w:r>
      <w:proofErr w:type="spellStart"/>
      <w:r w:rsidRPr="00AB0B42">
        <w:t>Aiman</w:t>
      </w:r>
      <w:proofErr w:type="spellEnd"/>
      <w:r w:rsidRPr="00AB0B42">
        <w:t xml:space="preserve"> Suleiman, MD, MSc</w:t>
      </w:r>
      <w:proofErr w:type="gramStart"/>
      <w:r w:rsidRPr="00AB0B42">
        <w:rPr>
          <w:vertAlign w:val="superscript"/>
        </w:rPr>
        <w:t>1,2,</w:t>
      </w:r>
      <w:r w:rsidRPr="00AB0B42">
        <w:t>,</w:t>
      </w:r>
      <w:proofErr w:type="gramEnd"/>
      <w:r w:rsidRPr="00AB0B42">
        <w:t xml:space="preserve"> Elena Ahrens, cand. med.</w:t>
      </w:r>
      <w:r w:rsidRPr="00AB0B42">
        <w:rPr>
          <w:vertAlign w:val="superscript"/>
        </w:rPr>
        <w:t>1,2</w:t>
      </w:r>
      <w:r w:rsidRPr="00AB0B42">
        <w:t xml:space="preserve">, Simone </w:t>
      </w:r>
      <w:proofErr w:type="spellStart"/>
      <w:r w:rsidRPr="00AB0B42">
        <w:t>Redaelli</w:t>
      </w:r>
      <w:proofErr w:type="spellEnd"/>
      <w:r w:rsidRPr="00AB0B42">
        <w:t>, MD</w:t>
      </w:r>
      <w:r w:rsidRPr="00AB0B42">
        <w:rPr>
          <w:vertAlign w:val="superscript"/>
        </w:rPr>
        <w:t>1,2</w:t>
      </w:r>
      <w:r w:rsidRPr="00AB0B42">
        <w:t xml:space="preserve">, Tim M. </w:t>
      </w:r>
      <w:proofErr w:type="spellStart"/>
      <w:r w:rsidRPr="00AB0B42">
        <w:t>Tartler</w:t>
      </w:r>
      <w:proofErr w:type="spellEnd"/>
      <w:r w:rsidRPr="00AB0B42">
        <w:t>, cand. med.</w:t>
      </w:r>
      <w:r w:rsidRPr="00AB0B42">
        <w:rPr>
          <w:vertAlign w:val="superscript"/>
        </w:rPr>
        <w:t>1,2</w:t>
      </w:r>
      <w:r w:rsidRPr="00AB0B42">
        <w:t xml:space="preserve">, </w:t>
      </w:r>
      <w:proofErr w:type="spellStart"/>
      <w:r w:rsidRPr="00AB0B42">
        <w:t>Guanqing</w:t>
      </w:r>
      <w:proofErr w:type="spellEnd"/>
      <w:r w:rsidRPr="00AB0B42">
        <w:t xml:space="preserve"> Chen, PhD</w:t>
      </w:r>
      <w:r w:rsidRPr="00AB0B42">
        <w:rPr>
          <w:vertAlign w:val="superscript"/>
        </w:rPr>
        <w:t>2</w:t>
      </w:r>
      <w:r w:rsidRPr="00AB0B42">
        <w:t>, Boris Jung, MD, PhD</w:t>
      </w:r>
      <w:r w:rsidRPr="00AB0B42">
        <w:rPr>
          <w:vertAlign w:val="superscript"/>
        </w:rPr>
        <w:t>1,2</w:t>
      </w:r>
      <w:r w:rsidRPr="00AB0B42">
        <w:t>, Daniel Talmor, MD, MPH</w:t>
      </w:r>
      <w:r w:rsidRPr="00AB0B42">
        <w:rPr>
          <w:vertAlign w:val="superscript"/>
        </w:rPr>
        <w:t>1</w:t>
      </w:r>
      <w:r w:rsidRPr="00AB0B42">
        <w:t xml:space="preserve">, Elias N. </w:t>
      </w:r>
      <w:proofErr w:type="spellStart"/>
      <w:r w:rsidRPr="00AB0B42">
        <w:t>Baedorf-Kassis</w:t>
      </w:r>
      <w:proofErr w:type="spellEnd"/>
      <w:r w:rsidRPr="00AB0B42">
        <w:t>, MD</w:t>
      </w:r>
      <w:r w:rsidRPr="00AB0B42">
        <w:rPr>
          <w:vertAlign w:val="superscript"/>
        </w:rPr>
        <w:t>3#</w:t>
      </w:r>
      <w:r w:rsidRPr="00AB0B42">
        <w:t>, Maximilian S. Schaefer, MD, PhD</w:t>
      </w:r>
      <w:r w:rsidRPr="00AB0B42">
        <w:rPr>
          <w:vertAlign w:val="superscript"/>
        </w:rPr>
        <w:t xml:space="preserve">1,2# </w:t>
      </w:r>
    </w:p>
    <w:p w14:paraId="40D5116C" w14:textId="77777777" w:rsidR="00A41538" w:rsidRPr="00AB0B42" w:rsidRDefault="00A41538" w:rsidP="00A41538">
      <w:pPr>
        <w:spacing w:before="200" w:after="200"/>
        <w:rPr>
          <w:i/>
          <w:iCs/>
        </w:rPr>
      </w:pPr>
      <w:r w:rsidRPr="00AB0B42">
        <w:rPr>
          <w:i/>
          <w:iCs/>
          <w:vertAlign w:val="superscript"/>
        </w:rPr>
        <w:t>#</w:t>
      </w:r>
      <w:r w:rsidRPr="00AB0B42">
        <w:rPr>
          <w:i/>
          <w:iCs/>
        </w:rPr>
        <w:t>These authors contributed equally.</w:t>
      </w:r>
    </w:p>
    <w:p w14:paraId="490A3DF1" w14:textId="77777777" w:rsidR="00A41538" w:rsidRPr="00AB0B42" w:rsidRDefault="00A41538" w:rsidP="00A41538">
      <w:pPr>
        <w:spacing w:before="200" w:after="200"/>
        <w:jc w:val="both"/>
        <w:rPr>
          <w:i/>
          <w:iCs/>
        </w:rPr>
      </w:pPr>
      <w:r w:rsidRPr="00AB0B42">
        <w:rPr>
          <w:i/>
          <w:iCs/>
          <w:vertAlign w:val="superscript"/>
        </w:rPr>
        <w:t>1</w:t>
      </w:r>
      <w:r w:rsidRPr="00AB0B42">
        <w:rPr>
          <w:i/>
          <w:iCs/>
        </w:rPr>
        <w:t>Department of Anesthesia, Critical Care and Pain Medicine, Beth Israel Deaconess Medical Center, Harvard Medical School, Boston, MA, USA.</w:t>
      </w:r>
    </w:p>
    <w:p w14:paraId="28F71AFF" w14:textId="77777777" w:rsidR="00A41538" w:rsidRPr="00AB0B42" w:rsidRDefault="00A41538" w:rsidP="00A41538">
      <w:pPr>
        <w:spacing w:before="200" w:after="200"/>
        <w:jc w:val="both"/>
        <w:rPr>
          <w:i/>
          <w:iCs/>
        </w:rPr>
      </w:pPr>
      <w:r w:rsidRPr="00AB0B42">
        <w:rPr>
          <w:i/>
          <w:iCs/>
          <w:vertAlign w:val="superscript"/>
        </w:rPr>
        <w:t>2</w:t>
      </w:r>
      <w:r w:rsidRPr="00AB0B42">
        <w:rPr>
          <w:i/>
          <w:iCs/>
        </w:rPr>
        <w:t>Center for Anesthesia Research Excellence (CARE), Beth Israel Deaconess Medical Center, Harvard Medical School, Boston, MA, USA.</w:t>
      </w:r>
    </w:p>
    <w:p w14:paraId="416169C5" w14:textId="77777777" w:rsidR="00A41538" w:rsidRPr="00AB0B42" w:rsidRDefault="00A41538" w:rsidP="00A41538">
      <w:pPr>
        <w:spacing w:before="200" w:after="200"/>
        <w:jc w:val="both"/>
        <w:rPr>
          <w:i/>
          <w:iCs/>
        </w:rPr>
      </w:pPr>
      <w:r w:rsidRPr="00AB0B42">
        <w:rPr>
          <w:i/>
          <w:iCs/>
          <w:vertAlign w:val="superscript"/>
        </w:rPr>
        <w:t>3</w:t>
      </w:r>
      <w:r w:rsidRPr="00AB0B42">
        <w:rPr>
          <w:i/>
          <w:iCs/>
        </w:rPr>
        <w:t>Division of Pulmonary and Critical Care Beth Israel Deaconess Medical Center, Harvard Medical School, Boston, MA, USA.</w:t>
      </w:r>
    </w:p>
    <w:p w14:paraId="3F720179" w14:textId="77777777" w:rsidR="00596F51" w:rsidRPr="00AB0B42" w:rsidRDefault="00596F51">
      <w:pPr>
        <w:spacing w:before="240"/>
        <w:jc w:val="both"/>
        <w:rPr>
          <w:b/>
          <w:bCs/>
          <w:vertAlign w:val="subscript"/>
        </w:rPr>
      </w:pPr>
    </w:p>
    <w:p w14:paraId="13AF4BD6" w14:textId="77777777" w:rsidR="00596F51" w:rsidRPr="00AB0B42" w:rsidRDefault="005D0E98">
      <w:pPr>
        <w:rPr>
          <w:i/>
          <w:iCs/>
        </w:rPr>
      </w:pPr>
      <w:r w:rsidRPr="00AB0B42">
        <w:rPr>
          <w:i/>
          <w:iCs/>
        </w:rPr>
        <w:t>To respect space limitations in the main manuscript, we present detailed description of methods and analyses including the secondary and sensitivity analyses.</w:t>
      </w:r>
    </w:p>
    <w:p w14:paraId="46FD1228" w14:textId="5FFE5671" w:rsidR="00676540" w:rsidRPr="00665DC5" w:rsidRDefault="00676540">
      <w:pPr>
        <w:spacing w:line="240" w:lineRule="auto"/>
        <w:rPr>
          <w:iCs/>
        </w:rPr>
      </w:pPr>
      <w:r w:rsidRPr="00665DC5">
        <w:rPr>
          <w:iCs/>
        </w:rPr>
        <w:br w:type="page"/>
      </w:r>
      <w:r w:rsidR="00665DC5" w:rsidRPr="00665DC5">
        <w:rPr>
          <w:iCs/>
        </w:rPr>
        <w:t>Additional file 1</w:t>
      </w:r>
    </w:p>
    <w:p w14:paraId="4CBC8728" w14:textId="3886F5F6" w:rsidR="00A3346C" w:rsidRPr="00AB0B42" w:rsidRDefault="005D0E98">
      <w:pPr>
        <w:rPr>
          <w:b/>
          <w:bCs/>
        </w:rPr>
      </w:pPr>
      <w:r w:rsidRPr="00AB0B42">
        <w:rPr>
          <w:b/>
          <w:bCs/>
        </w:rPr>
        <w:t>Table of contents</w:t>
      </w:r>
    </w:p>
    <w:p w14:paraId="3B8B2482" w14:textId="2C8728E5" w:rsidR="00596F51" w:rsidRPr="00AB0B42" w:rsidRDefault="005D0E98">
      <w:pPr>
        <w:pStyle w:val="TOC1"/>
        <w:tabs>
          <w:tab w:val="right" w:pos="9000"/>
        </w:tabs>
      </w:pPr>
      <w:r w:rsidRPr="00AB0B42">
        <w:t xml:space="preserve">APPENDIX S1: </w:t>
      </w:r>
      <w:r w:rsidR="00665DC5">
        <w:t xml:space="preserve">Additional </w:t>
      </w:r>
      <w:r w:rsidRPr="00AB0B42">
        <w:t>METHODS</w:t>
      </w:r>
      <w:r w:rsidRPr="00AB0B42">
        <w:tab/>
      </w:r>
    </w:p>
    <w:p w14:paraId="6404567B" w14:textId="76EF3BA4" w:rsidR="00596F51" w:rsidRPr="00AB0B42" w:rsidRDefault="005D0E98">
      <w:pPr>
        <w:pStyle w:val="TOC2"/>
        <w:tabs>
          <w:tab w:val="clear" w:pos="9019"/>
          <w:tab w:val="right" w:pos="9000"/>
        </w:tabs>
      </w:pPr>
      <w:r w:rsidRPr="00AB0B42">
        <w:t>S1.1 Data sources</w:t>
      </w:r>
      <w:r w:rsidRPr="00AB0B42">
        <w:tab/>
      </w:r>
      <w:r w:rsidR="0014132A" w:rsidRPr="00AB0B42">
        <w:t>4</w:t>
      </w:r>
    </w:p>
    <w:p w14:paraId="1576A2EC" w14:textId="0EE83CED" w:rsidR="00596F51" w:rsidRPr="00AB0B42" w:rsidRDefault="005D0E98">
      <w:pPr>
        <w:pStyle w:val="TOC2"/>
        <w:tabs>
          <w:tab w:val="clear" w:pos="9019"/>
          <w:tab w:val="right" w:pos="9000"/>
        </w:tabs>
      </w:pPr>
      <w:r w:rsidRPr="00AB0B42">
        <w:t>S1.2 Statistical analyses</w:t>
      </w:r>
      <w:r w:rsidRPr="00AB0B42">
        <w:tab/>
      </w:r>
      <w:r w:rsidR="0014132A" w:rsidRPr="00AB0B42">
        <w:t>4</w:t>
      </w:r>
    </w:p>
    <w:p w14:paraId="03550357" w14:textId="0E7726F8" w:rsidR="00596F51" w:rsidRPr="00AB0B42" w:rsidRDefault="005D0E98">
      <w:pPr>
        <w:pStyle w:val="TOC2"/>
        <w:tabs>
          <w:tab w:val="clear" w:pos="9019"/>
          <w:tab w:val="right" w:pos="9000"/>
        </w:tabs>
      </w:pPr>
      <w:r w:rsidRPr="00AB0B42">
        <w:t>S1.3 Exposure and outcome variables</w:t>
      </w:r>
      <w:r w:rsidRPr="00AB0B42">
        <w:tab/>
      </w:r>
      <w:r w:rsidR="0014132A" w:rsidRPr="00AB0B42">
        <w:t>5</w:t>
      </w:r>
    </w:p>
    <w:p w14:paraId="6F6DDEA5" w14:textId="2031ABD8" w:rsidR="00596F51" w:rsidRDefault="005D0E98" w:rsidP="00B63A12">
      <w:pPr>
        <w:pStyle w:val="TOC2"/>
        <w:tabs>
          <w:tab w:val="clear" w:pos="9019"/>
          <w:tab w:val="right" w:pos="9000"/>
        </w:tabs>
      </w:pPr>
      <w:r w:rsidRPr="00AB0B42">
        <w:t>S1.4 Potential confounding variables</w:t>
      </w:r>
      <w:r w:rsidRPr="00AB0B42">
        <w:tab/>
      </w:r>
      <w:r w:rsidR="0014132A" w:rsidRPr="00AB0B42">
        <w:t>6</w:t>
      </w:r>
    </w:p>
    <w:p w14:paraId="2E939C1D" w14:textId="68AF2A78" w:rsidR="004944EB" w:rsidRDefault="004944EB">
      <w:pPr>
        <w:pStyle w:val="TOC1"/>
        <w:tabs>
          <w:tab w:val="right" w:pos="9000"/>
        </w:tabs>
      </w:pPr>
      <w:r w:rsidRPr="00AB0B42">
        <w:t xml:space="preserve">APPENDIX S2: </w:t>
      </w:r>
      <w:r>
        <w:t>CO-PRIMARY ANALYSIS</w:t>
      </w:r>
      <w:r w:rsidRPr="00AB0B42">
        <w:tab/>
      </w:r>
      <w:r w:rsidR="00B45A17">
        <w:t>7</w:t>
      </w:r>
    </w:p>
    <w:p w14:paraId="65034911" w14:textId="63C23F34" w:rsidR="00596F51" w:rsidRPr="00AB0B42" w:rsidRDefault="005D0E98">
      <w:pPr>
        <w:pStyle w:val="TOC1"/>
        <w:tabs>
          <w:tab w:val="right" w:pos="9000"/>
        </w:tabs>
      </w:pPr>
      <w:r w:rsidRPr="00AB0B42">
        <w:t>APPENDIX S</w:t>
      </w:r>
      <w:r w:rsidR="00B45A17">
        <w:t>3</w:t>
      </w:r>
      <w:r w:rsidRPr="00AB0B42">
        <w:t>: SECONDARY ANALYSES</w:t>
      </w:r>
      <w:r w:rsidRPr="00AB0B42">
        <w:tab/>
      </w:r>
    </w:p>
    <w:p w14:paraId="4A16FBF3" w14:textId="229D84F4" w:rsidR="00596F51" w:rsidRPr="00AB0B42" w:rsidRDefault="00B45A17">
      <w:pPr>
        <w:pStyle w:val="TOC2"/>
        <w:tabs>
          <w:tab w:val="clear" w:pos="9019"/>
          <w:tab w:val="right" w:pos="9000"/>
        </w:tabs>
      </w:pPr>
      <w:r>
        <w:t>S.3</w:t>
      </w:r>
      <w:r w:rsidR="005D0E98" w:rsidRPr="00AB0B42">
        <w:t>.1 Dominance analyses</w:t>
      </w:r>
      <w:r w:rsidR="005D0E98" w:rsidRPr="00AB0B42">
        <w:tab/>
      </w:r>
      <w:r>
        <w:t>8</w:t>
      </w:r>
    </w:p>
    <w:p w14:paraId="6ECC6CE5" w14:textId="678AC113" w:rsidR="00596F51" w:rsidRPr="00AB0B42" w:rsidRDefault="00B45A17">
      <w:pPr>
        <w:pStyle w:val="TOC2"/>
        <w:tabs>
          <w:tab w:val="clear" w:pos="9019"/>
          <w:tab w:val="right" w:pos="9000"/>
        </w:tabs>
      </w:pPr>
      <w:r>
        <w:t>S.3</w:t>
      </w:r>
      <w:r w:rsidR="005D0E98" w:rsidRPr="00AB0B42">
        <w:t>.2 Ventilator-free days and alive until day 28</w:t>
      </w:r>
      <w:r w:rsidR="005D0E98" w:rsidRPr="00AB0B42">
        <w:tab/>
      </w:r>
      <w:r w:rsidR="00F5323F" w:rsidRPr="00AB0B42">
        <w:t>8</w:t>
      </w:r>
    </w:p>
    <w:p w14:paraId="337A824E" w14:textId="5FF90B3F" w:rsidR="00596F51" w:rsidRPr="00AB0B42" w:rsidRDefault="00B45A17">
      <w:pPr>
        <w:pStyle w:val="TOC2"/>
        <w:tabs>
          <w:tab w:val="clear" w:pos="9019"/>
          <w:tab w:val="right" w:pos="9000"/>
        </w:tabs>
      </w:pPr>
      <w:r>
        <w:t>S.3</w:t>
      </w:r>
      <w:r w:rsidR="005D0E98" w:rsidRPr="00AB0B42">
        <w:t xml:space="preserve">.3 Matching by </w:t>
      </w:r>
      <w:r w:rsidR="00CF0C75" w:rsidRPr="00AB0B42">
        <w:t>patients’</w:t>
      </w:r>
      <w:r w:rsidR="005D0E98" w:rsidRPr="00AB0B42">
        <w:t xml:space="preserve"> compliance</w:t>
      </w:r>
      <w:r w:rsidR="005D0E98" w:rsidRPr="00AB0B42">
        <w:tab/>
      </w:r>
      <w:r w:rsidR="004944EB">
        <w:t>9</w:t>
      </w:r>
    </w:p>
    <w:p w14:paraId="0A842A61" w14:textId="6C6DC249" w:rsidR="00165280" w:rsidRPr="00AB0B42" w:rsidRDefault="00165280" w:rsidP="00165280">
      <w:r w:rsidRPr="00AB0B42">
        <w:t>APPENDIX S</w:t>
      </w:r>
      <w:r w:rsidR="00B45A17">
        <w:t>4</w:t>
      </w:r>
      <w:r w:rsidRPr="00AB0B42">
        <w:t>: EXPLORATORY ANALYSES</w:t>
      </w:r>
      <w:r w:rsidRPr="00AB0B42">
        <w:tab/>
      </w:r>
      <w:r w:rsidRPr="00AB0B42">
        <w:tab/>
      </w:r>
      <w:r w:rsidRPr="00AB0B42">
        <w:tab/>
      </w:r>
    </w:p>
    <w:p w14:paraId="0B5A8C94" w14:textId="43A8DE04" w:rsidR="00165280" w:rsidRPr="00AB0B42" w:rsidRDefault="00B45A17" w:rsidP="00165280">
      <w:pPr>
        <w:pStyle w:val="TOC2"/>
        <w:tabs>
          <w:tab w:val="clear" w:pos="9019"/>
          <w:tab w:val="right" w:pos="9000"/>
        </w:tabs>
      </w:pPr>
      <w:r>
        <w:t>S.4</w:t>
      </w:r>
      <w:r w:rsidR="00165280" w:rsidRPr="00AB0B42">
        <w:t>.1 Miscellaneous outcome definitions</w:t>
      </w:r>
      <w:r w:rsidR="00165280" w:rsidRPr="00AB0B42">
        <w:tab/>
      </w:r>
      <w:r w:rsidR="004944EB">
        <w:t>9</w:t>
      </w:r>
    </w:p>
    <w:p w14:paraId="2BCFCC3B" w14:textId="44D53A3C" w:rsidR="00165280" w:rsidRPr="00AB0B42" w:rsidRDefault="00B45A17" w:rsidP="00165280">
      <w:pPr>
        <w:pStyle w:val="TOC2"/>
        <w:tabs>
          <w:tab w:val="clear" w:pos="9019"/>
          <w:tab w:val="right" w:pos="9000"/>
        </w:tabs>
      </w:pPr>
      <w:r>
        <w:t>S.4</w:t>
      </w:r>
      <w:r w:rsidR="00165280" w:rsidRPr="00AB0B42">
        <w:t xml:space="preserve">.2 Recalculation of mechanical power at day two of mechanical ventilation </w:t>
      </w:r>
      <w:r w:rsidR="00165280" w:rsidRPr="00AB0B42">
        <w:tab/>
        <w:t>9</w:t>
      </w:r>
    </w:p>
    <w:p w14:paraId="50D832C5" w14:textId="616AAAF2" w:rsidR="00165280" w:rsidRPr="00AB0B42" w:rsidRDefault="00B45A17" w:rsidP="00165280">
      <w:pPr>
        <w:pStyle w:val="TOC2"/>
      </w:pPr>
      <w:r>
        <w:t>S.4</w:t>
      </w:r>
      <w:r w:rsidR="00165280" w:rsidRPr="00AB0B42">
        <w:t xml:space="preserve">.3 Recalculation of mechanical power at the first 72 hours of mechanical ventilation </w:t>
      </w:r>
      <w:r w:rsidR="00165280" w:rsidRPr="00AB0B42">
        <w:tab/>
        <w:t>9</w:t>
      </w:r>
    </w:p>
    <w:p w14:paraId="7DE5C093" w14:textId="4BAF4D1C" w:rsidR="00596F51" w:rsidRPr="00AB0B42" w:rsidRDefault="005D0E98">
      <w:pPr>
        <w:pStyle w:val="TOC1"/>
        <w:tabs>
          <w:tab w:val="right" w:pos="9000"/>
        </w:tabs>
      </w:pPr>
      <w:r w:rsidRPr="00AB0B42">
        <w:t>APPENDIX S</w:t>
      </w:r>
      <w:r w:rsidR="00B45A17">
        <w:t>5</w:t>
      </w:r>
      <w:r w:rsidRPr="00AB0B42">
        <w:t>: SENSITIVITY ANALYSES</w:t>
      </w:r>
      <w:r w:rsidRPr="00AB0B42">
        <w:tab/>
      </w:r>
    </w:p>
    <w:p w14:paraId="7219CA39" w14:textId="6507DE66" w:rsidR="00596F51" w:rsidRPr="00AB0B42" w:rsidRDefault="00DE66FF">
      <w:pPr>
        <w:pStyle w:val="TOC2"/>
        <w:tabs>
          <w:tab w:val="clear" w:pos="9019"/>
          <w:tab w:val="right" w:pos="9000"/>
        </w:tabs>
      </w:pPr>
      <w:r>
        <w:t>S.4</w:t>
      </w:r>
      <w:r w:rsidR="005D0E98" w:rsidRPr="00AB0B42">
        <w:t>.1 Adjustment for P/F ratio and pH</w:t>
      </w:r>
      <w:r w:rsidR="005D0E98" w:rsidRPr="00AB0B42">
        <w:tab/>
      </w:r>
      <w:r w:rsidR="00B45A17">
        <w:t>10</w:t>
      </w:r>
    </w:p>
    <w:p w14:paraId="2A799E5D" w14:textId="36BC7F8F" w:rsidR="00290B6A" w:rsidRPr="00AB0B42" w:rsidRDefault="00DE66FF">
      <w:pPr>
        <w:pStyle w:val="TOC2"/>
        <w:tabs>
          <w:tab w:val="clear" w:pos="9019"/>
          <w:tab w:val="right" w:pos="9000"/>
        </w:tabs>
      </w:pPr>
      <w:r>
        <w:t>S.4</w:t>
      </w:r>
      <w:r w:rsidR="005D0E98" w:rsidRPr="00AB0B42">
        <w:t>.2 Adjustment of mechanical power to inspiratory and expiratory transpulmonary pressure measurements</w:t>
      </w:r>
      <w:r w:rsidR="00290B6A" w:rsidRPr="00AB0B42">
        <w:tab/>
      </w:r>
      <w:r w:rsidR="00B45A17">
        <w:t>10</w:t>
      </w:r>
    </w:p>
    <w:p w14:paraId="20CA2FD6" w14:textId="52A325C0" w:rsidR="00290B6A" w:rsidRPr="00AB0B42" w:rsidRDefault="00DE66FF">
      <w:pPr>
        <w:pStyle w:val="TOC2"/>
        <w:tabs>
          <w:tab w:val="clear" w:pos="9019"/>
          <w:tab w:val="right" w:pos="9000"/>
        </w:tabs>
      </w:pPr>
      <w:r>
        <w:t>S.4</w:t>
      </w:r>
      <w:r w:rsidR="00290B6A" w:rsidRPr="00AB0B42">
        <w:t xml:space="preserve">.3 Adjustment of mechanical power to sedation and analgesia at day one and day </w:t>
      </w:r>
    </w:p>
    <w:p w14:paraId="7C20C692" w14:textId="5EA99288" w:rsidR="00F5323F" w:rsidRPr="00AB0B42" w:rsidRDefault="00290B6A">
      <w:pPr>
        <w:pStyle w:val="TOC2"/>
        <w:tabs>
          <w:tab w:val="clear" w:pos="9019"/>
          <w:tab w:val="right" w:pos="9000"/>
        </w:tabs>
      </w:pPr>
      <w:r w:rsidRPr="00AB0B42">
        <w:t>two of mechanical ventilation</w:t>
      </w:r>
      <w:r w:rsidR="00F5323F" w:rsidRPr="00AB0B42">
        <w:tab/>
      </w:r>
      <w:r w:rsidR="00165280" w:rsidRPr="00AB0B42">
        <w:t>10</w:t>
      </w:r>
    </w:p>
    <w:p w14:paraId="626FF29A" w14:textId="396FEE94" w:rsidR="00596F51" w:rsidRPr="00AB0B42" w:rsidRDefault="00DE66FF">
      <w:pPr>
        <w:pStyle w:val="TOC2"/>
        <w:tabs>
          <w:tab w:val="clear" w:pos="9019"/>
          <w:tab w:val="right" w:pos="9000"/>
        </w:tabs>
      </w:pPr>
      <w:r>
        <w:t>S.4</w:t>
      </w:r>
      <w:r w:rsidR="00F5323F" w:rsidRPr="00AB0B42">
        <w:t>.4 Adjustment of mechanical power to high flow oxygen therapy and non-invasive ventilation prior to mechanical ventilation</w:t>
      </w:r>
      <w:r w:rsidR="005D0E98" w:rsidRPr="00AB0B42">
        <w:tab/>
      </w:r>
      <w:r w:rsidR="00165280" w:rsidRPr="00AB0B42">
        <w:t>1</w:t>
      </w:r>
      <w:r w:rsidR="00B45A17">
        <w:t>1</w:t>
      </w:r>
    </w:p>
    <w:p w14:paraId="780F41BB" w14:textId="6861C2B6" w:rsidR="00290B6A" w:rsidRPr="00AB0B42" w:rsidRDefault="00DE66FF" w:rsidP="00F5323F">
      <w:pPr>
        <w:pStyle w:val="TOC2"/>
      </w:pPr>
      <w:r>
        <w:t>S.4</w:t>
      </w:r>
      <w:r w:rsidR="005D0E98" w:rsidRPr="00AB0B42">
        <w:t>.</w:t>
      </w:r>
      <w:r w:rsidR="00F5323F" w:rsidRPr="00AB0B42">
        <w:t>5</w:t>
      </w:r>
      <w:r w:rsidR="005D0E98" w:rsidRPr="00AB0B42">
        <w:t xml:space="preserve"> Subgroup analysis in patients receiving continuous infusions of neuromuscular blocking agents</w:t>
      </w:r>
      <w:r w:rsidR="005D0E98" w:rsidRPr="00AB0B42">
        <w:tab/>
      </w:r>
      <w:r w:rsidR="00F5323F" w:rsidRPr="00AB0B42">
        <w:t>1</w:t>
      </w:r>
      <w:r w:rsidR="00B45A17">
        <w:t>1</w:t>
      </w:r>
    </w:p>
    <w:p w14:paraId="4D5EE460" w14:textId="438B0040" w:rsidR="00596F51" w:rsidRPr="00AB0B42" w:rsidRDefault="00DE66FF">
      <w:pPr>
        <w:pStyle w:val="TOC2"/>
        <w:tabs>
          <w:tab w:val="clear" w:pos="9019"/>
          <w:tab w:val="right" w:pos="9000"/>
        </w:tabs>
      </w:pPr>
      <w:r>
        <w:t>S.4</w:t>
      </w:r>
      <w:r w:rsidR="005D0E98" w:rsidRPr="00AB0B42">
        <w:t>.</w:t>
      </w:r>
      <w:r w:rsidR="00F5323F" w:rsidRPr="00AB0B42">
        <w:t>6</w:t>
      </w:r>
      <w:r w:rsidR="005D0E98" w:rsidRPr="00AB0B42">
        <w:t xml:space="preserve"> </w:t>
      </w:r>
      <w:r w:rsidR="00CF0C75" w:rsidRPr="00AB0B42">
        <w:t>Normalization</w:t>
      </w:r>
      <w:r w:rsidR="005D0E98" w:rsidRPr="00AB0B42">
        <w:t xml:space="preserve"> of mechanical power to ideal body weight</w:t>
      </w:r>
      <w:r w:rsidR="00F5323F" w:rsidRPr="00AB0B42">
        <w:t xml:space="preserve"> </w:t>
      </w:r>
      <w:r w:rsidR="005D0E98" w:rsidRPr="00AB0B42">
        <w:tab/>
      </w:r>
      <w:r w:rsidR="00F5323F" w:rsidRPr="00AB0B42">
        <w:t>1</w:t>
      </w:r>
      <w:r w:rsidR="00165280" w:rsidRPr="00AB0B42">
        <w:t>1</w:t>
      </w:r>
    </w:p>
    <w:p w14:paraId="4C6C1D9A" w14:textId="09EE9684" w:rsidR="00596F51" w:rsidRPr="00AB0B42" w:rsidRDefault="00DE66FF">
      <w:pPr>
        <w:pStyle w:val="TOC2"/>
        <w:tabs>
          <w:tab w:val="clear" w:pos="9019"/>
          <w:tab w:val="right" w:pos="9000"/>
        </w:tabs>
      </w:pPr>
      <w:r>
        <w:t>S.4</w:t>
      </w:r>
      <w:r w:rsidR="005D0E98" w:rsidRPr="00AB0B42">
        <w:t>.</w:t>
      </w:r>
      <w:r w:rsidR="00945080" w:rsidRPr="00AB0B42">
        <w:t>7</w:t>
      </w:r>
      <w:r w:rsidR="005D0E98" w:rsidRPr="00AB0B42">
        <w:t xml:space="preserve"> Primary analysis with and without multiple imputation</w:t>
      </w:r>
      <w:r w:rsidR="005D0E98" w:rsidRPr="00AB0B42">
        <w:tab/>
      </w:r>
      <w:r w:rsidR="00F5323F" w:rsidRPr="00AB0B42">
        <w:t>1</w:t>
      </w:r>
      <w:r w:rsidR="00165280" w:rsidRPr="00AB0B42">
        <w:t>1</w:t>
      </w:r>
    </w:p>
    <w:p w14:paraId="6AB877E8" w14:textId="4B215538" w:rsidR="00596F51" w:rsidRPr="00AB0B42" w:rsidRDefault="00DE66FF">
      <w:pPr>
        <w:pStyle w:val="TOC2"/>
        <w:tabs>
          <w:tab w:val="clear" w:pos="9019"/>
          <w:tab w:val="right" w:pos="9000"/>
        </w:tabs>
      </w:pPr>
      <w:r>
        <w:t>S.4</w:t>
      </w:r>
      <w:r w:rsidR="005D0E98" w:rsidRPr="00AB0B42">
        <w:t>.</w:t>
      </w:r>
      <w:r w:rsidR="00945080" w:rsidRPr="00AB0B42">
        <w:t>8</w:t>
      </w:r>
      <w:r w:rsidR="005D0E98" w:rsidRPr="00AB0B42">
        <w:t xml:space="preserve"> Primary model only in first patient cases</w:t>
      </w:r>
      <w:r w:rsidR="005D0E98" w:rsidRPr="00AB0B42">
        <w:tab/>
      </w:r>
      <w:r w:rsidR="00F5323F" w:rsidRPr="00AB0B42">
        <w:t>1</w:t>
      </w:r>
      <w:r w:rsidR="00B45A17">
        <w:t>2</w:t>
      </w:r>
    </w:p>
    <w:p w14:paraId="41DCECC0" w14:textId="165C5643" w:rsidR="00596F51" w:rsidRPr="00AB0B42" w:rsidRDefault="00DE66FF">
      <w:pPr>
        <w:pStyle w:val="TOC2"/>
        <w:tabs>
          <w:tab w:val="clear" w:pos="9019"/>
          <w:tab w:val="right" w:pos="9000"/>
        </w:tabs>
      </w:pPr>
      <w:r>
        <w:t>S.4</w:t>
      </w:r>
      <w:r w:rsidR="005D0E98" w:rsidRPr="00AB0B42">
        <w:t>.</w:t>
      </w:r>
      <w:r w:rsidR="00945080" w:rsidRPr="00AB0B42">
        <w:t>9</w:t>
      </w:r>
      <w:r w:rsidR="005D0E98" w:rsidRPr="00AB0B42">
        <w:t xml:space="preserve"> Propensity score matching</w:t>
      </w:r>
      <w:r w:rsidR="005D0E98" w:rsidRPr="00AB0B42">
        <w:tab/>
        <w:t>1</w:t>
      </w:r>
      <w:r w:rsidR="00B45A17">
        <w:t>2</w:t>
      </w:r>
    </w:p>
    <w:p w14:paraId="0B7BEB0E" w14:textId="023BEC6A" w:rsidR="008B2B31" w:rsidRPr="00AB0B42" w:rsidRDefault="00DE66FF" w:rsidP="008B2B31">
      <w:pPr>
        <w:pStyle w:val="TOC2"/>
        <w:tabs>
          <w:tab w:val="clear" w:pos="9019"/>
          <w:tab w:val="right" w:pos="9000"/>
        </w:tabs>
      </w:pPr>
      <w:r>
        <w:t>S.4</w:t>
      </w:r>
      <w:r w:rsidR="005D0E98" w:rsidRPr="00AB0B42">
        <w:t>.</w:t>
      </w:r>
      <w:r w:rsidR="00F5323F" w:rsidRPr="00AB0B42">
        <w:t>1</w:t>
      </w:r>
      <w:r w:rsidR="00945080" w:rsidRPr="00AB0B42">
        <w:t>0</w:t>
      </w:r>
      <w:r w:rsidR="005D0E98" w:rsidRPr="00AB0B42">
        <w:t xml:space="preserve"> Inverse probability treatment weighting</w:t>
      </w:r>
      <w:r w:rsidR="005D0E98" w:rsidRPr="00AB0B42">
        <w:tab/>
        <w:t>1</w:t>
      </w:r>
      <w:r w:rsidR="00165280" w:rsidRPr="00AB0B42">
        <w:t>2</w:t>
      </w:r>
    </w:p>
    <w:p w14:paraId="0DB84892" w14:textId="5D8E43D3" w:rsidR="00596F51" w:rsidRPr="00AB0B42" w:rsidRDefault="00DE66FF" w:rsidP="008B2B31">
      <w:pPr>
        <w:pStyle w:val="TOC2"/>
        <w:tabs>
          <w:tab w:val="clear" w:pos="9019"/>
          <w:tab w:val="right" w:pos="9000"/>
        </w:tabs>
      </w:pPr>
      <w:r>
        <w:t>S.4</w:t>
      </w:r>
      <w:r w:rsidR="008B2B31" w:rsidRPr="00AB0B42">
        <w:t>.1</w:t>
      </w:r>
      <w:r w:rsidR="00945080" w:rsidRPr="00AB0B42">
        <w:t>1</w:t>
      </w:r>
      <w:r w:rsidR="008B2B31" w:rsidRPr="00AB0B42">
        <w:t xml:space="preserve"> Exclusion of patients in the period of March to May 2020</w:t>
      </w:r>
      <w:r w:rsidR="005D0E98" w:rsidRPr="00AB0B42">
        <w:tab/>
        <w:t>1</w:t>
      </w:r>
      <w:r w:rsidR="00B45A17">
        <w:t>3</w:t>
      </w:r>
    </w:p>
    <w:p w14:paraId="71C4C654" w14:textId="325C6830" w:rsidR="00596F51" w:rsidRPr="00AB0B42" w:rsidRDefault="000916D6">
      <w:pPr>
        <w:pStyle w:val="TOC1"/>
        <w:tabs>
          <w:tab w:val="right" w:pos="9000"/>
        </w:tabs>
      </w:pPr>
      <w:r w:rsidRPr="00AB0B42">
        <w:t>APPENDIX S</w:t>
      </w:r>
      <w:r w:rsidR="00DE66FF">
        <w:t>5</w:t>
      </w:r>
      <w:r w:rsidRPr="00AB0B42">
        <w:t xml:space="preserve">: </w:t>
      </w:r>
      <w:r w:rsidR="005D0E98" w:rsidRPr="00AB0B42">
        <w:t>SUPPLEMENTAL FIGURES</w:t>
      </w:r>
      <w:r w:rsidRPr="00AB0B42">
        <w:t xml:space="preserve"> AND TABLES</w:t>
      </w:r>
      <w:r w:rsidR="005D0E98" w:rsidRPr="00AB0B42">
        <w:tab/>
      </w:r>
    </w:p>
    <w:p w14:paraId="24F974AF" w14:textId="75B1E8D7" w:rsidR="00596F51" w:rsidRPr="00AB0B42" w:rsidRDefault="005D0E98">
      <w:pPr>
        <w:pStyle w:val="TOC2"/>
        <w:tabs>
          <w:tab w:val="clear" w:pos="9019"/>
          <w:tab w:val="right" w:pos="9000"/>
        </w:tabs>
      </w:pPr>
      <w:r w:rsidRPr="00AB0B42">
        <w:t>Figure S1. Receiver Operating Characteristic (ROC) curve of the primary regression model</w:t>
      </w:r>
      <w:r w:rsidR="00F5323F" w:rsidRPr="00AB0B42">
        <w:t>.</w:t>
      </w:r>
      <w:r w:rsidRPr="00AB0B42">
        <w:tab/>
        <w:t>1</w:t>
      </w:r>
      <w:r w:rsidR="00B45A17">
        <w:t>4</w:t>
      </w:r>
    </w:p>
    <w:p w14:paraId="60FA13CB" w14:textId="0E11C951" w:rsidR="000916D6" w:rsidRPr="00AB0B42" w:rsidRDefault="005D0E98">
      <w:pPr>
        <w:pStyle w:val="TOC2"/>
        <w:tabs>
          <w:tab w:val="clear" w:pos="9019"/>
          <w:tab w:val="right" w:pos="9000"/>
        </w:tabs>
      </w:pPr>
      <w:r w:rsidRPr="00AB0B42">
        <w:t>Figure S2. Calibration plot of the primary regression model</w:t>
      </w:r>
      <w:r w:rsidR="00B656EE" w:rsidRPr="00AB0B42">
        <w:tab/>
        <w:t>1</w:t>
      </w:r>
      <w:r w:rsidR="00B45A17">
        <w:t>5</w:t>
      </w:r>
    </w:p>
    <w:p w14:paraId="57B29342" w14:textId="593F860D" w:rsidR="00B63A12" w:rsidRPr="00AB0B42" w:rsidRDefault="000916D6">
      <w:pPr>
        <w:pStyle w:val="TOC2"/>
        <w:tabs>
          <w:tab w:val="clear" w:pos="9019"/>
          <w:tab w:val="right" w:pos="9000"/>
        </w:tabs>
      </w:pPr>
      <w:r w:rsidRPr="00AB0B42">
        <w:t>Table S</w:t>
      </w:r>
      <w:r w:rsidR="00B45A17">
        <w:t>1</w:t>
      </w:r>
      <w:r w:rsidRPr="00AB0B42">
        <w:t xml:space="preserve">. </w:t>
      </w:r>
      <w:r w:rsidR="00B63A12" w:rsidRPr="00AB0B42">
        <w:t>Patient characteristics and distribution of variables</w:t>
      </w:r>
      <w:r w:rsidR="00B656EE" w:rsidRPr="00AB0B42">
        <w:t xml:space="preserve"> by high and low mechanical power</w:t>
      </w:r>
      <w:r w:rsidR="00B63A12" w:rsidRPr="00AB0B42">
        <w:tab/>
      </w:r>
      <w:r w:rsidR="00B656EE" w:rsidRPr="00AB0B42">
        <w:t>1</w:t>
      </w:r>
      <w:r w:rsidR="00B45A17">
        <w:t>6</w:t>
      </w:r>
    </w:p>
    <w:p w14:paraId="10FE3445" w14:textId="4BC09F44" w:rsidR="00596F51" w:rsidRPr="00AB0B42" w:rsidRDefault="00B63A12">
      <w:pPr>
        <w:pStyle w:val="TOC2"/>
        <w:tabs>
          <w:tab w:val="clear" w:pos="9019"/>
          <w:tab w:val="right" w:pos="9000"/>
        </w:tabs>
      </w:pPr>
      <w:r w:rsidRPr="00AB0B42">
        <w:t>Table S</w:t>
      </w:r>
      <w:r w:rsidR="00B45A17">
        <w:t>2</w:t>
      </w:r>
      <w:r w:rsidRPr="00AB0B42">
        <w:t xml:space="preserve">. </w:t>
      </w:r>
      <w:r w:rsidR="00F5323F" w:rsidRPr="00AB0B42">
        <w:t>Absolute number and percentage of missing values for covariates in our study cohort</w:t>
      </w:r>
      <w:r w:rsidR="005D0E98" w:rsidRPr="00AB0B42">
        <w:tab/>
        <w:t>1</w:t>
      </w:r>
      <w:r w:rsidR="00B45A17">
        <w:t>9</w:t>
      </w:r>
    </w:p>
    <w:p w14:paraId="2EDFF1B2" w14:textId="7F354BFD" w:rsidR="00A3346C" w:rsidRPr="00AB0B42" w:rsidRDefault="005D0E98" w:rsidP="0014132A">
      <w:pPr>
        <w:pStyle w:val="TOC1"/>
        <w:tabs>
          <w:tab w:val="right" w:pos="9000"/>
        </w:tabs>
      </w:pPr>
      <w:r w:rsidRPr="00AB0B42">
        <w:t>REFERENCES</w:t>
      </w:r>
      <w:r w:rsidRPr="00AB0B42">
        <w:tab/>
      </w:r>
      <w:r w:rsidR="00B45A17">
        <w:t>20</w:t>
      </w:r>
      <w:r w:rsidR="00A3346C" w:rsidRPr="00AB0B42">
        <w:br w:type="page"/>
      </w:r>
    </w:p>
    <w:p w14:paraId="4407F3BE" w14:textId="77777777" w:rsidR="00596F51" w:rsidRPr="00AB0B42" w:rsidRDefault="005D0E98">
      <w:pPr>
        <w:pStyle w:val="Heading1"/>
      </w:pPr>
      <w:bookmarkStart w:id="1" w:name="_heading=h.49x2ik5" w:colFirst="0" w:colLast="0"/>
      <w:bookmarkEnd w:id="1"/>
      <w:r w:rsidRPr="00AB0B42">
        <w:t>APPENDIX S1: SUPPLEMENTAL METHODS</w:t>
      </w:r>
    </w:p>
    <w:p w14:paraId="001E985E" w14:textId="77777777" w:rsidR="00596F51" w:rsidRPr="00AB0B42" w:rsidRDefault="005D0E98">
      <w:pPr>
        <w:pStyle w:val="Heading2"/>
        <w:spacing w:before="240"/>
      </w:pPr>
      <w:r w:rsidRPr="00AB0B42">
        <w:t>S1.1 Data sources</w:t>
      </w:r>
    </w:p>
    <w:p w14:paraId="30C8078B" w14:textId="4D03C053" w:rsidR="00596F51" w:rsidRPr="00AB0B42" w:rsidRDefault="005D0E98">
      <w:pPr>
        <w:spacing w:after="240"/>
        <w:ind w:firstLine="720"/>
        <w:jc w:val="both"/>
        <w:rPr>
          <w:color w:val="202124"/>
          <w:u w:color="202124"/>
          <w:vertAlign w:val="superscript"/>
        </w:rPr>
      </w:pPr>
      <w:r w:rsidRPr="00AB0B42">
        <w:t xml:space="preserve">Data used for this study were collected at Beth Israel Deaconess Medical Center (BIDMC), a tertiary healthcare network in Boston, Massachusetts, USA. The data were obtained from the institutional Intensive Care Research Data Repository (ICRDR), which combines de-identified intensive care related patient data from </w:t>
      </w:r>
      <w:proofErr w:type="spellStart"/>
      <w:r w:rsidRPr="00AB0B42">
        <w:t>MetaVision</w:t>
      </w:r>
      <w:proofErr w:type="spellEnd"/>
      <w:r w:rsidRPr="00AB0B42">
        <w:t xml:space="preserve">, laboratory registry (LAB), the billing registry </w:t>
      </w:r>
      <w:proofErr w:type="spellStart"/>
      <w:r w:rsidRPr="00AB0B42">
        <w:t>Casemix</w:t>
      </w:r>
      <w:proofErr w:type="spellEnd"/>
      <w:r w:rsidRPr="00AB0B42">
        <w:t xml:space="preserve"> and the Admission Discharge Transfer (ADT) database. Further, data were collected from the institutional Research Data Repository (RDR), which combines de-identified information from AIMS, Perioperative Information Management System (PIMS), </w:t>
      </w:r>
      <w:proofErr w:type="spellStart"/>
      <w:r w:rsidRPr="00AB0B42">
        <w:t>Casemix</w:t>
      </w:r>
      <w:proofErr w:type="spellEnd"/>
      <w:r w:rsidRPr="00AB0B42">
        <w:t xml:space="preserve">, and ADT. Demographics, admission, and discharge information were obtained from both ADT and </w:t>
      </w:r>
      <w:proofErr w:type="spellStart"/>
      <w:r w:rsidRPr="00AB0B42">
        <w:t>Casemix</w:t>
      </w:r>
      <w:proofErr w:type="spellEnd"/>
      <w:r w:rsidRPr="00AB0B42">
        <w:t xml:space="preserve">. Data were also complemented with diagnostic codes billed within the healthcare network from </w:t>
      </w:r>
      <w:proofErr w:type="spellStart"/>
      <w:r w:rsidRPr="00AB0B42">
        <w:t>Casemix</w:t>
      </w:r>
      <w:proofErr w:type="spellEnd"/>
      <w:r w:rsidRPr="00AB0B42">
        <w:t xml:space="preserve">. All patient data were strictly de-identified and merged into a single combined dataset. </w:t>
      </w:r>
      <w:r w:rsidRPr="00AB0B42">
        <w:rPr>
          <w:color w:val="202124"/>
          <w:u w:color="202124"/>
        </w:rPr>
        <w:t xml:space="preserve">This manuscript adheres to the Strengthening the Reporting of Observational Studies in Epidemiology (STROBE) guidelines and the </w:t>
      </w:r>
      <w:proofErr w:type="spellStart"/>
      <w:r w:rsidRPr="00AB0B42">
        <w:rPr>
          <w:color w:val="202124"/>
          <w:u w:color="202124"/>
          <w:shd w:val="clear" w:color="auto" w:fill="FFFFFF"/>
        </w:rPr>
        <w:t>REporting</w:t>
      </w:r>
      <w:proofErr w:type="spellEnd"/>
      <w:r w:rsidRPr="00AB0B42">
        <w:rPr>
          <w:color w:val="202124"/>
          <w:u w:color="202124"/>
          <w:shd w:val="clear" w:color="auto" w:fill="FFFFFF"/>
        </w:rPr>
        <w:t xml:space="preserve"> of studies Conducted using Observational Routinely-collected Data </w:t>
      </w:r>
      <w:r w:rsidRPr="00AB0B42">
        <w:rPr>
          <w:color w:val="202124"/>
          <w:u w:color="202124"/>
        </w:rPr>
        <w:t>(RECORD) statements</w:t>
      </w:r>
      <w:r w:rsidR="003E2826">
        <w:rPr>
          <w:color w:val="202124"/>
          <w:u w:color="202124"/>
        </w:rPr>
        <w:t xml:space="preserve"> </w:t>
      </w:r>
      <w:r w:rsidR="003E2826">
        <w:rPr>
          <w:color w:val="202124"/>
          <w:u w:color="202124"/>
        </w:rPr>
        <w:fldChar w:fldCharType="begin"/>
      </w:r>
      <w:r w:rsidR="003E2826">
        <w:rPr>
          <w:color w:val="202124"/>
          <w:u w:color="202124"/>
        </w:rPr>
        <w:instrText xml:space="preserve"> ADDIN ZOTERO_ITEM CSL_CITATION {"citationID":"8fBPQcs0","properties":{"formattedCitation":"[1,2]","plainCitation":"[1,2]","noteIndex":0},"citationItems":[{"id":76,"uris":["http://zotero.org/users/9579308/items/CFMZKE2J"],"itemData":{"id":76,"type":"article-journal","abstract":"Much biomedical research is observational. The reporting of such research is often inadequate, which hampers the assessment of its strengths and weaknesses and of a study's generalisability. The Strengthening the Reporting of Observational Studies in Epidemiology (STROBE) Initiative developed recommendations on what should be included in an accurate and complete report of an observational study. We defined the scope of the recommendations to cover three main study designs: cohort, case-control, and cross-sectional studies. We convened a 2-day workshop in September 2004, with methodologists, researchers, and journal editors to draft a checklist of items. This list was subsequently revised during several meetings of the coordinating group and in e-mail discussions with the larger group of STROBE contributors, taking into account empirical evidence and methodological considerations. The workshop and the subsequent iterative process of consultation and revision resulted in a checklist of 22 items (the STROBE Statement) that relate to the title, abstract, introduction, methods, results, and discussion sections of articles. 18 items are common to all three study designs and four are specific for cohort, case-control, or cross-sectional studies. A detailed Explanation and Elaboration document is published separately and is freely available on the Web sites of PLoS Medicine, Annals of Internal Medicine, and Epidemiology. We hope that the STROBE Statement will contribute to improving the quality of reporting of observational studies.","container-title":"PLoS medicine","DOI":"10.1371/journal.pmed.0040296","ISSN":"1549-1676","issue":"10","journalAbbreviation":"PLoS Med","language":"eng","note":"PMID: 17941714\nPMCID: PMC2020495","page":"e296","source":"PubMed","title":"The Strengthening the Reporting of Observational Studies in Epidemiology (STROBE) statement: guidelines for reporting observational studies","title-short":"The Strengthening the Reporting of Observational Studies in Epidemiology (STROBE) statement","volume":"4","author":[{"family":"Elm","given":"Erik","non-dropping-particle":"von"},{"family":"Altman","given":"Douglas G."},{"family":"Egger","given":"Matthias"},{"family":"Pocock","given":"Stuart J."},{"family":"Gøtzsche","given":"Peter C."},{"family":"Vandenbroucke","given":"Jan P."},{"literal":"STROBE Initiative"}],"issued":{"date-parts":[["2007",10,16]]}}},{"id":75,"uris":["http://zotero.org/users/9579308/items/I836U6R4"],"itemData":{"id":75,"type":"article-journal","abstract":"Routinely collected health data, obtained for administrative and clinical purposes without specific a priori research goals, are increasingly used for research. The rapid evolution and availability of these data have revealed issues not addressed by existing reporting guidelines, such as Strengthening the Reporting of Observational Studies in Epidemiology (STROBE). The REporting of studies Conducted using Observational Routinely collected health Data (RECORD) statement was created to fill these gaps. RECORD was created as an extension to the STROBE statement to address reporting items specific to observational studies using routinely collected health data. RECORD consists of a checklist of 13 items related to the title, abstract, introduction, methods, results, and discussion section of articles, and other information required for inclusion in such research reports. This document contains the checklist and explanatory and elaboration information to enhance the use of the checklist. Examples of good reporting for each RECORD checklist item are also included herein. This document, as well as the accompanying website and message board (http://www.record-statement.org), will enhance the implementation and understanding of RECORD. Through implementation of RECORD, authors, journals editors, and peer reviewers can encourage transparency of research reporting.","container-title":"PLoS medicine","DOI":"10.1371/journal.pmed.1001885","ISSN":"1549-1676","issue":"10","journalAbbreviation":"PLoS Med","language":"eng","note":"PMID: 26440803\nPMCID: PMC4595218","page":"e1001885","source":"PubMed","title":"The REporting of studies Conducted using Observational Routinely-collected health Data (RECORD) statement","volume":"12","author":[{"family":"Benchimol","given":"Eric I."},{"family":"Smeeth","given":"Liam"},{"family":"Guttmann","given":"Astrid"},{"family":"Harron","given":"Katie"},{"family":"Moher","given":"David"},{"family":"Petersen","given":"Irene"},{"family":"Sørensen","given":"Henrik T."},{"family":"Elm","given":"Erik","non-dropping-particle":"von"},{"family":"Langan","given":"Sinéad M."},{"literal":"RECORD Working Committee"}],"issued":{"date-parts":[["2015",10]]}}}],"schema":"https://github.com/citation-style-language/schema/raw/master/csl-citation.json"} </w:instrText>
      </w:r>
      <w:r w:rsidR="003E2826">
        <w:rPr>
          <w:color w:val="202124"/>
          <w:u w:color="202124"/>
        </w:rPr>
        <w:fldChar w:fldCharType="separate"/>
      </w:r>
      <w:r w:rsidR="003E2826">
        <w:rPr>
          <w:noProof/>
          <w:color w:val="202124"/>
          <w:u w:color="202124"/>
        </w:rPr>
        <w:t>[1,2]</w:t>
      </w:r>
      <w:r w:rsidR="003E2826">
        <w:rPr>
          <w:color w:val="202124"/>
          <w:u w:color="202124"/>
        </w:rPr>
        <w:fldChar w:fldCharType="end"/>
      </w:r>
      <w:r w:rsidRPr="00AB0B42">
        <w:rPr>
          <w:color w:val="202124"/>
          <w:u w:color="202124"/>
        </w:rPr>
        <w:t>.</w:t>
      </w:r>
      <w:r w:rsidRPr="00AB0B42">
        <w:rPr>
          <w:color w:val="202124"/>
          <w:u w:color="202124"/>
          <w:vertAlign w:val="superscript"/>
        </w:rPr>
        <w:t xml:space="preserve"> </w:t>
      </w:r>
    </w:p>
    <w:p w14:paraId="04D63E96" w14:textId="77777777" w:rsidR="00596F51" w:rsidRPr="00AB0B42" w:rsidRDefault="005D0E98">
      <w:pPr>
        <w:pStyle w:val="Heading2"/>
      </w:pPr>
      <w:bookmarkStart w:id="2" w:name="_headingh.ejfj8p7yu6i6"/>
      <w:bookmarkEnd w:id="2"/>
      <w:r w:rsidRPr="00AB0B42">
        <w:t>S1.2 Statistical analyses</w:t>
      </w:r>
    </w:p>
    <w:p w14:paraId="68EEEAE9" w14:textId="2BF098B9" w:rsidR="00596F51" w:rsidRPr="00AB0B42" w:rsidRDefault="005D0E98" w:rsidP="0014132A">
      <w:pPr>
        <w:ind w:firstLine="720"/>
        <w:jc w:val="both"/>
      </w:pPr>
      <w:r w:rsidRPr="00AB0B42">
        <w:t xml:space="preserve">The statistical analyses, study endpoints, and confounding variables with the exception of exploratory analyses were defined </w:t>
      </w:r>
      <w:r w:rsidRPr="00AB0B42">
        <w:rPr>
          <w:i/>
          <w:iCs/>
        </w:rPr>
        <w:t>a priori</w:t>
      </w:r>
      <w:r w:rsidRPr="00AB0B42">
        <w:t>. Adjusted incidence rate ratios (</w:t>
      </w:r>
      <w:proofErr w:type="spellStart"/>
      <w:r w:rsidRPr="00AB0B42">
        <w:t>IRR</w:t>
      </w:r>
      <w:r w:rsidRPr="00AB0B42">
        <w:rPr>
          <w:vertAlign w:val="subscript"/>
        </w:rPr>
        <w:t>adj</w:t>
      </w:r>
      <w:proofErr w:type="spellEnd"/>
      <w:r w:rsidRPr="00AB0B42">
        <w:t>) are reported for negative binomial regression models. The primary regression model was applied and evaluated with forced variable entry to ensure that estimates could be interpreted in a conventional manner. The correlation and potential multicollinearity between confounding variables and the primary exposure were analyzed by using the estimation of Pearson's correlation coefficient and the variance inflation factor</w:t>
      </w:r>
      <w:r w:rsidR="003E2826">
        <w:t xml:space="preserve"> </w:t>
      </w:r>
      <w:r w:rsidR="003E2826">
        <w:fldChar w:fldCharType="begin"/>
      </w:r>
      <w:r w:rsidR="003E2826">
        <w:instrText xml:space="preserve"> ADDIN ZOTERO_ITEM CSL_CITATION {"citationID":"EXdi3yQx","properties":{"formattedCitation":"[3]","plainCitation":"[3]","noteIndex":0},"citationItems":[{"id":70,"uris":["http://zotero.org/users/9579308/items/AYTFNFBR"],"itemData":{"id":70,"type":"article-journal","abstract":"A procedure that can be used to evaluate the variance inflation factors and tolerance indices in linear regression models is discussed. The method permits both point and interval estimation of these factors and indices associated with explanatory variables considered for inclusion in a regression model. The approach makes use of popular latent variable modeling software to obtain these point and interval estimates. The procedure allows more informed evaluation of these quantities when addressing multicollinearity-related issues in empirical research using regression models. The method is illustrated on an empirical example using the popular software Mplus. Results of a simulation study investigating the capabilities of the procedure are also presented.","container-title":"Educational and Psychological Measurement","DOI":"10.1177/0013164418817803","ISSN":"1552-3888","issue":"5","journalAbbreviation":"Educ Psychol Meas","language":"eng","note":"PMID: 31488917\nPMCID: PMC6713981","page":"874-882","source":"PubMed","title":"Evaluation of Variance Inflation Factors in Regression Models Using Latent Variable Modeling Methods","volume":"79","author":[{"family":"Marcoulides","given":"Katerina M."},{"family":"Raykov","given":"Tenko"}],"issued":{"date-parts":[["2019",10]]}}}],"schema":"https://github.com/citation-style-language/schema/raw/master/csl-citation.json"} </w:instrText>
      </w:r>
      <w:r w:rsidR="003E2826">
        <w:fldChar w:fldCharType="separate"/>
      </w:r>
      <w:r w:rsidR="003E2826">
        <w:rPr>
          <w:noProof/>
        </w:rPr>
        <w:t>[3]</w:t>
      </w:r>
      <w:r w:rsidR="003E2826">
        <w:fldChar w:fldCharType="end"/>
      </w:r>
      <w:r w:rsidRPr="00AB0B42">
        <w:t xml:space="preserve">. Model calibration was evaluated and indicated an acceptable model fit. Model discrimination was assessed using the concordance c-statistic, which in our case corresponds to an acceptable area under the receiver operating characteristic (AU-ROC) curve at 0.76 (Figure S1) </w:t>
      </w:r>
      <w:r w:rsidR="003E2826">
        <w:fldChar w:fldCharType="begin"/>
      </w:r>
      <w:r w:rsidR="003E2826">
        <w:instrText xml:space="preserve"> ADDIN ZOTERO_ITEM CSL_CITATION {"citationID":"ULczRF53","properties":{"formattedCitation":"[4]","plainCitation":"[4]","noteIndex":0},"citationItems":[{"id":60,"uris":["http://zotero.org/users/9579308/items/7R7SWQYR"],"itemData":{"id":60,"type":"chapter","container-title":"Applied Logistic Regression","event-place":"Hoboken, NJ, USA","ISBN":"978-0-471-72214-4","note":"DOI: 10.1002/0471722146.ch7","page":"223-259","publisher":"John Wiley &amp; Sons, Inc.","publisher-place":"Hoboken, NJ, USA","source":"DOI.org (Crossref)","title":"Logistic Regression for Matched Case-Control Studies","URL":"https://onlinelibrary.wiley.com/doi/10.1002/0471722146.ch7","container-author":[{"family":"Hosmer","given":"David W."},{"family":"Lemeshow","given":"Stanley"}],"accessed":{"date-parts":[["2022",7,5]]},"issued":{"date-parts":[["2005",1,28]]}}}],"schema":"https://github.com/citation-style-language/schema/raw/master/csl-citation.json"} </w:instrText>
      </w:r>
      <w:r w:rsidR="003E2826">
        <w:fldChar w:fldCharType="separate"/>
      </w:r>
      <w:r w:rsidR="003E2826">
        <w:rPr>
          <w:noProof/>
        </w:rPr>
        <w:t>[4]</w:t>
      </w:r>
      <w:r w:rsidR="003E2826">
        <w:fldChar w:fldCharType="end"/>
      </w:r>
      <w:r w:rsidRPr="00AB0B42">
        <w:t xml:space="preserve">. A previous study reported an incidence of 30-day mortality in mechanically ventilated patients of 30% </w:t>
      </w:r>
      <w:r w:rsidR="003E2826">
        <w:fldChar w:fldCharType="begin"/>
      </w:r>
      <w:r w:rsidR="003E2826">
        <w:instrText xml:space="preserve"> ADDIN ZOTERO_ITEM CSL_CITATION {"citationID":"VXDJuqYm","properties":{"formattedCitation":"[5]","plainCitation":"[5]","noteIndex":0},"citationItems":[{"id":93,"uris":["http://zotero.org/users/9579308/items/436J79TL"],"itemData":{"id":93,"type":"article-journal","abstract":"PURPOSE: Mechanical power (MP) may unify variables known to be related to development of ventilator-induced lung injury. The aim of this study is to examine the association between MP and mortality in critically ill patients receiving invasive ventilation for at least 48 h.\nMETHODS: This is an analysis of data stored in the databases of the MIMIC-III and eICU. Critically ill patients receiving invasive ventilation for at least 48 h were included. The exposure of interest was MP. The primary outcome was in-hospital mortality.\nRESULTS: Data from 8207 patients were analyzed. Median MP during the second 24 h was 21.4 (16.2-28.1) J/min in MIMIC-III and 16.0 (11.7-22.1) J/min in eICU. MP was independently associated with in-hospital mortality [odds ratio per 5 J/min increase (OR) 1.06 (95% confidence interval (CI) 1.01-1.11); p = 0.021 in MIMIC-III, and 1.10 (1.02-1.18); p = 0.010 in eICU]. MP was also associated with ICU mortality, 30-day mortality, and with ventilator-free days, ICU and hospital length of stay. Even at low tidal volume, high MP was associated with in-hospital mortality [OR 1.70 (1.32-2.18); p &lt; 0.001] and other secondary outcomes. Finally, there is a consistent increase in the risk of death with MP higher than 17.0 J/min.\nCONCLUSION: High MP of ventilation is independently associated with higher in-hospital mortality and several other outcomes in ICU patients receiving invasive ventilation for at least 48 h.","container-title":"Intensive Care Medicine","DOI":"10.1007/s00134-018-5375-6","ISSN":"1432-1238","issue":"11","journalAbbreviation":"Intensive Care Med","language":"eng","note":"PMID: 30291378","page":"1914-1922","source":"PubMed","title":"Mechanical power of ventilation is associated with mortality in critically ill patients: an analysis of patients in two observational cohorts","title-short":"Mechanical power of ventilation is associated with mortality in critically ill patients","volume":"44","author":[{"family":"Serpa Neto","given":"Ary"},{"family":"Deliberato","given":"Rodrigo Octavio"},{"family":"Johnson","given":"Alistair E. W."},{"family":"Bos","given":"Lieuwe D."},{"family":"Amorim","given":"Pedro"},{"family":"Pereira","given":"Silvio Moreto"},{"family":"Cazati","given":"Denise Carnieli"},{"family":"Cordioli","given":"Ricardo L."},{"family":"Correa","given":"Thiago Domingos"},{"family":"Pollard","given":"Tom J."},{"family":"Schettino","given":"Guilherme P. P."},{"family":"Timenetsky","given":"Karina T."},{"family":"Celi","given":"Leo A."},{"family":"Pelosi","given":"Paolo"},{"family":"Gama de Abreu","given":"Marcelo"},{"family":"Schultz","given":"Marcus J."},{"literal":"PROVE Network Investigators"}],"issued":{"date-parts":[["2018",11]]}}}],"schema":"https://github.com/citation-style-language/schema/raw/master/csl-citation.json"} </w:instrText>
      </w:r>
      <w:r w:rsidR="003E2826">
        <w:fldChar w:fldCharType="separate"/>
      </w:r>
      <w:r w:rsidR="003E2826">
        <w:rPr>
          <w:noProof/>
        </w:rPr>
        <w:t>[5]</w:t>
      </w:r>
      <w:r w:rsidR="003E2826">
        <w:fldChar w:fldCharType="end"/>
      </w:r>
      <w:r w:rsidRPr="00AB0B42">
        <w:t>. Assuming a two-sided alpha of 0.05 and the aforementioned baseline risk of 30-day mortality, the sample size of 1,737 patients included in this study provided a power of 98.8% to detect a clinically significant difference in the risk of 30-day mortality of at least 15.0% between patients who were exposed to high mechanical power, and those who were not. Power analysis was conducted using G*Power (Version 3.1.9.4)</w:t>
      </w:r>
      <w:r w:rsidR="003E2826">
        <w:t xml:space="preserve"> </w:t>
      </w:r>
      <w:r w:rsidR="003E2826">
        <w:fldChar w:fldCharType="begin"/>
      </w:r>
      <w:r w:rsidR="003E2826">
        <w:instrText xml:space="preserve"> ADDIN ZOTERO_ITEM CSL_CITATION {"citationID":"qTNPy8vI","properties":{"formattedCitation":"[6]","plainCitation":"[6]","noteIndex":0},"citationItems":[{"id":4,"uris":["http://zotero.org/users/9579308/items/MG34J63C"],"itemData":{"id":4,"type":"article-journal","abstract":"G*Power (Erdfelder, Faul, &amp; Buchner, 1996) was designed as a general stand-alone power analysis program for statistical tests commonly used in social and behavioral research. G*Power 3 is a major extension of, and improvement over, the previous versions. It runs on widely used computer platforms (i.e., Windows XP, Windows Vista, and Mac OS X 10.4) and covers many different statistical tests of the t, F, and chi2 test families. In addition, it includes power analyses for z tests and some exact tests. G*Power 3 provides improved effect size calculators and graphic options, supports both distribution-based and design-based input modes, and offers all types of power analyses in which users might be interested. Like its predecessors, G*Power 3 is free.","container-title":"Behavior Research Methods","DOI":"10.3758/bf03193146","ISSN":"1554-351X","issue":"2","journalAbbreviation":"Behav Res Methods","language":"eng","note":"PMID: 17695343","page":"175-191","source":"PubMed","title":"G*Power 3: a flexible statistical power analysis program for the social, behavioral, and biomedical sciences","title-short":"G*Power 3","volume":"39","author":[{"family":"Faul","given":"Franz"},{"family":"Erdfelder","given":"Edgar"},{"family":"Lang","given":"Albert-Georg"},{"family":"Buchner","given":"Axel"}],"issued":{"date-parts":[["2007",5]]}}}],"schema":"https://github.com/citation-style-language/schema/raw/master/csl-citation.json"} </w:instrText>
      </w:r>
      <w:r w:rsidR="003E2826">
        <w:fldChar w:fldCharType="separate"/>
      </w:r>
      <w:r w:rsidR="003E2826">
        <w:rPr>
          <w:noProof/>
        </w:rPr>
        <w:t>[6]</w:t>
      </w:r>
      <w:r w:rsidR="003E2826">
        <w:fldChar w:fldCharType="end"/>
      </w:r>
      <w:r w:rsidRPr="00AB0B42">
        <w:t>.</w:t>
      </w:r>
    </w:p>
    <w:p w14:paraId="30B6E37B" w14:textId="77777777" w:rsidR="00596F51" w:rsidRPr="00AB0B42" w:rsidRDefault="005D0E98">
      <w:pPr>
        <w:pStyle w:val="Heading2"/>
      </w:pPr>
      <w:r w:rsidRPr="00AB0B42">
        <w:t>S1.3 Exposure and outcome variables</w:t>
      </w:r>
    </w:p>
    <w:p w14:paraId="7341C2AB" w14:textId="17AB22FF" w:rsidR="00596F51" w:rsidRPr="00AB0B42" w:rsidRDefault="005D0E98">
      <w:pPr>
        <w:spacing w:after="240"/>
        <w:ind w:firstLine="720"/>
        <w:jc w:val="both"/>
      </w:pPr>
      <w:r w:rsidRPr="00AB0B42">
        <w:t xml:space="preserve">Classical physics describes the principle of power, which reflects work over time. The application of force over a </w:t>
      </w:r>
      <w:proofErr w:type="gramStart"/>
      <w:r w:rsidRPr="00AB0B42">
        <w:t>certain distance results</w:t>
      </w:r>
      <w:proofErr w:type="gramEnd"/>
      <w:r w:rsidRPr="00AB0B42">
        <w:t xml:space="preserve"> in work, measured in joules. If this is now transferred to a three-dimensional context, namely the lung, distance and force are reflected by volume and pressure, respectively. The area under the curve of the pressure-volume loop resembles work. The mechanical power equation</w:t>
      </w:r>
      <w:r w:rsidR="003E2826">
        <w:t xml:space="preserve"> </w:t>
      </w:r>
      <w:r w:rsidR="003E2826">
        <w:fldChar w:fldCharType="begin"/>
      </w:r>
      <w:r w:rsidR="003E2826">
        <w:instrText xml:space="preserve"> ADDIN ZOTERO_ITEM CSL_CITATION {"citationID":"ui6O16tL","properties":{"formattedCitation":"[7]","plainCitation":"[7]","noteIndex":0},"citationItems":[{"id":58,"uris":["http://zotero.org/users/9579308/items/ATFRM7P4"],"itemData":{"id":58,"type":"article-journal","abstract":"BACKGROUND: Mechanical power (MP) is the energy delivered to the respiratory system over time during mechanical ventilation. Our aim was to compare the currently available methods to calculate MP during volume- and pressure-controlled ventilation, comparing different equations with the geometric reference method, to understand whether the easier to use surrogate formulas were suitable for the everyday clinical practice. This would warrant a more widespread use of mechanical power to promote lung protection.\nMETHODS: Forty respiratory failure patients, sedated and paralyzed for clinical reasons, were ventilated in volume-controlled ventilation, at two inspiratory flows (30 and 60 L/min), and pressure-controlled ventilation with a similar tidal volume. Mechanical power was computed both with the geometric method, as the area between the inspiratory limb of the airway pressure and the volume, and with two algebraic methods, a comprehensive and a surrogate formula.\nRESULTS: The bias between the MP computed by the geometric method and by the comprehensive algebraic method during volume-controlled ventilation was respectively 0.053 (0.77, - 0.81) J/min and - 0.4 (0.70, - 1.50) J/min at low and high flows (r2 = 0.96 and 0.97, p &lt; 0.01). The MP measured and computed by the two methods were highly correlated (r2 = 0.95 and 0.94, p &lt; 0.01) with a bias of - 0.0074 (0.91, - 0.93) and - 1.0 (0.45, - 2.52) J/min at high-low flows. During pressure-controlled ventilation, the bias between the MP measured and the one calculated with the comprehensive and simplified methods was correlated (r2 = 0.81, 0.94, p &lt; 0.01) with mean differences of - 0.001 (2.05, - 2.05) and - 0.81 (2.11, - 0.48) J/min.\nCONCLUSIONS: Both for volume-controlled and pressure-controlled ventilation, the surrogate formulas approximate the reference method well enough to warrant their use in the everyday clinical practice. Given that these formulas require nothing more than the variables already displayed by the intensive care ventilator, a more widespread use of mechanical power should be encouraged to promote lung protection against ventilator-induced lung injury.","container-title":"Critical Care (London, England)","DOI":"10.1186/s13054-020-03116-w","ISSN":"1466-609X","issue":"1","journalAbbreviation":"Crit Care","language":"eng","note":"PMID: 32653011\nPMCID: PMC7351639","page":"417","source":"PubMed","title":"Bedside calculation of mechanical power during volume- and pressure-controlled mechanical ventilation","volume":"24","author":[{"family":"Chiumello","given":"Davide"},{"family":"Gotti","given":"Miriam"},{"family":"Guanziroli","given":"Mariateresa"},{"family":"Formenti","given":"Paolo"},{"family":"Umbrello","given":"Michele"},{"family":"Pasticci","given":"Iacopo"},{"family":"Mistraletti","given":"Giovanni"},{"family":"Busana","given":"Mattia"}],"issued":{"date-parts":[["2020",7,11]]}}}],"schema":"https://github.com/citation-style-language/schema/raw/master/csl-citation.json"} </w:instrText>
      </w:r>
      <w:r w:rsidR="003E2826">
        <w:fldChar w:fldCharType="separate"/>
      </w:r>
      <w:r w:rsidR="003E2826">
        <w:rPr>
          <w:noProof/>
        </w:rPr>
        <w:t>[7]</w:t>
      </w:r>
      <w:r w:rsidR="003E2826">
        <w:fldChar w:fldCharType="end"/>
      </w:r>
      <w:r w:rsidRPr="00AB0B42">
        <w:t xml:space="preserve"> can be simplified derived by explaining its individual components: (1) The conversion factor for units of pressure (cmH</w:t>
      </w:r>
      <w:r w:rsidRPr="00AB0B42">
        <w:rPr>
          <w:vertAlign w:val="subscript"/>
        </w:rPr>
        <w:t>2</w:t>
      </w:r>
      <w:r w:rsidRPr="00AB0B42">
        <w:t xml:space="preserve">O and Pascal) is </w:t>
      </w:r>
      <w:r w:rsidRPr="00AB0B42">
        <w:rPr>
          <w:i/>
          <w:iCs/>
        </w:rPr>
        <w:t>0.098</w:t>
      </w:r>
      <w:r w:rsidRPr="00AB0B42">
        <w:t>; (2) the time component of the classical work-power derivation is reflected by the respiratory rate; (3) the distance travelled per breath is depicted by tidal volume; (4) The static component (</w:t>
      </w:r>
      <w:r w:rsidRPr="00AB0B42">
        <w:rPr>
          <w:i/>
          <w:iCs/>
        </w:rPr>
        <w:t>0.098*RR*V</w:t>
      </w:r>
      <w:r w:rsidRPr="00AB0B42">
        <w:rPr>
          <w:i/>
          <w:iCs/>
          <w:vertAlign w:val="subscript"/>
        </w:rPr>
        <w:t>t</w:t>
      </w:r>
      <w:r w:rsidRPr="00AB0B42">
        <w:rPr>
          <w:i/>
          <w:iCs/>
        </w:rPr>
        <w:t>*PEEP</w:t>
      </w:r>
      <w:r w:rsidRPr="00AB0B42">
        <w:t>), the dynamic elastic component (</w:t>
      </w:r>
      <w:r w:rsidRPr="00AB0B42">
        <w:rPr>
          <w:i/>
          <w:iCs/>
        </w:rPr>
        <w:t>0.098*RR*V</w:t>
      </w:r>
      <w:r w:rsidRPr="00AB0B42">
        <w:rPr>
          <w:i/>
          <w:iCs/>
          <w:vertAlign w:val="subscript"/>
        </w:rPr>
        <w:t>t</w:t>
      </w:r>
      <w:r w:rsidRPr="00AB0B42">
        <w:rPr>
          <w:i/>
          <w:iCs/>
        </w:rPr>
        <w:t>*(½[</w:t>
      </w:r>
      <w:proofErr w:type="spellStart"/>
      <w:r w:rsidRPr="00AB0B42">
        <w:rPr>
          <w:i/>
          <w:iCs/>
        </w:rPr>
        <w:t>P</w:t>
      </w:r>
      <w:r w:rsidRPr="00AB0B42">
        <w:rPr>
          <w:i/>
          <w:iCs/>
          <w:vertAlign w:val="subscript"/>
        </w:rPr>
        <w:t>plat</w:t>
      </w:r>
      <w:proofErr w:type="spellEnd"/>
      <w:r w:rsidRPr="00AB0B42">
        <w:rPr>
          <w:i/>
          <w:iCs/>
        </w:rPr>
        <w:t>−PEEP]</w:t>
      </w:r>
      <w:r w:rsidRPr="00AB0B42">
        <w:t>) and the dynamic resistance component (</w:t>
      </w:r>
      <w:r w:rsidRPr="00AB0B42">
        <w:rPr>
          <w:i/>
          <w:iCs/>
        </w:rPr>
        <w:t>0.098*RR*V</w:t>
      </w:r>
      <w:r w:rsidRPr="00AB0B42">
        <w:rPr>
          <w:i/>
          <w:iCs/>
          <w:vertAlign w:val="subscript"/>
        </w:rPr>
        <w:t>t</w:t>
      </w:r>
      <w:r w:rsidRPr="00AB0B42">
        <w:rPr>
          <w:i/>
          <w:iCs/>
        </w:rPr>
        <w:t>*[</w:t>
      </w:r>
      <w:proofErr w:type="spellStart"/>
      <w:r w:rsidRPr="00AB0B42">
        <w:rPr>
          <w:i/>
          <w:iCs/>
        </w:rPr>
        <w:t>P</w:t>
      </w:r>
      <w:r w:rsidRPr="00AB0B42">
        <w:rPr>
          <w:i/>
          <w:iCs/>
          <w:vertAlign w:val="subscript"/>
        </w:rPr>
        <w:t>peak</w:t>
      </w:r>
      <w:r w:rsidRPr="00AB0B42">
        <w:rPr>
          <w:i/>
          <w:iCs/>
        </w:rPr>
        <w:t>−P</w:t>
      </w:r>
      <w:r w:rsidRPr="00AB0B42">
        <w:rPr>
          <w:i/>
          <w:iCs/>
          <w:vertAlign w:val="subscript"/>
        </w:rPr>
        <w:t>plat</w:t>
      </w:r>
      <w:proofErr w:type="spellEnd"/>
      <w:r w:rsidRPr="00AB0B42">
        <w:rPr>
          <w:i/>
          <w:iCs/>
        </w:rPr>
        <w:t>]) (respiratory rate, RR; tidal volume, V</w:t>
      </w:r>
      <w:r w:rsidRPr="00AB0B42">
        <w:rPr>
          <w:i/>
          <w:iCs/>
          <w:vertAlign w:val="subscript"/>
        </w:rPr>
        <w:t>t</w:t>
      </w:r>
      <w:r w:rsidRPr="00AB0B42">
        <w:rPr>
          <w:i/>
          <w:iCs/>
        </w:rPr>
        <w:t xml:space="preserve">; peak inspiratory pressure, </w:t>
      </w:r>
      <w:proofErr w:type="spellStart"/>
      <w:r w:rsidRPr="00AB0B42">
        <w:rPr>
          <w:i/>
          <w:iCs/>
        </w:rPr>
        <w:t>P</w:t>
      </w:r>
      <w:r w:rsidRPr="00AB0B42">
        <w:rPr>
          <w:i/>
          <w:iCs/>
          <w:vertAlign w:val="subscript"/>
        </w:rPr>
        <w:t>peak</w:t>
      </w:r>
      <w:proofErr w:type="spellEnd"/>
      <w:r w:rsidRPr="00AB0B42">
        <w:rPr>
          <w:i/>
          <w:iCs/>
        </w:rPr>
        <w:t xml:space="preserve">; plateau Pressure, </w:t>
      </w:r>
      <w:proofErr w:type="spellStart"/>
      <w:r w:rsidRPr="00AB0B42">
        <w:rPr>
          <w:i/>
          <w:iCs/>
        </w:rPr>
        <w:t>P</w:t>
      </w:r>
      <w:r w:rsidRPr="00AB0B42">
        <w:rPr>
          <w:i/>
          <w:iCs/>
          <w:vertAlign w:val="subscript"/>
        </w:rPr>
        <w:t>plat</w:t>
      </w:r>
      <w:proofErr w:type="spellEnd"/>
      <w:r w:rsidRPr="00AB0B42">
        <w:rPr>
          <w:i/>
          <w:iCs/>
        </w:rPr>
        <w:t xml:space="preserve">; positive end-expiratory pressure, PEEP) </w:t>
      </w:r>
      <w:r w:rsidRPr="00AB0B42">
        <w:t xml:space="preserve">are grouped together as the pressure-dependent component and are summarized in the area under the curve in the pressure-volume loop. </w:t>
      </w:r>
    </w:p>
    <w:p w14:paraId="3CD603EC" w14:textId="215D817C" w:rsidR="00596F51" w:rsidRPr="00AB0B42" w:rsidRDefault="005D0E98">
      <w:pPr>
        <w:spacing w:before="240" w:after="240"/>
        <w:ind w:firstLine="720"/>
        <w:jc w:val="both"/>
      </w:pPr>
      <w:r w:rsidRPr="00AB0B42">
        <w:t xml:space="preserve"> The primary exposure was the median mechanical power calculated over the duration of mechanical ventilation during the first 24 hours on controlled ventilator settings, defined as pressure or </w:t>
      </w:r>
      <w:r w:rsidR="00CF0C75" w:rsidRPr="00AB0B42">
        <w:t>volume-controlled</w:t>
      </w:r>
      <w:r w:rsidRPr="00AB0B42">
        <w:t xml:space="preserve"> modes. Results are reported per each standard deviation increment increase in mechanical power, corresponding to 7.1 J/min per increment. Only data validated by a respiratory therapist or physician were used in this study. In 84 (4.8%) patients with missing values for plateau pressure, the peak inspiratory pressure was used as a substitute </w:t>
      </w:r>
      <w:r w:rsidR="003E2826">
        <w:fldChar w:fldCharType="begin"/>
      </w:r>
      <w:r w:rsidR="003E2826">
        <w:instrText xml:space="preserve"> ADDIN ZOTERO_ITEM CSL_CITATION {"citationID":"a6h0CKHE","properties":{"formattedCitation":"[8]","plainCitation":"[8]","noteIndex":0},"citationItems":[{"id":83,"uris":["http://zotero.org/users/9579308/items/K9G292HJ"],"itemData":{"id":83,"type":"article-journal","abstract":"BACKGROUND: Mechanical power during ventilation estimates the energy delivered to the respiratory system through integrating inspiratory pressures, tidal volume, and respiratory rate into a single value. It has been linked to lung injury and mortality in the acute respiratory distress syndrome, but little evidence exists regarding whether the concept relates to lung injury in patients with healthy lungs. This study hypothesized that higher mechanical power is associated with greater postoperative respiratory failure requiring reintubation in patients undergoing general anesthesia.\nMETHODS: In this multicenter, retrospective study, 230,767 elective, noncardiac adult surgical out- and inpatients undergoing general anesthesia between 2008 and 2018 at two academic hospital networks in Boston, Massachusetts, were included. The risk-adjusted association between the median intraoperative mechanical power, calculated from median values of tidal volume (Vt), respiratory rate (RR), positive end-expiratory pressure (PEEP), plateau pressure (Pplat), and peak inspiratory pressure (Ppeak), using the following formula: mechanical power (J/min) = 0.098 × RR × Vt × (PEEP + ½[Pplat - PEEP] + [Ppeak - Pplat]), and postoperative respiratory failure requiring reintubation within 7 days, was assessed.\nRESULTS: The median intraoperative mechanical power was 6.63 (interquartile range, 4.62 to 9.11) J/min. Postoperative respiratory failure occurred in 2,024 (0.9%) patients. The median (interquartile range) intraoperative mechanical power was higher in patients with postoperative respiratory failure than in patients without (7.67 [5.64 to 10.11] vs. 6.62 [4.62 to 9.10] J/min; P &lt; 0.001). In adjusted analyses, a higher mechanical power was associated with greater odds of postoperative respiratory failure (adjusted odds ratio, 1.31 per 5 J/min increase; 95% CI, 1.21 to 1.42; P &lt; 0.001). The association between mechanical power and postoperative respiratory failure was robust to additional adjustment for known drivers of ventilator-induced lung injury, including tidal volume, driving pressure, and respiratory rate, and driven by the dynamic elastic component (adjusted odds ratio, 1.35 per 5 J/min; 95% CI, 1.05 to 1.73; P = 0.02).\nCONCLUSIONS: Higher mechanical power during ventilation is statistically associated with a greater risk of postoperative respiratory failure requiring reintubation.\nEDITOR’S PERSPECTIVE:","container-title":"Anesthesiology","DOI":"10.1097/ALN.0000000000004256","ISSN":"1528-1175","issue":"1","journalAbbreviation":"Anesthesiology","language":"eng","note":"PMID: 35475882","page":"41-54","source":"PubMed","title":"Mechanical Power during General Anesthesia and Postoperative Respiratory Failure: A Multicenter Retrospective Cohort Study","title-short":"Mechanical Power during General Anesthesia and Postoperative Respiratory Failure","volume":"137","author":[{"family":"Santer","given":"Peter"},{"family":"Wachtendorf","given":"Luca J."},{"family":"Suleiman","given":"Aiman"},{"family":"Houle","given":"Timothy T."},{"family":"Fassbender","given":"Philipp"},{"family":"Costa","given":"Eduardo L."},{"family":"Talmor","given":"Daniel"},{"family":"Eikermann","given":"Matthias"},{"family":"Baedorf-Kassis","given":"Elias"},{"family":"Schaefer","given":"Maximilian S."}],"issued":{"date-parts":[["2022",7,1]]}}}],"schema":"https://github.com/citation-style-language/schema/raw/master/csl-citation.json"} </w:instrText>
      </w:r>
      <w:r w:rsidR="003E2826">
        <w:fldChar w:fldCharType="separate"/>
      </w:r>
      <w:r w:rsidR="003E2826">
        <w:rPr>
          <w:noProof/>
        </w:rPr>
        <w:t>[8]</w:t>
      </w:r>
      <w:r w:rsidR="003E2826">
        <w:fldChar w:fldCharType="end"/>
      </w:r>
      <w:r w:rsidRPr="00AB0B42">
        <w:t xml:space="preserve">. COVID-19 was defined based on </w:t>
      </w:r>
      <w:r w:rsidRPr="00AB0B42">
        <w:rPr>
          <w:color w:val="202124"/>
          <w:u w:color="202124"/>
        </w:rPr>
        <w:t xml:space="preserve">a confirmed positive severe acute respiratory syndrome coronavirus type 2 (SARS-CoV-2) polymerase chain reaction test (PCR), up to 4 days pre-admission and 14 days post-admission, or International Classification of Diseases (ICD)-10 diagnosis of COVID-19, coded as U07.1 billed with the index stay in the ICU. </w:t>
      </w:r>
      <w:r w:rsidRPr="00AB0B42">
        <w:t xml:space="preserve">Data on mortality were collected from the national death register through the hospital network. </w:t>
      </w:r>
    </w:p>
    <w:p w14:paraId="79613A7D" w14:textId="77777777" w:rsidR="00596F51" w:rsidRPr="00AB0B42" w:rsidRDefault="005D0E98">
      <w:pPr>
        <w:pStyle w:val="Heading2"/>
        <w:keepNext w:val="0"/>
      </w:pPr>
      <w:r w:rsidRPr="00AB0B42">
        <w:t>S1.4 Potential confounding variables</w:t>
      </w:r>
    </w:p>
    <w:p w14:paraId="148BF840" w14:textId="464339CF" w:rsidR="004944EB" w:rsidRDefault="005D0E98" w:rsidP="004944EB">
      <w:pPr>
        <w:spacing w:after="240"/>
        <w:ind w:firstLine="720"/>
        <w:jc w:val="both"/>
        <w:rPr>
          <w:color w:val="212121"/>
          <w:sz w:val="28"/>
          <w:szCs w:val="28"/>
          <w:u w:color="212121"/>
          <w:vertAlign w:val="subscript"/>
        </w:rPr>
      </w:pPr>
      <w:r w:rsidRPr="00AB0B42">
        <w:t xml:space="preserve">According to the linearity assumption, confounding variables were categorized into quintiles (age, vasopressors, fluids, opioids, APACHE-II score </w:t>
      </w:r>
      <w:r w:rsidR="001618CD">
        <w:fldChar w:fldCharType="begin"/>
      </w:r>
      <w:r w:rsidR="00437491">
        <w:instrText xml:space="preserve"> ADDIN ZOTERO_ITEM CSL_CITATION {"citationID":"FfkynlSV","properties":{"formattedCitation":"[9]","plainCitation":"[9]","noteIndex":0},"citationItems":[{"id":79,"uris":["http://zotero.org/users/9579308/items/IDP9FKVS"],"itemData":{"id":79,"type":"article-journal","abstract":"This paper presents the form and validation results of APACHE II, a severity of disease classification system. APACHE II uses a point score based upon initial values of 12 routine physiologic measurements, age, and previous health status to provide a general measure of severity of disease. An increasing score (range 0 to 71) was closely correlated with the subsequent risk of hospital death for 5815 intensive care admissions from 13 hospitals. This relationship was also found for many common diseases. When APACHE II scores are combined with an accurate description of disease, they can prognostically stratify acutely ill patients and assist investigators comparing the success of new or differing forms of therapy. This scoring index can be used to evaluate the use of hospital resources and compare the efficacy of intensive care in different hospitals or over time.","container-title":"Critical Care Medicine","ISSN":"0090-3493","issue":"10","journalAbbreviation":"Crit Care Med","language":"eng","note":"PMID: 3928249","page":"818-829","source":"PubMed","title":"APACHE II: a severity of disease classification system","title-short":"APACHE II","volume":"13","author":[{"family":"Knaus","given":"W. A."},{"family":"Draper","given":"E. A."},{"family":"Wagner","given":"D. P."},{"family":"Zimmerman","given":"J. E."}],"issued":{"date-parts":[["1985",10]]}}}],"schema":"https://github.com/citation-style-language/schema/raw/master/csl-citation.json"} </w:instrText>
      </w:r>
      <w:r w:rsidR="001618CD">
        <w:fldChar w:fldCharType="separate"/>
      </w:r>
      <w:r w:rsidR="00437491">
        <w:rPr>
          <w:noProof/>
        </w:rPr>
        <w:t>[9]</w:t>
      </w:r>
      <w:r w:rsidR="001618CD">
        <w:fldChar w:fldCharType="end"/>
      </w:r>
      <w:r w:rsidRPr="00AB0B42">
        <w:t xml:space="preserve"> (</w:t>
      </w:r>
      <w:r w:rsidRPr="00AB0B42">
        <w:rPr>
          <w:color w:val="202124"/>
          <w:u w:color="202124"/>
        </w:rPr>
        <w:t xml:space="preserve">incorporating patient age, vital signs such as heart rate and body temperature, as well as laboratory values including sodium, potassium, creatinine and hematocrit), and the </w:t>
      </w:r>
      <w:proofErr w:type="spellStart"/>
      <w:r w:rsidRPr="00AB0B42">
        <w:rPr>
          <w:color w:val="202124"/>
          <w:u w:color="202124"/>
        </w:rPr>
        <w:t>Elixhauser</w:t>
      </w:r>
      <w:proofErr w:type="spellEnd"/>
      <w:r w:rsidRPr="00AB0B42">
        <w:rPr>
          <w:color w:val="202124"/>
          <w:u w:color="202124"/>
        </w:rPr>
        <w:t xml:space="preserve"> Comorbidity Index </w:t>
      </w:r>
      <w:r w:rsidR="001618CD">
        <w:rPr>
          <w:color w:val="202124"/>
          <w:u w:color="202124"/>
        </w:rPr>
        <w:fldChar w:fldCharType="begin"/>
      </w:r>
      <w:r w:rsidR="00437491">
        <w:rPr>
          <w:color w:val="202124"/>
          <w:u w:color="202124"/>
        </w:rPr>
        <w:instrText xml:space="preserve"> ADDIN ZOTERO_ITEM CSL_CITATION {"citationID":"5nlVjSUB","properties":{"formattedCitation":"[10]","plainCitation":"[10]","noteIndex":0},"citationItems":[{"id":74,"uris":["http://zotero.org/users/9579308/items/YLDZ6J9A"],"itemData":{"id":74,"type":"article-journal","abstract":"OBJECTIVES: This study attempts to develop a comprehensive set of comorbidity measures for use with large administrative inpatient datasets.\nMETHODS: The study involved clinical and empirical review of comorbidity measures, development of a framework that attempts to segregate comorbidities from other aspects of the patient's condition, development of a comorbidity algorithm, and testing on heterogeneous and homogeneous patient groups. Data were drawn from all adult, nonmaternal inpatients from 438 acute care hospitals in California in 1992 (n = 1,779,167). Outcome measures were those commonly available in administrative data: length of stay, hospital charges, and in-hospital death.\nRESULTS: A comprehensive set of 30 comorbidity measures was developed. The comorbidities were associated with substantial increases in length of stay, hospital charges, and mortality both for heterogeneous and homogeneous disease groups. Several comorbidities are described that are important predictors of outcomes, yet commonly are not measured. These include mental disorders, drug and alcohol abuse, obesity, coagulopathy, weight loss, and fluid and electrolyte disorders.\nCONCLUSIONS: The comorbidities had independent effects on outcomes and probably should not be simplified as an index because they affect outcomes differently among different patient groups. The present method addresses some of the limitations of previous measures. It is based on a comprehensive approach to identifying comorbidities and separates them from the primary reason for hospitalization, resulting in an expanded set of comorbidities that easily is applied without further refinement to administrative data for a wide range of diseases.","container-title":"Medical Care","DOI":"10.1097/00005650-199801000-00004","ISSN":"0025-7079","issue":"1","journalAbbreviation":"Med Care","language":"eng","note":"PMID: 9431328","page":"8-27","source":"PubMed","title":"Comorbidity measures for use with administrative data","volume":"36","author":[{"family":"Elixhauser","given":"A."},{"family":"Steiner","given":"C."},{"family":"Harris","given":"D. R."},{"family":"Coffey","given":"R. M."}],"issued":{"date-parts":[["1998",1]]}}}],"schema":"https://github.com/citation-style-language/schema/raw/master/csl-citation.json"} </w:instrText>
      </w:r>
      <w:r w:rsidR="001618CD">
        <w:rPr>
          <w:color w:val="202124"/>
          <w:u w:color="202124"/>
        </w:rPr>
        <w:fldChar w:fldCharType="separate"/>
      </w:r>
      <w:r w:rsidR="00437491">
        <w:rPr>
          <w:noProof/>
          <w:color w:val="202124"/>
          <w:u w:color="202124"/>
        </w:rPr>
        <w:t>[10]</w:t>
      </w:r>
      <w:r w:rsidR="001618CD">
        <w:rPr>
          <w:color w:val="202124"/>
          <w:u w:color="202124"/>
        </w:rPr>
        <w:fldChar w:fldCharType="end"/>
      </w:r>
      <w:r w:rsidRPr="00AB0B42">
        <w:rPr>
          <w:color w:val="202124"/>
          <w:u w:color="202124"/>
        </w:rPr>
        <w:t xml:space="preserve"> (incorporating various comorbidities such as renal failure, diabetes, metastatic cancer, and pulmonary circulation disorders),</w:t>
      </w:r>
      <w:r w:rsidRPr="00AB0B42">
        <w:t xml:space="preserve"> or clinically relevant categories (body mass index). Sex, smoking, chronic lung diseases, positive or negative </w:t>
      </w:r>
      <w:proofErr w:type="spellStart"/>
      <w:r w:rsidRPr="00AB0B42">
        <w:t>fluidbalance</w:t>
      </w:r>
      <w:proofErr w:type="spellEnd"/>
      <w:r w:rsidRPr="00AB0B42">
        <w:t>, the occurrence of a high D-Dimer or high N-terminal prohormone of brain natriuretic peptide (NT-</w:t>
      </w:r>
      <w:proofErr w:type="spellStart"/>
      <w:r w:rsidRPr="00AB0B42">
        <w:t>proBNP</w:t>
      </w:r>
      <w:proofErr w:type="spellEnd"/>
      <w:r w:rsidRPr="00AB0B42">
        <w:t>)</w:t>
      </w:r>
      <w:r w:rsidR="00BA62E9" w:rsidRPr="00AB0B42">
        <w:t>, the administration of ketamine, dexmedetomidine, midazolam</w:t>
      </w:r>
      <w:r w:rsidRPr="00AB0B42">
        <w:t xml:space="preserve"> </w:t>
      </w:r>
      <w:r w:rsidR="00BA62E9" w:rsidRPr="00AB0B42">
        <w:t>and</w:t>
      </w:r>
      <w:r w:rsidRPr="00AB0B42">
        <w:t xml:space="preserve"> non-</w:t>
      </w:r>
      <w:r w:rsidR="00CF0C75" w:rsidRPr="00AB0B42">
        <w:t>depolarizing</w:t>
      </w:r>
      <w:r w:rsidRPr="00AB0B42">
        <w:t xml:space="preserve"> neuro-muscular blocking agents (NMBA) were included as binary variables. The injection of NMBA was defined as the administration at any given time point after one hour of mechanical ventilation start, excluding boluses. Opioid doses were calculated in oral morphine equivalent doses. Vasopressor doses were calculated in norepinephrine equivalents. The APACHE-II score was calculated based on 12 physiological and two disease-related components. If one of those components was missing</w:t>
      </w:r>
      <w:r w:rsidR="00801AF8">
        <w:t xml:space="preserve"> (</w:t>
      </w:r>
      <w:r w:rsidR="00801AF8">
        <w:rPr>
          <w:i/>
          <w:iCs/>
        </w:rPr>
        <w:t>Table S2)</w:t>
      </w:r>
      <w:r w:rsidRPr="00AB0B42">
        <w:t>, the whole score was set to missing. Therefore, we imputed missing APACHE-II values prior to analysis using multiple imputation by chained equations in R Statistical Software (Version 4.2.0, Foundation for Statistical Computing, Vienna, Austria). Elevated NT-</w:t>
      </w:r>
      <w:proofErr w:type="spellStart"/>
      <w:r w:rsidRPr="00AB0B42">
        <w:t>proBNP</w:t>
      </w:r>
      <w:proofErr w:type="spellEnd"/>
      <w:r w:rsidRPr="00AB0B42">
        <w:t xml:space="preserve"> levels were defined by the age-cut points </w:t>
      </w:r>
      <w:r w:rsidRPr="00AB0B42">
        <w:rPr>
          <w:shd w:val="clear" w:color="auto" w:fill="FFFFFF"/>
        </w:rPr>
        <w:t>&lt;50, 50-75, and &gt;75</w:t>
      </w:r>
      <w:r w:rsidRPr="00AB0B42">
        <w:t>, with corresponding NT-</w:t>
      </w:r>
      <w:proofErr w:type="spellStart"/>
      <w:r w:rsidRPr="00AB0B42">
        <w:t>proBNP</w:t>
      </w:r>
      <w:proofErr w:type="spellEnd"/>
      <w:r w:rsidRPr="00AB0B42">
        <w:t xml:space="preserve"> levels 450, 900 and 1800 </w:t>
      </w:r>
      <w:proofErr w:type="spellStart"/>
      <w:r w:rsidRPr="00AB0B42">
        <w:rPr>
          <w:color w:val="212121"/>
          <w:u w:color="212121"/>
          <w:shd w:val="clear" w:color="auto" w:fill="FFFFFF"/>
        </w:rPr>
        <w:t>pg</w:t>
      </w:r>
      <w:proofErr w:type="spellEnd"/>
      <w:r w:rsidRPr="00AB0B42">
        <w:rPr>
          <w:color w:val="212121"/>
          <w:u w:color="212121"/>
          <w:shd w:val="clear" w:color="auto" w:fill="FFFFFF"/>
        </w:rPr>
        <w:t>/mL</w:t>
      </w:r>
      <w:r w:rsidRPr="00AB0B42">
        <w:t>, respectively and used as a binary variable</w:t>
      </w:r>
      <w:r w:rsidR="001618CD">
        <w:t xml:space="preserve"> </w:t>
      </w:r>
      <w:r w:rsidR="001618CD">
        <w:fldChar w:fldCharType="begin"/>
      </w:r>
      <w:r w:rsidR="00437491">
        <w:instrText xml:space="preserve"> ADDIN ZOTERO_ITEM CSL_CITATION {"citationID":"I2BmaxZE","properties":{"formattedCitation":"[11]","plainCitation":"[11]","noteIndex":0},"citationItems":[{"id":84,"uris":["http://zotero.org/users/9579308/items/32Z7VHI6"],"itemData":{"id":84,"type":"article-journal","abstract":"AIMS: Experience with amino-terminal pro-brain natriuretic peptide (NT-proBNP) testing for evaluation of dyspnoeic patients with suspected acute heart failure (HF) is limited to single-centre studies. We wished to establish broader standards for NT-proBNP testing in a study involving four sites in three continents.\nMETHODS AND RESULTS: Differences in NT-proBNP levels among 1256 patients with and without acute HF and the relationship between NT-proBNP levels and HF symptoms were examined. Optimal cut-points for diagnosis and prognosis were identified and verified using bootstrapping and multi-variable logistic regression techniques. Seven hundred and twenty subjects (57.3%) had acute HF, whose median NT-proBNP was considerably higher than those without (4639 vs. 108 pg/mL, P&lt;0.001), and levels of NT-proBNP correlated with HF symptom severity (P=0.008). An optimal strategy to identify acute HF was to use age-related cut-points of 450, 900, and 1800 pg/mL for ages &lt;50, 50-75, and &gt;75, which yielded 90% sensitivity and 84% specificity for acute HF. An age-independent cut-point of 300 pg/mL had 98% negative predictive value to exclude acute HF. Among those with acute HF, a presenting NT-proBNP concentration &gt;5180 pg/mL was strongly predictive of death by 76 days [odds ratio=5.2, 95% confidence interval (CI)=2.2-8.1, P&lt;0.001].\nCONCLUSION: In this multi-centre, international study, NT-proBNP testing was valuable for diagnostic evaluation and short-term prognosis estimation in dyspnoeic subjects with suspected or confirmed acute HF and should establish broader standards for use of the NT-proBNP in dyspnoeic patients.","container-title":"European Heart Journal","DOI":"10.1093/eurheartj/ehi631","ISSN":"0195-668X","issue":"3","journalAbbreviation":"Eur Heart J","language":"eng","note":"PMID: 16293638","page":"330-337","source":"PubMed","title":"NT-proBNP testing for diagnosis and short-term prognosis in acute destabilized heart failure: an international pooled analysis of 1256 patients: the International Collaborative of NT-proBNP Study","title-short":"NT-proBNP testing for diagnosis and short-term prognosis in acute destabilized heart failure","volume":"27","author":[{"family":"Januzzi","given":"James L."},{"family":"Kimmenade","given":"Roland","non-dropping-particle":"van"},{"family":"Lainchbury","given":"John"},{"family":"Bayes-Genis","given":"Antoni"},{"family":"Ordonez-Llanos","given":"Jordi"},{"family":"Santalo-Bel","given":"Miguel"},{"family":"Pinto","given":"Yigal M."},{"family":"Richards","given":"Mark"}],"issued":{"date-parts":[["2006",2]]}}}],"schema":"https://github.com/citation-style-language/schema/raw/master/csl-citation.json"} </w:instrText>
      </w:r>
      <w:r w:rsidR="001618CD">
        <w:fldChar w:fldCharType="separate"/>
      </w:r>
      <w:r w:rsidR="00437491">
        <w:rPr>
          <w:noProof/>
        </w:rPr>
        <w:t>[11]</w:t>
      </w:r>
      <w:r w:rsidR="001618CD">
        <w:fldChar w:fldCharType="end"/>
      </w:r>
      <w:r w:rsidRPr="00AB0B42">
        <w:rPr>
          <w:color w:val="202124"/>
          <w:u w:color="202124"/>
        </w:rPr>
        <w:t xml:space="preserve">. </w:t>
      </w:r>
      <w:r w:rsidRPr="00AB0B42">
        <w:t>High D-Dimer levels were defined as D-Dimer &gt;500 ng/ml and used as a binary variable</w:t>
      </w:r>
      <w:r w:rsidR="001618CD">
        <w:t xml:space="preserve"> </w:t>
      </w:r>
      <w:r w:rsidR="001618CD">
        <w:fldChar w:fldCharType="begin"/>
      </w:r>
      <w:r w:rsidR="00437491">
        <w:instrText xml:space="preserve"> ADDIN ZOTERO_ITEM CSL_CITATION {"citationID":"cVsIV4ca","properties":{"formattedCitation":"[12]","plainCitation":"[12]","noteIndex":0},"citationItems":[{"id":71,"uris":["http://zotero.org/users/9579308/items/F5VVNDMT"],"itemData":{"id":71,"type":"article-journal","abstract":"The 2019 novel coronavirus, declared a pandemic, has infected 2.6 million people as of April 27, 2020, and has resulted in the death of 181,938 people. D-dimer is an important prognostic tool, is often elevated in patients with severe coronavirus disease-19 (COVID-19) infection and in those who suffered death. In this systematic review, we aimed to investigate the prognostic role of D-dimer in COVID-19-infected patients. We searched PubMed, Medline, Embase, Ovid, and Cochrane for studies reporting admission D-dimer levels in COVID-19 patients and its effect on mortality. Eighteen studies (16 retrospective and 2 prospective) with a total of 3682 patients met the inclusion criteria. The pooled weighted mean difference (WMD) demonstrated significantly elevated D-dimer levels in patients who died versus those who survived (WMD, 6.13 mg/L; 95% confidence interval [CI] 4.16-8.11; P &lt; 0.001). Similarly, the pooled mean D-dimer levels were significantly elevated in patients with severe COVID-19 infection (WMD, 0.54 mg/L; 95% CI 0.28-0.80; P &lt; 0.001). The risk of mortality was fourfold higher in patients with positive D-dimer versus negative D-dimer (risk ratio, 4.11; 95% CI, 2.48-6.84; P &lt; 0.001) and the risk of developing severe disease was twofold higher in patients with positive D-dimer levels versus negative D-dimer (risk ratio, 2.04; 95% CI, 1.34-3.11; P &lt; 0.001). Our meta-analysis demonstrates that patients with COVID-19 infection presenting with elevated D-dimer levels have an increased risk of severe disease and mortality.","container-title":"Cardiology in Review","DOI":"10.1097/CRD.0000000000000330","ISSN":"1538-4683","issue":"6","journalAbbreviation":"Cardiol Rev","language":"eng","note":"PMID: 33017364\nPMCID: PMC7437424","page":"295-302","source":"PubMed","title":"Elevated D-Dimer Levels Are Associated With Increased Risk of Mortality in Coronavirus Disease 2019: A Systematic Review and Meta-Analysis","title-short":"Elevated D-Dimer Levels Are Associated With Increased Risk of Mortality in Coronavirus Disease 2019","volume":"28","author":[{"family":"Shah","given":"Siddharth"},{"family":"Shah","given":"Kuldeep"},{"family":"Patel","given":"Siddharth B."},{"family":"Patel","given":"Foram S."},{"family":"Osman","given":"Mohammed"},{"family":"Velagapudi","given":"Poonam"},{"family":"Turagam","given":"Mohit K."},{"family":"Lakkireddy","given":"Dhanunjaya"},{"family":"Garg","given":"Jalaj"}],"issued":{"date-parts":[["2020",12]]}}}],"schema":"https://github.com/citation-style-language/schema/raw/master/csl-citation.json"} </w:instrText>
      </w:r>
      <w:r w:rsidR="001618CD">
        <w:fldChar w:fldCharType="separate"/>
      </w:r>
      <w:r w:rsidR="00437491">
        <w:rPr>
          <w:noProof/>
        </w:rPr>
        <w:t>[12]</w:t>
      </w:r>
      <w:r w:rsidR="001618CD">
        <w:fldChar w:fldCharType="end"/>
      </w:r>
      <w:r w:rsidRPr="00AB0B42">
        <w:rPr>
          <w:color w:val="212121"/>
          <w:sz w:val="28"/>
          <w:szCs w:val="28"/>
          <w:u w:color="212121"/>
          <w:vertAlign w:val="subscript"/>
        </w:rPr>
        <w:t>.</w:t>
      </w:r>
    </w:p>
    <w:p w14:paraId="6CDCB40B" w14:textId="0239C010" w:rsidR="004944EB" w:rsidRDefault="004944EB" w:rsidP="004944EB">
      <w:pPr>
        <w:pStyle w:val="Heading1"/>
      </w:pPr>
      <w:r w:rsidRPr="00AB0B42">
        <w:t xml:space="preserve">APPENDIX S2: </w:t>
      </w:r>
      <w:r>
        <w:t>CO-PRIMARY ANALYSIS</w:t>
      </w:r>
    </w:p>
    <w:p w14:paraId="7C89D9F6" w14:textId="7DD23516" w:rsidR="004944EB" w:rsidRPr="00B45A17" w:rsidRDefault="004944EB" w:rsidP="004944EB">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 xml:space="preserve">Our co-primary hypothesis was that any association between mechanical power and mortality was modified by a diagnosis of COVID-19. To assess our hypothesis, we conducted an interaction term analysis as it is popular in practice to assess the existence of effect modifier </w:t>
      </w:r>
      <w:r w:rsidRPr="00B45A17">
        <w:rPr>
          <w:rFonts w:eastAsia="Times New Roman" w:cs="Times New Roman"/>
          <w:i/>
          <w:iCs/>
          <w:color w:val="000000" w:themeColor="text1"/>
          <w:bdr w:val="none" w:sz="0" w:space="0" w:color="auto"/>
          <w:shd w:val="clear" w:color="auto" w:fill="FFFFFF"/>
          <w14:textOutline w14:w="0" w14:cap="rnd" w14:cmpd="sng" w14:algn="ctr">
            <w14:noFill/>
            <w14:prstDash w14:val="solid"/>
            <w14:bevel/>
          </w14:textOutline>
        </w:rPr>
        <w:fldChar w:fldCharType="begin"/>
      </w:r>
      <w:r w:rsidR="00437491">
        <w:rPr>
          <w:rFonts w:eastAsia="Times New Roman" w:cs="Times New Roman"/>
          <w:i/>
          <w:iCs/>
          <w:color w:val="000000" w:themeColor="text1"/>
          <w:bdr w:val="none" w:sz="0" w:space="0" w:color="auto"/>
          <w:shd w:val="clear" w:color="auto" w:fill="FFFFFF"/>
          <w14:textOutline w14:w="0" w14:cap="rnd" w14:cmpd="sng" w14:algn="ctr">
            <w14:noFill/>
            <w14:prstDash w14:val="solid"/>
            <w14:bevel/>
          </w14:textOutline>
        </w:rPr>
        <w:instrText xml:space="preserve"> ADDIN ZOTERO_ITEM CSL_CITATION {"citationID":"I6XnLuUM","properties":{"formattedCitation":"[13\\uc0\\u8211{}18]","plainCitation":"[13–18]","noteIndex":0},"citationItems":[{"id":301,"uris":["http://zotero.org/users/9579308/items/3RRJGE53"],"itemData":{"id":301,"type":"article-journal","abstract":"This paper contrasts the concepts of interaction and effect modification using a series of examples. Interaction and effect modification are formally defined within the counterfactual framework. Interaction is defined in terms of the effects of 2 interventions whereas effect modification is defined in terms of the effect of one intervention varying across strata of a second variable. Effect modification can be present with no interaction; interaction can be present with no effect modification. There are settings in which it is possible to assess effect modification but not interaction, or to assess interaction but not effect modification. The analytic procedures for obtaining estimates of effect modification parameters and interaction parameters using marginal structural models are compared and contrasted. A characterization is given of the settings in which interaction and effect modification coincide.","container-title":"Epidemiology (Cambridge, Mass.)","DOI":"10.1097/EDE.0b013e3181ba333c","ISSN":"1531-5487","issue":"6","journalAbbreviation":"Epidemiology","language":"eng","note":"PMID: 19806059","page":"863-871","source":"PubMed","title":"On the distinction between interaction and effect modification","volume":"20","author":[{"family":"VanderWeele","given":"Tyler J."}],"issued":{"date-parts":[["2009",11]]}}},{"id":304,"uris":["http://zotero.org/users/9579308/items/IRH8DDJM"],"itemData":{"id":304,"type":"article-journal","abstract":"BACKGROUND: Invasive mechanical ventilation in critically ill adults involves adjusting the fraction of inspired oxygen to maintain arterial oxygen saturation. The oxygen-saturation target that will optimize clinical outcomes in this patient population remains unknown.\nMETHODS: In a pragmatic, cluster-randomized, cluster-crossover trial conducted in the emergency department and medical intensive care unit at an academic center, we assigned adults who were receiving mechanical ventilation to a lower target for oxygen saturation as measured by pulse oximetry (Spo2) (90%; goal range, 88 to 92%), an intermediate target (94%; goal range, 92 to 96%), or a higher target (98%; goal range, 96 to 100%). The primary outcome was the number of days alive and free of mechanical ventilation (ventilator-free days) through day 28. The secondary outcome was death by day 28, with data censored at hospital discharge.\nRESULTS: A total of 2541 patients were included in the primary analysis. The median number of ventilator-free days was 20 (interquartile range, 0 to 25) in the lower-target group, 21 (interquartile range, 0 to 25) in the intermediate-target group, and 21 (interquartile range, 0 to 26) in the higher-target group (P = 0.81). In-hospital death by day 28 occurred in 281 of the 808 patients (34.8%) in the lower-target group, 292 of the 859 patients (34.0%) in the intermediate-target group, and 290 of the 874 patients (33.2%) in the higher-target group. The incidences of cardiac arrest, arrhythmia, myocardial infarction, stroke, and pneumothorax were similar in the three groups.\nCONCLUSIONS: Among critically ill adults receiving invasive mechanical ventilation, the number of ventilator-free days did not differ among groups in which a lower, intermediate, or higher Spo2 target was used. (Supported by the National Heart, Lung, and Blood Institute and others; PILOT ClinicalTrials.gov number, NCT03537937.).","container-title":"The New England Journal of Medicine","DOI":"10.1056/NEJMoa2208415","ISSN":"1533-4406","issue":"19","journalAbbreviation":"N Engl J Med","language":"eng","note":"PMID: 36278971\nPMCID: PMC9724830","page":"1759-1769","source":"PubMed","title":"Oxygen-Saturation Targets for Critically Ill Adults Receiving Mechanical Ventilation","volume":"387","author":[{"family":"Semler","given":"Matthew W."},{"family":"Casey","given":"Jonathan D."},{"family":"Lloyd","given":"Bradley D."},{"family":"Hastings","given":"Pamela G."},{"family":"Hays","given":"Margaret A."},{"family":"Stollings","given":"Joanna L."},{"family":"Buell","given":"Kevin G."},{"family":"Brems","given":"John H."},{"family":"Qian","given":"Edward T."},{"family":"Seitz","given":"Kevin P."},{"family":"Wang","given":"Li"},{"family":"Lindsell","given":"Christopher J."},{"family":"Freundlich","given":"Robert E."},{"family":"Wanderer","given":"Jonathan P."},{"family":"Han","given":"Jin H."},{"family":"Bernard","given":"Gordon R."},{"family":"Self","given":"Wesley H."},{"family":"Rice","given":"Todd W."},{"literal":"PILOT Investigators and the Pragmatic Critical Care Research Group"}],"issued":{"date-parts":[["2022",11,10]]}}},{"id":315,"uris":["http://zotero.org/users/9579308/items/6BK3K29Z"],"itemData":{"id":315,"type":"article-journal","abstract":"Rationale: Clinicians commonly use short-term physiologic markers to assess the benefit of ventilator adjustments. Improved arterial oxygen tension/pressure (PaO2)/fraction of inspired oxygen (FiO2) after ventilator adjustment in acute respiratory distress syndrome is associated with lower mortality. However, as driving pressure (ΔP) reflects lung stress and strain, changes in ΔP may more accurately reflect benefits or harms of ventilator adjustments compared with changes in oxygenation.Objectives: We aimed to compare the association between mortality and the changes in PaO2/FiO2 and ΔP following protocolized ventilator changes.Methods: We assessed associations between mortality and changes in PaO2/FiO2 (ΔPaO2/FiO2) and ΔP (ΔΔP) after postrandomization positive end-expiratory pressure (PEEP) and tidal volume adjustment in reanalyses of the ALVEOLI (Assessment of Low Tidal Volume and Elevated End-Expiratory Volume to Obviate Lung Injury) and ExPress (Expiratory Pressure) trials. We included subjects with available pre- and postintervention PaO2/FiO2 and ΔP (372 in ALVEOLI and 596 in ExPress). In each separate trial cohort, we performed multivariable Cox regression testing the association between ΔPaO2/FiO2 and ΔΔP with mortality.Results: In ALVEOLI, when analyzed as separate variables, ΔPaO2/FiO2 was associated with mortality only in subjects in whom PEEP increased, whereas ΔΔP was associated with mortality irrespective of direction of PEEP change. When modeled together, improved ΔPaO2/FiO2 was not associated with mortality, whereas ΔΔP remained associated with mortality (adjusted hazard ratio [aHR], 1.50 per 5 cm H2O increase; 95% confidence interval [95% CI], 1.21-1.85). When modeled together in ExPress, ΔΔP (aHR, 1.42; 95% CI, 1.14-1.78) was more strongly associated with mortality than ΔPaO2/FiO2 (aHR, 0.95 per 25 mm Hg increase; 95% CI, 0.90-1.00).Conclusions: Reduced ΔP following protocolized ventilator changes was more strongly and consistently associated with lower mortality than was increased PaO2/FiO2, making ΔΔP more informative about benefit from ventilator adjustments. Our results reinforce the primacy of ΔP, rather than oxygenation, as the key variable associated with outcome.","container-title":"Annals of the American Thoracic Society","DOI":"10.1513/AnnalsATS.202007-862OC","ISSN":"2325-6621","issue":"5","journalAbbreviation":"Ann Am Thorac Soc","language":"eng","note":"PMID: 33112644\nPMCID: PMC8086544","page":"857-864","source":"PubMed","title":"Response to Ventilator Adjustments for Predicting Acute Respiratory Distress Syndrome Mortality. Driving Pressure versus Oxygenation","volume":"18","author":[{"family":"Yehya","given":"Nadir"},{"family":"Hodgson","given":"Carol L."},{"family":"Amato","given":"Marcelo B. P."},{"family":"Richard","given":"Jean-Christophe"},{"family":"Brochard","given":"Laurent J."},{"family":"Mercat","given":"Alain"},{"family":"Goligher","given":"Ewan C."}],"issued":{"date-parts":[["2021",5]]}}},{"id":306,"uris":["http://zotero.org/users/9579308/items/63S2R423"],"itemData":{"id":306,"type":"article-journal","abstract":"BACKGROUND: The ferocious global assault of COVID-19 continues. Critically ill patients witnessed significantly higher mortality than severe and moderate ones. Herein, we aim to comprehensively delineate clinical features of COVID-19 and explore risk factors of developing critical disease.\nMETHODS: This is a Mini-national multicenter, retrospective, cohort study involving 2,387 consecutive COVID-19 inpatients that underwent discharge or death between January 27 and March 21, 2020. After quality control, 2,044 COVID-19 inpatients were enrolled. Electronic medical records were collected to identify the risk factors of developing critical COVID-19.\nFINDINGS: The severity of COVID-19 climbed up straightly with age. Critical group was characterized by higher proportion of dyspnea, systemic organ damage, and long-lasting inflammatory storm. All-cause mortality of critical group was 85•45%, by contrast with 0•58% for severe group and 0•18% for moderate group. Logistic regression revealed that sex was an effect modifier for hypertension and coronary heart disease (CHD), where hypertension and CHD were risk factors solely in males. Multivariable regression showed increasing odds of critical illness associated with hypertension, CHD, tumor, and age ≥ 60 years for male, and chronic obstructive pulmonary disease (COPD), chronic kidney disease (CKD), tumor, and age ≥ 60 years for female.\nINTERPRETATION: We provide comprehensive front-line information about different severity of COVID-19 and insights into different risk factors associated with critical COVID-19 between sexes. These results highlight the significance of dividing risk factors between sexes in clinical and epidemiologic works of COVID-19, and perhaps other coronavirus appearing in future.\nFUNDING: 10.13039/100000001 National Science Foundation of China.","container-title":"EClinicalMedicine","DOI":"10.1016/j.eclinm.2020.100471","ISSN":"2589-5370","journalAbbreviation":"EClinicalMedicine","language":"eng","note":"PMID: 32840491\nPMCID: PMC7391125","page":"100471","source":"PubMed","title":"Risk factors for developing into critical COVID-19 patients in Wuhan, China: A multicenter, retrospective, cohort study","title-short":"Risk factors for developing into critical COVID-19 patients in Wuhan, China","volume":"25","author":[{"family":"Liu","given":"Dan"},{"family":"Cui","given":"Pengfei"},{"family":"Zeng","given":"Shaoqing"},{"family":"Wang","given":"Siyuan"},{"family":"Feng","given":"Xinxia"},{"family":"Xu","given":"Sen"},{"family":"Li","given":"Ruyuan"},{"family":"Gao","given":"Yue"},{"family":"Yu","given":"Ruidi"},{"family":"Wang","given":"Ya"},{"family":"Yuan","given":"Yuan"},{"family":"Li","given":"Huayi"},{"family":"Jiao","given":"Xiaofei"},{"family":"Chi","given":"Jianhua"},{"family":"Liu","given":"Jiahao"},{"family":"Yu","given":"Yang"},{"family":"Zheng","given":"Xu"},{"family":"Song","given":"Chunyan"},{"family":"Jin","given":"Ning"},{"family":"Gong","given":"Wenjian"},{"family":"Liu","given":"Xingyu"},{"family":"Cai","given":"Guangyao"},{"family":"Li","given":"Chunrui"},{"family":"Gao","given":"Qinglei"}],"issued":{"date-parts":[["2020",8]]}}},{"id":309,"uris":["http://zotero.org/users/9579308/items/5I9P57DV"],"itemData":{"id":309,"type":"article-journal","abstract":"INTRODUCTION: Obstructive lung diseases (asthma and chronic obstructive pulmonary disease (COPD)) and smoking are associated with greater risk of respiratory infections and hospitalisations, but conflicting data exist regarding their association with severity of COVID-19, and few studies have evaluated whether these associations differ by age.\nOBJECTIVES: To examine the associations between asthma, COPD and smoking on the severity of COVID-19 among a cohort of hospitalised patients, and to test for effect modification by age.\nMETHODS: We performed a retrospective analysis of electronic health record data of patients admitted to Massachusetts General Hospital, assigning the maximal WHO Clinical Progression Scale score for each patient during the first 28 days following hospital admission. Using ordered logistic regression, we measured the association between maximal severity score and asthma, COPD and smoking and their interaction with age.\nMEASUREMENTS AND MAIN RESULTS: Among 1391 patients hospitalised with COVID-19, we found an increased risk of severe disease among patients with COPD and prior smoking, independent of age. We also found evidence of effect modification by age with asthma and current smoking; in particular, asthma was associated with decreased COVID-19 severity among older adults, and current smoking was associated with decreased severity among younger patients.\nCONCLUSIONS: This cohort study identifies age as a modifying factor for the association between asthma and smoking on severity of COVID-19. Our findings highlight the complexities of determining risk factors for COVID-19 severity, and suggest that the effect of risk factors may vary across the age spectrum.","container-title":"BMJ open respiratory research","DOI":"10.1136/bmjresp-2021-001038","ISSN":"2052-4439","issue":"1","journalAbbreviation":"BMJ Open Respir Res","language":"eng","note":"PMID: 34740944\nPMCID: PMC8573665","page":"e001038","source":"PubMed","title":"Effect modification by age of the association between obstructive lung diseases, smoking, and COVID-19 severity","volume":"8","author":[{"family":"Moschovis","given":"Peter P."},{"family":"Lu","given":"Mengdi"},{"family":"Hayden","given":"Douglas"},{"family":"Yonker","given":"Lael M."},{"family":"Lombay","given":"Jesiel"},{"family":"Taveras","given":"Elsie"},{"family":"Arauz Boudreau","given":"Alexy"},{"family":"Triant","given":"Virginia A."},{"family":"Foulkes","given":"Andrea S."},{"family":"Bassett","given":"Ingrid"},{"family":"Hibberd","given":"Patricia L."},{"family":"Kinane","given":"T. Bernard"}],"issued":{"date-parts":[["2021",11]]}}},{"id":312,"uris":["http://zotero.org/users/9579308/items/EXUR9CSP"],"itemData":{"id":312,"type":"article-journal","abstract":"Older age is a key risk factor for adverse outcomes in critically ill patients with COVID-19. However, few studies have investigated whether preexisting comorbidities and acute physiologic ICU factors modify the association between age and death.\nDESIGN: Multicenter cohort study.\nSETTING: ICUs at 68 hospitals across the United States.\nPATIENTS: A total of 5,037 critically ill adults with COVID-19 admitted to ICUs between March 1, 2020, and July 1, 2020.\nINTERVENTIONS: None.\nMEASUREMENTS AND MAIN RESULTS: The primary exposure was age, modeled as a continuous variable. The primary outcome was 28-day inhospital mortality. Multivariable logistic regression tested the association between age and death. Effect modification by the number of risk factors was assessed through a multiplicative interaction term in the logistic regression model. Among the 5,037 patients included (mean age, 60.9 yr [± 14.7], 3,179 [63.1%] male), 1,786 (35.4%) died within 28 days. Age had a nonlinear association with 28-day mortality (p for nonlinearity &lt;0.001) after adjustment for covariates that included demographics, preexisting comorbidities, acute physiologic ICU factors, number of ICU beds, and treatments for COVID-19. The number of preexisting comorbidities and acute physiologic ICU factors modified the association between age and 28-day mortality (p for interaction &lt;0.001), but this effect modification was modest as age still had an exponential relationship with death in subgroups stratified by the number of risk factors.\nCONCLUSIONS: In a large population of critically ill patients with COVID-19, age had an independent exponential association with death. The number of preexisting comorbidities and acute physiologic ICU factors modified the association between age and death, but age still had an exponential association with death in subgroups according to the number of risk factors present. Additional studies are needed to identify the mechanisms underpinning why older age confers an increased risk of death in critically ill patients with COVID-19.","container-title":"Critical Care Explorations","DOI":"10.1097/CCE.0000000000000755","ISSN":"2639-8028","issue":"9","journalAbbreviation":"Crit Care Explor","language":"eng","note":"PMID: 36050992\nPMCID: PMC9426819","page":"e0755","source":"PubMed","title":"Modulation of the Association Between Age and Death by Risk Factor Burden in Critically Ill Patients With COVID-19","volume":"4","author":[{"family":"Sunderraj","given":"Ashwin"},{"family":"Cho","given":"Chloe"},{"family":"Cai","given":"Xuan"},{"family":"Gupta","given":"Shruti"},{"family":"Mehta","given":"Rupal"},{"family":"Isakova","given":"Tamara"},{"family":"Leaf","given":"David E."},{"family":"Srivastava","given":"Anand"},{"literal":"STOP-COVID Investigators"}],"issued":{"date-parts":[["2022",9]]}}}],"schema":"https://github.com/citation-style-language/schema/raw/master/csl-citation.json"} </w:instrText>
      </w:r>
      <w:r w:rsidRPr="00B45A17">
        <w:rPr>
          <w:rFonts w:eastAsia="Times New Roman" w:cs="Times New Roman"/>
          <w:i/>
          <w:iCs/>
          <w:color w:val="000000" w:themeColor="text1"/>
          <w:bdr w:val="none" w:sz="0" w:space="0" w:color="auto"/>
          <w:shd w:val="clear" w:color="auto" w:fill="FFFFFF"/>
          <w14:textOutline w14:w="0" w14:cap="rnd" w14:cmpd="sng" w14:algn="ctr">
            <w14:noFill/>
            <w14:prstDash w14:val="solid"/>
            <w14:bevel/>
          </w14:textOutline>
        </w:rPr>
        <w:fldChar w:fldCharType="separate"/>
      </w:r>
      <w:r w:rsidR="00437491" w:rsidRPr="00437491">
        <w:rPr>
          <w:rFonts w:cs="Times New Roman"/>
        </w:rPr>
        <w:t>[13–18]</w:t>
      </w:r>
      <w:r w:rsidRPr="00B45A17">
        <w:rPr>
          <w:rFonts w:eastAsia="Times New Roman" w:cs="Times New Roman"/>
          <w:i/>
          <w:iCs/>
          <w:color w:val="000000" w:themeColor="text1"/>
          <w:bdr w:val="none" w:sz="0" w:space="0" w:color="auto"/>
          <w:shd w:val="clear" w:color="auto" w:fill="FFFFFF"/>
          <w14:textOutline w14:w="0" w14:cap="rnd" w14:cmpd="sng" w14:algn="ctr">
            <w14:noFill/>
            <w14:prstDash w14:val="solid"/>
            <w14:bevel/>
          </w14:textOutline>
        </w:rPr>
        <w:fldChar w:fldCharType="end"/>
      </w:r>
      <w:r w:rsidRPr="00AB0B42">
        <w:rPr>
          <w:rFonts w:eastAsia="Times New Roman" w:cs="Times New Roman"/>
          <w:i/>
          <w:iCs/>
          <w:color w:val="000000" w:themeColor="text1"/>
          <w:bdr w:val="none" w:sz="0" w:space="0" w:color="auto"/>
          <w:shd w:val="clear" w:color="auto" w:fill="FFFFFF"/>
          <w14:textOutline w14:w="0" w14:cap="rnd" w14:cmpd="sng" w14:algn="ctr">
            <w14:noFill/>
            <w14:prstDash w14:val="solid"/>
            <w14:bevel/>
          </w14:textOutline>
        </w:rPr>
        <w:t>.</w:t>
      </w:r>
      <w:r w:rsidRPr="00AB0B42">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 xml:space="preserve"> </w:t>
      </w:r>
      <w:r w:rsidR="00F708E4" w:rsidRPr="00F708E4">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 xml:space="preserve">As effect modification and interaction do not always coincide, we conducted </w:t>
      </w:r>
      <w:r w:rsidRPr="00AB0B42">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a crude analysis (adjust</w:t>
      </w:r>
      <w:r w:rsidRPr="00B45A17">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ment</w:t>
      </w:r>
      <w:r w:rsidRPr="00AB0B42">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 xml:space="preserve"> for the primary confounder model but not COVID-19) and stratified the analysis by patients' COVID-19 status to examine whether the effect of mechanical power is heterogeneous and modified by a COVID-19 diagnosis </w:t>
      </w:r>
      <w:r w:rsidRPr="00B45A17">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fldChar w:fldCharType="begin"/>
      </w:r>
      <w:r w:rsidR="00437491">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instrText xml:space="preserve"> ADDIN ZOTERO_ITEM CSL_CITATION {"citationID":"EbhQz2mV","properties":{"formattedCitation":"[19]","plainCitation":"[19]","noteIndex":0},"citationItems":[{"id":318,"uris":["http://zotero.org/users/9579308/items/LMGZJTM3"],"itemData":{"id":318,"type":"article-journal","abstract":"We revisited the three interrelated epidemiological concepts of effect modification, interaction and mediation for clinical investigators and examined their applicability when using research databases. The standard methods that are available to assess interaction, effect modification and mediation are explained and exemplified. For each concept, we first give a simple \"best-case\" example from a randomized controlled trial, followed by a structurally similar example from an observational study using research databases. Our explanation of the examples is based on recent theoretical developments and insights in the context of large health care databases. Terminology is sometimes ambiguous for what constitutes effect modification and interaction. The strong assumptions underlying the assessment of interaction, and particularly mediation, require clinicians and epidemiologists to take extra care when conducting observational studies in the context of health care databases. These strong assumptions may limit the applicability of interaction and mediation assessments, at least until the biases and limitations of these assessments when using large research databases are clarified.","container-title":"Clinical Epidemiology","DOI":"10.2147/CLEP.S129728","ISSN":"1179-1349","journalAbbreviation":"Clin Epidemiol","language":"eng","note":"PMID: 28652815\nPMCID: PMC5476432","page":"331-338","source":"PubMed","title":"Effect modification, interaction and mediation: an overview of theoretical insights for clinical investigators","title-short":"Effect modification, interaction and mediation","volume":"9","author":[{"family":"Corraini","given":"Priscila"},{"family":"Olsen","given":"Morten"},{"family":"Pedersen","given":"Lars"},{"family":"Dekkers","given":"Olaf M."},{"family":"Vandenbroucke","given":"Jan P."}],"issued":{"date-parts":[["2017"]]}}}],"schema":"https://github.com/citation-style-language/schema/raw/master/csl-citation.json"} </w:instrText>
      </w:r>
      <w:r w:rsidRPr="00B45A17">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fldChar w:fldCharType="separate"/>
      </w:r>
      <w:r w:rsidR="00437491">
        <w:rPr>
          <w:rFonts w:eastAsia="Times New Roman" w:cs="Times New Roman"/>
          <w:noProof/>
          <w:color w:val="000000" w:themeColor="text1"/>
          <w:bdr w:val="none" w:sz="0" w:space="0" w:color="auto"/>
          <w:shd w:val="clear" w:color="auto" w:fill="FFFFFF"/>
          <w14:textOutline w14:w="0" w14:cap="rnd" w14:cmpd="sng" w14:algn="ctr">
            <w14:noFill/>
            <w14:prstDash w14:val="solid"/>
            <w14:bevel/>
          </w14:textOutline>
        </w:rPr>
        <w:t>[19]</w:t>
      </w:r>
      <w:r w:rsidRPr="00B45A17">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fldChar w:fldCharType="end"/>
      </w:r>
      <w:r w:rsidRPr="00AB0B42">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 These results show that overall, mechanical power is associated with mortality (</w:t>
      </w:r>
      <w:proofErr w:type="spellStart"/>
      <w:r w:rsidRPr="00AB0B42">
        <w:rPr>
          <w:rFonts w:eastAsia="Times New Roman" w:cs="Times New Roman"/>
          <w:color w:val="000000" w:themeColor="text1"/>
          <w:bdr w:val="none" w:sz="0" w:space="0" w:color="auto"/>
          <w14:textOutline w14:w="0" w14:cap="rnd" w14:cmpd="sng" w14:algn="ctr">
            <w14:noFill/>
            <w14:prstDash w14:val="solid"/>
            <w14:bevel/>
          </w14:textOutline>
        </w:rPr>
        <w:t>OR</w:t>
      </w:r>
      <w:r w:rsidRPr="00AB0B42">
        <w:rPr>
          <w:rFonts w:eastAsia="Times New Roman" w:cs="Times New Roman"/>
          <w:color w:val="000000" w:themeColor="text1"/>
          <w:bdr w:val="none" w:sz="0" w:space="0" w:color="auto"/>
          <w:vertAlign w:val="subscript"/>
          <w14:textOutline w14:w="0" w14:cap="rnd" w14:cmpd="sng" w14:algn="ctr">
            <w14:noFill/>
            <w14:prstDash w14:val="solid"/>
            <w14:bevel/>
          </w14:textOutline>
        </w:rPr>
        <w:t>adj</w:t>
      </w:r>
      <w:proofErr w:type="spellEnd"/>
      <w:r w:rsidRPr="00AB0B42">
        <w:rPr>
          <w:rFonts w:eastAsia="Times New Roman" w:cs="Times New Roman"/>
          <w:color w:val="000000" w:themeColor="text1"/>
          <w:bdr w:val="none" w:sz="0" w:space="0" w:color="auto"/>
          <w14:textOutline w14:w="0" w14:cap="rnd" w14:cmpd="sng" w14:algn="ctr">
            <w14:noFill/>
            <w14:prstDash w14:val="solid"/>
            <w14:bevel/>
          </w14:textOutline>
        </w:rPr>
        <w:t xml:space="preserve"> </w:t>
      </w:r>
      <w:r w:rsidRPr="00AB0B42">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1.25 per 1-SD, 7.1 J/min increase; 95% CI 1.08-1.45; p=0.003), as well as in the subgroups of patients with (</w:t>
      </w:r>
      <w:proofErr w:type="spellStart"/>
      <w:r w:rsidRPr="00AB0B42">
        <w:rPr>
          <w:rFonts w:eastAsia="Times New Roman" w:cs="Times New Roman"/>
          <w:color w:val="000000" w:themeColor="text1"/>
          <w:bdr w:val="none" w:sz="0" w:space="0" w:color="auto"/>
          <w14:textOutline w14:w="0" w14:cap="rnd" w14:cmpd="sng" w14:algn="ctr">
            <w14:noFill/>
            <w14:prstDash w14:val="solid"/>
            <w14:bevel/>
          </w14:textOutline>
        </w:rPr>
        <w:t>OR</w:t>
      </w:r>
      <w:r w:rsidRPr="00AB0B42">
        <w:rPr>
          <w:rFonts w:eastAsia="Times New Roman" w:cs="Times New Roman"/>
          <w:color w:val="000000" w:themeColor="text1"/>
          <w:bdr w:val="none" w:sz="0" w:space="0" w:color="auto"/>
          <w:vertAlign w:val="subscript"/>
          <w14:textOutline w14:w="0" w14:cap="rnd" w14:cmpd="sng" w14:algn="ctr">
            <w14:noFill/>
            <w14:prstDash w14:val="solid"/>
            <w14:bevel/>
          </w14:textOutline>
        </w:rPr>
        <w:t>adj</w:t>
      </w:r>
      <w:proofErr w:type="spellEnd"/>
      <w:r w:rsidRPr="00AB0B42">
        <w:rPr>
          <w:rFonts w:eastAsia="Times New Roman" w:cs="Times New Roman"/>
          <w:color w:val="000000" w:themeColor="text1"/>
          <w:bdr w:val="none" w:sz="0" w:space="0" w:color="auto"/>
          <w14:textOutline w14:w="0" w14:cap="rnd" w14:cmpd="sng" w14:algn="ctr">
            <w14:noFill/>
            <w14:prstDash w14:val="solid"/>
            <w14:bevel/>
          </w14:textOutline>
        </w:rPr>
        <w:t xml:space="preserve"> </w:t>
      </w:r>
      <w:r w:rsidRPr="00AB0B42">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1.44 per 1-SD, 7.1 J/min increase; 95% CI 1.06-1.94; p=0.019) and without (</w:t>
      </w:r>
      <w:proofErr w:type="spellStart"/>
      <w:r w:rsidRPr="00AB0B42">
        <w:rPr>
          <w:rFonts w:eastAsia="Times New Roman" w:cs="Times New Roman"/>
          <w:color w:val="000000" w:themeColor="text1"/>
          <w:bdr w:val="none" w:sz="0" w:space="0" w:color="auto"/>
          <w14:textOutline w14:w="0" w14:cap="rnd" w14:cmpd="sng" w14:algn="ctr">
            <w14:noFill/>
            <w14:prstDash w14:val="solid"/>
            <w14:bevel/>
          </w14:textOutline>
        </w:rPr>
        <w:t>OR</w:t>
      </w:r>
      <w:r w:rsidRPr="00AB0B42">
        <w:rPr>
          <w:rFonts w:eastAsia="Times New Roman" w:cs="Times New Roman"/>
          <w:color w:val="000000" w:themeColor="text1"/>
          <w:bdr w:val="none" w:sz="0" w:space="0" w:color="auto"/>
          <w:vertAlign w:val="subscript"/>
          <w14:textOutline w14:w="0" w14:cap="rnd" w14:cmpd="sng" w14:algn="ctr">
            <w14:noFill/>
            <w14:prstDash w14:val="solid"/>
            <w14:bevel/>
          </w14:textOutline>
        </w:rPr>
        <w:t>adj</w:t>
      </w:r>
      <w:proofErr w:type="spellEnd"/>
      <w:r w:rsidRPr="00AB0B42">
        <w:rPr>
          <w:rFonts w:eastAsia="Times New Roman" w:cs="Times New Roman"/>
          <w:color w:val="000000" w:themeColor="text1"/>
          <w:bdr w:val="none" w:sz="0" w:space="0" w:color="auto"/>
          <w14:textOutline w14:w="0" w14:cap="rnd" w14:cmpd="sng" w14:algn="ctr">
            <w14:noFill/>
            <w14:prstDash w14:val="solid"/>
            <w14:bevel/>
          </w14:textOutline>
        </w:rPr>
        <w:t xml:space="preserve"> </w:t>
      </w:r>
      <w:r w:rsidRPr="00AB0B42">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 xml:space="preserve">1.24 per 1-SD, 7.1 J/min increase; 95% CI 1.04-1.47; p=0.018) a diagnosis of COVID-19. As shown, the </w:t>
      </w:r>
      <w:r w:rsidR="00AD3A2C" w:rsidRPr="00AB0B42">
        <w:rPr>
          <w:rFonts w:ascii="TimesNewRomanPSMT" w:hAnsi="TimesNewRomanPSMT"/>
          <w:bdr w:val="none" w:sz="0" w:space="0" w:color="auto"/>
          <w14:textOutline w14:w="0" w14:cap="rnd" w14:cmpd="sng" w14:algn="ctr">
            <w14:noFill/>
            <w14:prstDash w14:val="solid"/>
            <w14:bevel/>
          </w14:textOutline>
        </w:rPr>
        <w:t>OR</w:t>
      </w:r>
      <w:r w:rsidR="00AD3A2C" w:rsidRPr="00AB0B42">
        <w:rPr>
          <w:rFonts w:ascii="TimesNewRomanPSMT" w:hAnsi="TimesNewRomanPSMT"/>
          <w:position w:val="-2"/>
          <w:sz w:val="16"/>
          <w:szCs w:val="16"/>
          <w:bdr w:val="none" w:sz="0" w:space="0" w:color="auto"/>
          <w14:textOutline w14:w="0" w14:cap="rnd" w14:cmpd="sng" w14:algn="ctr">
            <w14:noFill/>
            <w14:prstDash w14:val="solid"/>
            <w14:bevel/>
          </w14:textOutline>
        </w:rPr>
        <w:t xml:space="preserve">adj </w:t>
      </w:r>
      <w:r w:rsidRPr="00AB0B42">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 xml:space="preserve">for the non-COVID-19 patients is close to the crude </w:t>
      </w:r>
      <w:proofErr w:type="spellStart"/>
      <w:r w:rsidRPr="00AB0B42">
        <w:rPr>
          <w:rFonts w:eastAsia="Times New Roman" w:cs="Times New Roman"/>
          <w:color w:val="000000" w:themeColor="text1"/>
          <w:bdr w:val="none" w:sz="0" w:space="0" w:color="auto"/>
          <w14:textOutline w14:w="0" w14:cap="rnd" w14:cmpd="sng" w14:algn="ctr">
            <w14:noFill/>
            <w14:prstDash w14:val="solid"/>
            <w14:bevel/>
          </w14:textOutline>
        </w:rPr>
        <w:t>OR</w:t>
      </w:r>
      <w:r w:rsidRPr="00AB0B42">
        <w:rPr>
          <w:rFonts w:eastAsia="Times New Roman" w:cs="Times New Roman"/>
          <w:color w:val="000000" w:themeColor="text1"/>
          <w:bdr w:val="none" w:sz="0" w:space="0" w:color="auto"/>
          <w:vertAlign w:val="subscript"/>
          <w14:textOutline w14:w="0" w14:cap="rnd" w14:cmpd="sng" w14:algn="ctr">
            <w14:noFill/>
            <w14:prstDash w14:val="solid"/>
            <w14:bevel/>
          </w14:textOutline>
        </w:rPr>
        <w:t>adj</w:t>
      </w:r>
      <w:proofErr w:type="spellEnd"/>
      <w:r w:rsidRPr="00AB0B42">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 xml:space="preserve"> while there is only a marginal difference in the </w:t>
      </w:r>
      <w:proofErr w:type="spellStart"/>
      <w:r w:rsidRPr="00AB0B42">
        <w:rPr>
          <w:rFonts w:eastAsia="Times New Roman" w:cs="Times New Roman"/>
          <w:color w:val="000000" w:themeColor="text1"/>
          <w:bdr w:val="none" w:sz="0" w:space="0" w:color="auto"/>
          <w14:textOutline w14:w="0" w14:cap="rnd" w14:cmpd="sng" w14:algn="ctr">
            <w14:noFill/>
            <w14:prstDash w14:val="solid"/>
            <w14:bevel/>
          </w14:textOutline>
        </w:rPr>
        <w:t>OR</w:t>
      </w:r>
      <w:r w:rsidRPr="00AB0B42">
        <w:rPr>
          <w:rFonts w:eastAsia="Times New Roman" w:cs="Times New Roman"/>
          <w:color w:val="000000" w:themeColor="text1"/>
          <w:bdr w:val="none" w:sz="0" w:space="0" w:color="auto"/>
          <w:vertAlign w:val="subscript"/>
          <w14:textOutline w14:w="0" w14:cap="rnd" w14:cmpd="sng" w14:algn="ctr">
            <w14:noFill/>
            <w14:prstDash w14:val="solid"/>
            <w14:bevel/>
          </w14:textOutline>
        </w:rPr>
        <w:t>adj</w:t>
      </w:r>
      <w:proofErr w:type="spellEnd"/>
      <w:r w:rsidRPr="00AB0B42">
        <w:rPr>
          <w:rFonts w:eastAsia="Times New Roman" w:cs="Times New Roman"/>
          <w:color w:val="000000" w:themeColor="text1"/>
          <w:bdr w:val="none" w:sz="0" w:space="0" w:color="auto"/>
          <w:shd w:val="clear" w:color="auto" w:fill="FFFFFF"/>
          <w14:textOutline w14:w="0" w14:cap="rnd" w14:cmpd="sng" w14:algn="ctr">
            <w14:noFill/>
            <w14:prstDash w14:val="solid"/>
            <w14:bevel/>
          </w14:textOutline>
        </w:rPr>
        <w:t xml:space="preserve"> between COVID-19 and non-COVID-19 patients. In conjunction with our interaction term analysis, we do not assume effect modification for this analysis.</w:t>
      </w:r>
    </w:p>
    <w:p w14:paraId="0733EABF" w14:textId="586C8094" w:rsidR="00596F51" w:rsidRPr="00AB0B42" w:rsidRDefault="005D0E98">
      <w:pPr>
        <w:pStyle w:val="Heading1"/>
      </w:pPr>
      <w:r w:rsidRPr="00AB0B42">
        <w:t>APPENDIX S</w:t>
      </w:r>
      <w:r w:rsidR="00B45A17">
        <w:t>3</w:t>
      </w:r>
      <w:r w:rsidRPr="00AB0B42">
        <w:t>: SECONDARY ANALYSES</w:t>
      </w:r>
    </w:p>
    <w:p w14:paraId="6DC165DE" w14:textId="2692AA5F" w:rsidR="00596F51" w:rsidRPr="00AB0B42" w:rsidRDefault="00B45A17">
      <w:pPr>
        <w:pStyle w:val="Heading2"/>
      </w:pPr>
      <w:r>
        <w:t>S.3</w:t>
      </w:r>
      <w:r w:rsidR="005D0E98" w:rsidRPr="00AB0B42">
        <w:t>.1 Dominance analyses</w:t>
      </w:r>
    </w:p>
    <w:p w14:paraId="2F6DF69A" w14:textId="196F24B0" w:rsidR="00596F51" w:rsidRPr="00AB0B42" w:rsidRDefault="005D0E98">
      <w:pPr>
        <w:ind w:firstLine="720"/>
        <w:jc w:val="both"/>
      </w:pPr>
      <w:r w:rsidRPr="00AB0B42">
        <w:t>The relative influence of each component of mechanical power (driving pressure, tidal volume, respiratory rate, and PEEP, as well as the static, dynamic elastic and dynamic resistive components) in predicting 30-day mortality was examined through dominance analyses in each predictor group. In this analysis, a predictor was considered dominant if it had a greater influence on 30-day mortality compared to the other predictors based on pseudo-r-squared values. When dissecting mechanical power into respiratory rate, tidal volume, PEEP and driving pressure, the respiratory rate had the highest contribution to 30-day mortality (pseudo r</w:t>
      </w:r>
      <w:r w:rsidR="004944EB">
        <w:rPr>
          <w:vertAlign w:val="superscript"/>
        </w:rPr>
        <w:t>2</w:t>
      </w:r>
      <w:r w:rsidRPr="00AB0B42">
        <w:t xml:space="preserve"> = 0.0205; p&lt;0.001), followed by driving pressure (pseudo-r</w:t>
      </w:r>
      <w:r w:rsidR="004944EB">
        <w:rPr>
          <w:vertAlign w:val="superscript"/>
        </w:rPr>
        <w:t>2</w:t>
      </w:r>
      <w:r w:rsidRPr="00AB0B42">
        <w:t xml:space="preserve"> = 0.071; p=0.016). PEEP and tidal volume had no significant dominance on mortality (p =0.392 p=0.153, respectively). The elastic component had the highest and only significant influence on 30-day mortality when compared to the static and resistive components of mechanical power (pseudo r</w:t>
      </w:r>
      <w:r w:rsidR="004944EB">
        <w:rPr>
          <w:vertAlign w:val="superscript"/>
        </w:rPr>
        <w:t>2</w:t>
      </w:r>
      <w:r w:rsidRPr="00AB0B42">
        <w:t xml:space="preserve"> = 0.0206; p=0.001).</w:t>
      </w:r>
    </w:p>
    <w:p w14:paraId="289A3CA7" w14:textId="1A8D6234" w:rsidR="00596F51" w:rsidRPr="00AB0B42" w:rsidRDefault="00B45A17">
      <w:pPr>
        <w:pStyle w:val="Heading2"/>
      </w:pPr>
      <w:r>
        <w:t>S.3</w:t>
      </w:r>
      <w:r w:rsidR="005D0E98" w:rsidRPr="00AB0B42">
        <w:t>.2 Ventilator-free days and alive until day 28</w:t>
      </w:r>
    </w:p>
    <w:p w14:paraId="401589D1" w14:textId="2A8FEB7F" w:rsidR="00596F51" w:rsidRPr="00AB0B42" w:rsidRDefault="005D0E98">
      <w:pPr>
        <w:ind w:firstLine="720"/>
        <w:jc w:val="both"/>
      </w:pPr>
      <w:r w:rsidRPr="00AB0B42">
        <w:t>We investigated the effect of mechanical power on 28-day mortality and the amount of ventilator free days, as previously described in other studies</w:t>
      </w:r>
      <w:r w:rsidR="001618CD">
        <w:t xml:space="preserve"> </w:t>
      </w:r>
      <w:r w:rsidR="001618CD">
        <w:fldChar w:fldCharType="begin"/>
      </w:r>
      <w:r w:rsidR="001618CD">
        <w:instrText xml:space="preserve"> ADDIN ZOTERO_ITEM CSL_CITATION {"citationID":"jHhBQh2t","properties":{"formattedCitation":"[20]","plainCitation":"[20]","noteIndex":0},"citationItems":[{"id":31,"uris":["http://zotero.org/users/9579308/items/DB2AX6BS"],"itemData":{"id":31,"type":"article-journal","abstract":"BACKGROUND: The intensity of ventilation, reflected by driving pressure (ΔP) and mechanical power (MP), has an association with outcome in invasively ventilated patients with or without acute respiratory distress syndrome (ARDS). It is uncertain if a similar association exists in coronavirus disease 2019 (COVID-19) patients with acute respiratory failure.\nMETHODS: We aimed to investigate the impact of intensity of ventilation on patient outcome. The PRoVENT-COVID study is a national multicenter observational study in COVID-19 patients receiving invasive ventilation. Ventilator parameters were collected a fixed time points on the first calendar day of invasive ventilation. Mean dynamic ΔP and MP were calculated for individual patients at time points without evidence of spontaneous breathing. A Cox proportional hazard model, and a double stratification analysis adjusted for confounders were used to estimate the independent associations of ΔP and MP with outcome. The primary endpoint was 28-day mortality.\nRESULTS: In 825 patients included in this analysis, 28-day mortality was 27.5%. ΔP was not independently associated with mortality (HR 1.02 [95% confidence interval 0.88-1.18]; P = 0.750). MP, however, was independently associated with 28-day mortality (HR 1.17 [95% CI 1.01-1.36]; P = 0.031), and increasing quartiles of MP, stratified on comparable levels of ΔP, had higher risks of 28-day mortality (HR 1.15 [95% CI 1.01-1.30]; P = 0.028).\nCONCLUSIONS: In this cohort of critically ill invasively ventilated COVID-19 patients with acute respiratory failure, we show an independent association of MP, but not ΔP with 28-day mortality. MP could serve as one prognostic biomarker in addition to ΔP in these patients. Efforts aiming at limiting both ΔP and MP could translate in a better outcome. Trial registration Clinicaltrials.gov (study identifier NCT04346342).","container-title":"Critical Care (London, England)","DOI":"10.1186/s13054-021-03710-6","ISSN":"1466-609X","issue":"1","journalAbbreviation":"Crit Care","language":"eng","note":"PMID: 34362415\nPMCID: PMC8343355","page":"283","source":"PubMed","title":"Association of intensity of ventilation with 28-day mortality in COVID-19 patients with acute respiratory failure: insights from the PRoVENT-COVID study","title-short":"Association of intensity of ventilation with 28-day mortality in COVID-19 patients with acute respiratory failure","volume":"25","author":[{"family":"Schuijt","given":"Michiel T. U."},{"family":"Schultz","given":"Marcus J."},{"family":"Paulus","given":"Frederique"},{"family":"Serpa Neto","given":"Ary"},{"literal":"PRoVENT–COVID Collaborative Group"}],"issued":{"date-parts":[["2021",8,6]]}}}],"schema":"https://github.com/citation-style-language/schema/raw/master/csl-citation.json"} </w:instrText>
      </w:r>
      <w:r w:rsidR="001618CD">
        <w:fldChar w:fldCharType="separate"/>
      </w:r>
      <w:r w:rsidR="001618CD">
        <w:rPr>
          <w:noProof/>
        </w:rPr>
        <w:t>[20]</w:t>
      </w:r>
      <w:r w:rsidR="001618CD">
        <w:fldChar w:fldCharType="end"/>
      </w:r>
      <w:r w:rsidRPr="00AB0B42">
        <w:t xml:space="preserve">. During their ICU stay patients may be extubated and free from mechanical ventilation and then being intubated due to worsening of their condition. Those periods free from invasive ventilation, if lasting for at least 24 consecutive hours in patients with multiple </w:t>
      </w:r>
      <w:proofErr w:type="spellStart"/>
      <w:r w:rsidRPr="00AB0B42">
        <w:t>extubation</w:t>
      </w:r>
      <w:proofErr w:type="spellEnd"/>
      <w:r w:rsidRPr="00AB0B42">
        <w:t xml:space="preserve"> and re-intubation were calculated and </w:t>
      </w:r>
      <w:r w:rsidR="00CF0C75" w:rsidRPr="00AB0B42">
        <w:t>summarized</w:t>
      </w:r>
      <w:r w:rsidRPr="00AB0B42">
        <w:t>. Patients who did not survive until day 28 or received invasive ventilation for more than 28 days were considered to have zero ventilator-free days.</w:t>
      </w:r>
    </w:p>
    <w:p w14:paraId="1554E4C7" w14:textId="1E3CEA52" w:rsidR="00596F51" w:rsidRPr="00AB0B42" w:rsidRDefault="00B45A17">
      <w:pPr>
        <w:pStyle w:val="Heading2"/>
      </w:pPr>
      <w:r>
        <w:t>S.3</w:t>
      </w:r>
      <w:r w:rsidR="005D0E98" w:rsidRPr="00AB0B42">
        <w:t xml:space="preserve">.3 Matching by </w:t>
      </w:r>
      <w:r w:rsidR="00CF0C75" w:rsidRPr="00AB0B42">
        <w:t>patients’</w:t>
      </w:r>
      <w:r w:rsidR="005D0E98" w:rsidRPr="00AB0B42">
        <w:t xml:space="preserve"> compliance</w:t>
      </w:r>
    </w:p>
    <w:p w14:paraId="74D97590" w14:textId="03F2342A" w:rsidR="00596F51" w:rsidRPr="00AB0B42" w:rsidRDefault="005D0E98">
      <w:pPr>
        <w:ind w:firstLine="720"/>
        <w:jc w:val="both"/>
      </w:pPr>
      <w:r w:rsidRPr="00AB0B42">
        <w:t xml:space="preserve">To address potential differences in the patient's respiratory system mechanics, we conducted an exact matching based on the initial static respiratory system compliance, </w:t>
      </w:r>
      <w:r w:rsidR="00CF0C75" w:rsidRPr="00AB0B42">
        <w:t>standardized</w:t>
      </w:r>
      <w:r w:rsidRPr="00AB0B42">
        <w:t xml:space="preserve"> to the ideal body weight, using a 1:1 scheme and a </w:t>
      </w:r>
      <w:r w:rsidR="00CF0C75" w:rsidRPr="00AB0B42">
        <w:t>caliper</w:t>
      </w:r>
      <w:r w:rsidRPr="00AB0B42">
        <w:t xml:space="preserve"> of 0.01 (ml/kg)/cmH</w:t>
      </w:r>
      <w:r w:rsidRPr="00AB0B42">
        <w:rPr>
          <w:vertAlign w:val="subscript"/>
        </w:rPr>
        <w:t>2</w:t>
      </w:r>
      <w:r w:rsidRPr="00AB0B42">
        <w:t xml:space="preserve">O. The ideal body weight was calculated based on the formula: Ideal body weight=50+2.3*((height (in </w:t>
      </w:r>
      <w:proofErr w:type="spellStart"/>
      <w:proofErr w:type="gramStart"/>
      <w:r w:rsidRPr="00AB0B42">
        <w:t>metre</w:t>
      </w:r>
      <w:proofErr w:type="spellEnd"/>
      <w:r w:rsidRPr="00AB0B42">
        <w:t>)*</w:t>
      </w:r>
      <w:proofErr w:type="gramEnd"/>
      <w:r w:rsidRPr="00AB0B42">
        <w:t xml:space="preserve">39.3701)-60) for male sex and: Ideal body weight=45.5+2.3*((height (in </w:t>
      </w:r>
      <w:proofErr w:type="spellStart"/>
      <w:r w:rsidRPr="00AB0B42">
        <w:t>metre</w:t>
      </w:r>
      <w:proofErr w:type="spellEnd"/>
      <w:r w:rsidRPr="00AB0B42">
        <w:t xml:space="preserve">)*39.3701)-60) for female sex. 148 observations with missing initial data, defined as data during the first 6h of mechanical ventilation, were dropped. </w:t>
      </w:r>
    </w:p>
    <w:p w14:paraId="7DC7D2EC" w14:textId="77777777" w:rsidR="00165280" w:rsidRPr="00AB0B42" w:rsidRDefault="00165280">
      <w:pPr>
        <w:ind w:firstLine="720"/>
        <w:jc w:val="both"/>
      </w:pPr>
    </w:p>
    <w:p w14:paraId="55801C42" w14:textId="27BC2985" w:rsidR="00596F51" w:rsidRPr="00AB0B42" w:rsidRDefault="005D0E98">
      <w:pPr>
        <w:pStyle w:val="Heading1"/>
      </w:pPr>
      <w:r w:rsidRPr="00AB0B42">
        <w:t>APPENDIX S</w:t>
      </w:r>
      <w:r w:rsidR="00DE66FF">
        <w:t>4</w:t>
      </w:r>
      <w:r w:rsidRPr="00AB0B42">
        <w:t>: SENSITIVITY ANALYSES</w:t>
      </w:r>
    </w:p>
    <w:p w14:paraId="2EC8EF10" w14:textId="1AA15302" w:rsidR="00596F51" w:rsidRPr="00AB0B42" w:rsidRDefault="00DE66FF">
      <w:pPr>
        <w:pStyle w:val="Heading2"/>
        <w:spacing w:before="240"/>
      </w:pPr>
      <w:r>
        <w:t>S.4</w:t>
      </w:r>
      <w:r w:rsidR="005D0E98" w:rsidRPr="00AB0B42">
        <w:t>.1 Adjustment for P/F ratio and pH</w:t>
      </w:r>
    </w:p>
    <w:p w14:paraId="6D87FF8B" w14:textId="77777777" w:rsidR="00596F51" w:rsidRPr="00AB0B42" w:rsidRDefault="005D0E98">
      <w:pPr>
        <w:ind w:firstLine="720"/>
        <w:jc w:val="both"/>
      </w:pPr>
      <w:r w:rsidRPr="00AB0B42">
        <w:t>We reperformed our primary model with additional confounding adjustment for arterial pH and P/F-ratio, since these measurements are already part of the APACHE-II score, but have a high clinical relevance, and our results stayed consistent, with MP significantly associated with 30-day mortality (</w:t>
      </w:r>
      <w:proofErr w:type="spellStart"/>
      <w:r w:rsidRPr="00AB0B42">
        <w:t>OR</w:t>
      </w:r>
      <w:r w:rsidRPr="00AB0B42">
        <w:rPr>
          <w:vertAlign w:val="subscript"/>
        </w:rPr>
        <w:t>adj</w:t>
      </w:r>
      <w:proofErr w:type="spellEnd"/>
      <w:r w:rsidRPr="00AB0B42">
        <w:t xml:space="preserve"> 1.20 per 1-SD increase, 7.2 J/min; 95% CI, 1.03-1.39; p=0.022).</w:t>
      </w:r>
    </w:p>
    <w:p w14:paraId="15636352" w14:textId="6653C9D6" w:rsidR="00596F51" w:rsidRPr="00AB0B42" w:rsidRDefault="00DE66FF">
      <w:pPr>
        <w:pStyle w:val="Heading2"/>
      </w:pPr>
      <w:r>
        <w:t>S.4</w:t>
      </w:r>
      <w:r w:rsidR="005D0E98" w:rsidRPr="00AB0B42">
        <w:t>.2 Adjustment of mechanical power to inspiratory and expiratory transpulmonary pressure measurements</w:t>
      </w:r>
    </w:p>
    <w:p w14:paraId="20E602F4" w14:textId="74BF1FAB" w:rsidR="00596F51" w:rsidRPr="00AB0B42" w:rsidRDefault="005D0E98">
      <w:pPr>
        <w:ind w:firstLine="720"/>
        <w:jc w:val="both"/>
      </w:pPr>
      <w:r w:rsidRPr="00AB0B42">
        <w:t>The setting of PEEP and plateau pressure are better adjusted to the patient through transpulmonary pressure manometry. Therefore, we used the inspiratory and expiratory transpulmonary pressure measurements as surrogates for plateau pressure and PEEP to rule out potential bias arising from better health care and monitoring provided in those patients</w:t>
      </w:r>
      <w:r w:rsidR="001618CD">
        <w:t xml:space="preserve"> </w:t>
      </w:r>
      <w:r w:rsidR="001618CD">
        <w:fldChar w:fldCharType="begin"/>
      </w:r>
      <w:r w:rsidR="001618CD">
        <w:instrText xml:space="preserve"> ADDIN ZOTERO_ITEM CSL_CITATION {"citationID":"1PDsUI0Y","properties":{"formattedCitation":"[21]","plainCitation":"[21]","noteIndex":0},"citationItems":[{"id":15,"uris":["http://zotero.org/users/9579308/items/QR7J369H"],"itemData":{"id":15,"type":"article-journal","container-title":"Intensive Care Medicine","DOI":"10.1007/s00134-017-4784-2","ISSN":"1432-1238","issue":"8","journalAbbreviation":"Intensive Care Med","language":"eng","note":"PMID: 28386726","page":"1162-1163","source":"PubMed","title":"Recruitment maneuvers: using transpulmonary pressure to help Goldilocks","title-short":"Recruitment maneuvers","volume":"43","author":[{"family":"Baedorf Kassis","given":"E."},{"family":"Loring","given":"S. H."},{"family":"Talmor","given":"D."}],"issued":{"date-parts":[["2017",8]]}}}],"schema":"https://github.com/citation-style-language/schema/raw/master/csl-citation.json"} </w:instrText>
      </w:r>
      <w:r w:rsidR="001618CD">
        <w:fldChar w:fldCharType="separate"/>
      </w:r>
      <w:r w:rsidR="001618CD">
        <w:rPr>
          <w:noProof/>
        </w:rPr>
        <w:t>[21]</w:t>
      </w:r>
      <w:r w:rsidR="001618CD">
        <w:fldChar w:fldCharType="end"/>
      </w:r>
      <w:r w:rsidRPr="00AB0B42">
        <w:t xml:space="preserve">. The association with 30-day mortality remained robust (n=266; </w:t>
      </w:r>
      <w:proofErr w:type="spellStart"/>
      <w:r w:rsidRPr="00AB0B42">
        <w:t>OR</w:t>
      </w:r>
      <w:r w:rsidRPr="00AB0B42">
        <w:rPr>
          <w:vertAlign w:val="subscript"/>
        </w:rPr>
        <w:t>adj</w:t>
      </w:r>
      <w:proofErr w:type="spellEnd"/>
      <w:r w:rsidRPr="00AB0B42">
        <w:t xml:space="preserve"> 1.22 per 1-SD increase, 7.6 J/min; 95% CI, 1.04-1.44; p=0.017). </w:t>
      </w:r>
    </w:p>
    <w:p w14:paraId="4C9017C9" w14:textId="5D49EDED" w:rsidR="00BA62E9" w:rsidRPr="00AB0B42" w:rsidRDefault="00DE66FF" w:rsidP="00BA62E9">
      <w:pPr>
        <w:pStyle w:val="Heading2"/>
      </w:pPr>
      <w:r>
        <w:t>S.4</w:t>
      </w:r>
      <w:r w:rsidR="00BA62E9" w:rsidRPr="00AB0B42">
        <w:t>.3 Adjustment of mechanical power</w:t>
      </w:r>
      <w:r w:rsidR="00A367F4" w:rsidRPr="00AB0B42">
        <w:t xml:space="preserve"> to</w:t>
      </w:r>
      <w:r w:rsidR="00BA62E9" w:rsidRPr="00AB0B42">
        <w:t xml:space="preserve"> sedation and analgesia at day one and two of mechanical ventilation</w:t>
      </w:r>
    </w:p>
    <w:p w14:paraId="0C5750EA" w14:textId="087C9877" w:rsidR="00BA62E9" w:rsidRPr="00AB0B42" w:rsidRDefault="00BA62E9" w:rsidP="00BA62E9">
      <w:pPr>
        <w:ind w:firstLine="720"/>
        <w:jc w:val="both"/>
        <w:rPr>
          <w:bdr w:val="none" w:sz="0" w:space="0" w:color="auto"/>
          <w14:textOutline w14:w="0" w14:cap="rnd" w14:cmpd="sng" w14:algn="ctr">
            <w14:noFill/>
            <w14:prstDash w14:val="solid"/>
            <w14:bevel/>
          </w14:textOutline>
        </w:rPr>
      </w:pPr>
      <w:r w:rsidRPr="00AB0B42">
        <w:rPr>
          <w:bdr w:val="none" w:sz="0" w:space="0" w:color="auto"/>
          <w14:textOutline w14:w="0" w14:cap="rnd" w14:cmpd="sng" w14:algn="ctr">
            <w14:noFill/>
            <w14:prstDash w14:val="solid"/>
            <w14:bevel/>
          </w14:textOutline>
        </w:rPr>
        <w:t>We conducted an additional sensitivity analysis, adjusting for sedation and analgesia administration, including ketamine, midazolam, dexmedetomidine during controlled mechanical ventilation. We conducted additional confounding at day one of mechanical ventilation (</w:t>
      </w:r>
      <w:r w:rsidR="00AD3A2C" w:rsidRPr="00AB0B42">
        <w:rPr>
          <w:rFonts w:ascii="TimesNewRomanPSMT" w:hAnsi="TimesNewRomanPSMT"/>
          <w:bdr w:val="none" w:sz="0" w:space="0" w:color="auto"/>
          <w14:textOutline w14:w="0" w14:cap="rnd" w14:cmpd="sng" w14:algn="ctr">
            <w14:noFill/>
            <w14:prstDash w14:val="solid"/>
            <w14:bevel/>
          </w14:textOutline>
        </w:rPr>
        <w:t>OR</w:t>
      </w:r>
      <w:r w:rsidR="00AD3A2C" w:rsidRPr="00AB0B42">
        <w:rPr>
          <w:rFonts w:ascii="TimesNewRomanPSMT" w:hAnsi="TimesNewRomanPSMT"/>
          <w:position w:val="-2"/>
          <w:sz w:val="16"/>
          <w:szCs w:val="16"/>
          <w:bdr w:val="none" w:sz="0" w:space="0" w:color="auto"/>
          <w14:textOutline w14:w="0" w14:cap="rnd" w14:cmpd="sng" w14:algn="ctr">
            <w14:noFill/>
            <w14:prstDash w14:val="solid"/>
            <w14:bevel/>
          </w14:textOutline>
        </w:rPr>
        <w:t xml:space="preserve">adj </w:t>
      </w:r>
      <w:r w:rsidRPr="00AB0B42">
        <w:rPr>
          <w:bdr w:val="none" w:sz="0" w:space="0" w:color="auto"/>
          <w14:textOutline w14:w="0" w14:cap="rnd" w14:cmpd="sng" w14:algn="ctr">
            <w14:noFill/>
            <w14:prstDash w14:val="solid"/>
            <w14:bevel/>
          </w14:textOutline>
        </w:rPr>
        <w:t>1.26 per 1-SD, 7.1 J/min increase; 95% CI 1.08-1.46; p=0.002 and p-for-interaction=0.72), as well as for day 2 of mechanical ventilation (</w:t>
      </w:r>
      <w:r w:rsidR="00AD3A2C" w:rsidRPr="00AB0B42">
        <w:rPr>
          <w:rFonts w:ascii="TimesNewRomanPSMT" w:hAnsi="TimesNewRomanPSMT"/>
          <w:bdr w:val="none" w:sz="0" w:space="0" w:color="auto"/>
          <w14:textOutline w14:w="0" w14:cap="rnd" w14:cmpd="sng" w14:algn="ctr">
            <w14:noFill/>
            <w14:prstDash w14:val="solid"/>
            <w14:bevel/>
          </w14:textOutline>
        </w:rPr>
        <w:t>OR</w:t>
      </w:r>
      <w:r w:rsidR="00AD3A2C" w:rsidRPr="00AB0B42">
        <w:rPr>
          <w:rFonts w:ascii="TimesNewRomanPSMT" w:hAnsi="TimesNewRomanPSMT"/>
          <w:position w:val="-2"/>
          <w:sz w:val="16"/>
          <w:szCs w:val="16"/>
          <w:bdr w:val="none" w:sz="0" w:space="0" w:color="auto"/>
          <w14:textOutline w14:w="0" w14:cap="rnd" w14:cmpd="sng" w14:algn="ctr">
            <w14:noFill/>
            <w14:prstDash w14:val="solid"/>
            <w14:bevel/>
          </w14:textOutline>
        </w:rPr>
        <w:t xml:space="preserve">adj </w:t>
      </w:r>
      <w:r w:rsidRPr="00AB0B42">
        <w:rPr>
          <w:bdr w:val="none" w:sz="0" w:space="0" w:color="auto"/>
          <w14:textOutline w14:w="0" w14:cap="rnd" w14:cmpd="sng" w14:algn="ctr">
            <w14:noFill/>
            <w14:prstDash w14:val="solid"/>
            <w14:bevel/>
          </w14:textOutline>
        </w:rPr>
        <w:t>1.36 per 1-SD, 7.1 J/min increase; 95% CI 1.15-1.61; p&lt;0.001 and p-for-interaction=0.97), respectively.</w:t>
      </w:r>
    </w:p>
    <w:p w14:paraId="4FF3971A" w14:textId="1BAC0CCF" w:rsidR="00A367F4" w:rsidRPr="00AB0B42" w:rsidRDefault="00DE66FF" w:rsidP="00A367F4">
      <w:pPr>
        <w:pStyle w:val="Heading2"/>
      </w:pPr>
      <w:r>
        <w:t>S.4</w:t>
      </w:r>
      <w:r w:rsidR="00A367F4" w:rsidRPr="00AB0B42">
        <w:t>.4 Adjustment of mechanical power to high flow oxygen therapy or non-invasive ventilation prior to mechanical ventilation</w:t>
      </w:r>
    </w:p>
    <w:p w14:paraId="33F5BDEF" w14:textId="23AED5A1" w:rsidR="00A367F4" w:rsidRPr="00AB0B42" w:rsidRDefault="00A367F4" w:rsidP="00165280">
      <w:pPr>
        <w:ind w:firstLine="720"/>
      </w:pPr>
      <w:r w:rsidRPr="00AB0B42">
        <w:t>We conducted an additional sensitivity analysis, adjusting for duration of high-flow oxygen therapy or non-invasive mechanical ventilation before study inclusion within the same ICU stay. 271 (15.6%) patients have been non-invasively ventilated prior to start of mechanical ventilation. The median (IQR) time of high flow or non-invasive mechanical ventilation prior to invasive mechanical ventilation was 1 (1-1) day. The primary and co-primary results remained robust (</w:t>
      </w:r>
      <w:r w:rsidR="00AD3A2C" w:rsidRPr="00AB0B42">
        <w:rPr>
          <w:rFonts w:ascii="TimesNewRomanPSMT" w:hAnsi="TimesNewRomanPSMT"/>
          <w:bdr w:val="none" w:sz="0" w:space="0" w:color="auto"/>
          <w14:textOutline w14:w="0" w14:cap="rnd" w14:cmpd="sng" w14:algn="ctr">
            <w14:noFill/>
            <w14:prstDash w14:val="solid"/>
            <w14:bevel/>
          </w14:textOutline>
        </w:rPr>
        <w:t>OR</w:t>
      </w:r>
      <w:r w:rsidR="00AD3A2C" w:rsidRPr="00AB0B42">
        <w:rPr>
          <w:rFonts w:ascii="TimesNewRomanPSMT" w:hAnsi="TimesNewRomanPSMT"/>
          <w:position w:val="-2"/>
          <w:sz w:val="16"/>
          <w:szCs w:val="16"/>
          <w:bdr w:val="none" w:sz="0" w:space="0" w:color="auto"/>
          <w14:textOutline w14:w="0" w14:cap="rnd" w14:cmpd="sng" w14:algn="ctr">
            <w14:noFill/>
            <w14:prstDash w14:val="solid"/>
            <w14:bevel/>
          </w14:textOutline>
        </w:rPr>
        <w:t xml:space="preserve">adj </w:t>
      </w:r>
      <w:r w:rsidRPr="00AB0B42">
        <w:t>1.21 per 1-SD, 7.1 J/min increase; 95% CI 1.05-1.41; p=0.007 and p-for-interaction=0.72, respectively). </w:t>
      </w:r>
    </w:p>
    <w:p w14:paraId="330C0D07" w14:textId="604ACACF" w:rsidR="00596F51" w:rsidRPr="00AB0B42" w:rsidRDefault="00DE66FF">
      <w:pPr>
        <w:pStyle w:val="Heading2"/>
        <w:spacing w:before="240"/>
      </w:pPr>
      <w:r>
        <w:t>S.4</w:t>
      </w:r>
      <w:r w:rsidR="005D0E98" w:rsidRPr="00AB0B42">
        <w:t>.</w:t>
      </w:r>
      <w:r w:rsidR="00A367F4" w:rsidRPr="00AB0B42">
        <w:t>5</w:t>
      </w:r>
      <w:r w:rsidR="005D0E98" w:rsidRPr="00AB0B42">
        <w:t xml:space="preserve"> Subgroup analysis in patients receiving continuous infusions of neuromuscular blocking agents</w:t>
      </w:r>
    </w:p>
    <w:p w14:paraId="705C9CD5" w14:textId="77777777" w:rsidR="00596F51" w:rsidRPr="00AB0B42" w:rsidRDefault="005D0E98">
      <w:pPr>
        <w:spacing w:after="200"/>
        <w:ind w:firstLine="720"/>
        <w:jc w:val="both"/>
      </w:pPr>
      <w:r w:rsidRPr="00AB0B42">
        <w:t>After exclusion of 1,504 patients without continuous administration of NMBA, defined as the administration of NMBA after the first hour from intubation without boluses, the association between mechanical power and 30-day mortality remained robust (</w:t>
      </w:r>
      <w:proofErr w:type="spellStart"/>
      <w:r w:rsidRPr="00AB0B42">
        <w:t>OR</w:t>
      </w:r>
      <w:r w:rsidRPr="00AB0B42">
        <w:rPr>
          <w:vertAlign w:val="subscript"/>
        </w:rPr>
        <w:t>adj</w:t>
      </w:r>
      <w:proofErr w:type="spellEnd"/>
      <w:r w:rsidRPr="00AB0B42">
        <w:t xml:space="preserve"> 1.60 per 1-SD increase, 8.6 J/min; 95% CI, 1.01-2.53; p=0.045).</w:t>
      </w:r>
    </w:p>
    <w:p w14:paraId="2BF988AC" w14:textId="5CDD7A5B" w:rsidR="00596F51" w:rsidRPr="00AB0B42" w:rsidRDefault="00DE66FF">
      <w:pPr>
        <w:pStyle w:val="Heading2"/>
      </w:pPr>
      <w:r>
        <w:t>S.4</w:t>
      </w:r>
      <w:r w:rsidR="005D0E98" w:rsidRPr="00AB0B42">
        <w:t>.</w:t>
      </w:r>
      <w:r w:rsidR="00A367F4" w:rsidRPr="00AB0B42">
        <w:t>6</w:t>
      </w:r>
      <w:r w:rsidR="005D0E98" w:rsidRPr="00AB0B42">
        <w:t xml:space="preserve"> </w:t>
      </w:r>
      <w:r w:rsidR="00CF0C75" w:rsidRPr="00AB0B42">
        <w:t>Normalization</w:t>
      </w:r>
      <w:r w:rsidR="005D0E98" w:rsidRPr="00AB0B42">
        <w:t xml:space="preserve"> of mechanical power to ideal body weight </w:t>
      </w:r>
    </w:p>
    <w:p w14:paraId="2D7FB451" w14:textId="60500569" w:rsidR="00E5206E" w:rsidRPr="00AB0B42" w:rsidRDefault="005D0E98" w:rsidP="00945080">
      <w:pPr>
        <w:ind w:firstLine="720"/>
        <w:jc w:val="both"/>
      </w:pPr>
      <w:r w:rsidRPr="00AB0B42">
        <w:t xml:space="preserve">To further achieve better generalizability of our findings, we </w:t>
      </w:r>
      <w:r w:rsidR="00CF0C75" w:rsidRPr="00AB0B42">
        <w:t>normalized</w:t>
      </w:r>
      <w:r w:rsidRPr="00AB0B42">
        <w:t xml:space="preserve"> mechanical power to ideal body weight as proposed by Zhang et al. </w:t>
      </w:r>
      <w:r w:rsidR="001618CD">
        <w:fldChar w:fldCharType="begin"/>
      </w:r>
      <w:r w:rsidR="001618CD">
        <w:instrText xml:space="preserve"> ADDIN ZOTERO_ITEM CSL_CITATION {"citationID":"hPSg76uV","properties":{"formattedCitation":"[22]","plainCitation":"[22]","noteIndex":0},"citationItems":[{"id":59,"uris":["http://zotero.org/users/9579308/items/W37QDAUZ"],"itemData":{"id":59,"type":"article-journal","abstract":"PURPOSE: Protective mechanical ventilation based on multiple ventilator parameters such as tidal volume, plateau pressure, and driving pressure has been widely used in acute respiratory distress syndrome (ARDS). More recently, mechanical power (MP) was found to be associated with mortality. The study aimed to investigate whether MP normalized to predicted body weight (norMP) was superior to other ventilator variables and to prove that the discrimination power cannot be further improved with a sophisticated machine learning method.\nMETHODS: The study included individual patient data from eight randomized controlled trials conducted by the ARDSNet. The data was split 3:1 into training and testing subsamples. The discrimination of each ventilator variable was calculated in the testing subsample using the area under receiver operating characteristic curve. The gradient boosting machine was used to examine whether the discrimination could be further improved.\nRESULTS: A total of 5159 patients with acute onset ARDS were included for analysis. The discrimination of norMP in predicting mortality was significantly better than the absolute MP (p = 0.011 for DeLong's test). The gradient boosting machine was not able to improve the discrimination as compared to norMP (p = 0.913 for DeLong's test). The multivariable regression model showed a significant interaction between norMP and ARDS severity (p &lt; 0.05). While the norMP was not significantly associated with mortality outcome (OR 0.99; 95% CI 0.91-1.07; p = 0.862) in patients with mild ARDS, it was associated with increased risk of mortality in moderate (OR 1.11; 95% CI 1.02-1.23; p = 0.021) and severe (OR 1.13; 95% CI 1.03-1.24; p &lt; 0.008) ARDS.\nCONCLUSIONS: The study showed that norMP was a good ventilator variable associated with mortality, and its predictive discrimination cannot be further improved with a sophisticated machine learning method. Further experimental trials are needed to investigate whether adjusting ventilator variables according to norMP will significantly improve clinical outcomes.","container-title":"Intensive Care Medicine","DOI":"10.1007/s00134-019-05627-9","ISSN":"1432-1238","issue":"6","journalAbbreviation":"Intensive Care Med","language":"eng","note":"PMID: 31062050","page":"856-864","source":"PubMed","title":"Mechanical power normalized to predicted body weight as a predictor of mortality in patients with acute respiratory distress syndrome","volume":"45","author":[{"family":"Zhang","given":"Zhongheng"},{"family":"Zheng","given":"Bin"},{"family":"Liu","given":"Nan"},{"family":"Ge","given":"Huiqing"},{"family":"Hong","given":"Yucai"}],"issued":{"date-parts":[["2019",6]]}}}],"schema":"https://github.com/citation-style-language/schema/raw/master/csl-citation.json"} </w:instrText>
      </w:r>
      <w:r w:rsidR="001618CD">
        <w:fldChar w:fldCharType="separate"/>
      </w:r>
      <w:r w:rsidR="001618CD">
        <w:rPr>
          <w:noProof/>
        </w:rPr>
        <w:t>[22]</w:t>
      </w:r>
      <w:r w:rsidR="001618CD">
        <w:fldChar w:fldCharType="end"/>
      </w:r>
      <w:r w:rsidR="001618CD">
        <w:t xml:space="preserve"> </w:t>
      </w:r>
      <w:r w:rsidRPr="00AB0B42">
        <w:t>by dividing mechanical power by the ideal body weight using the former described formula. The association with 30-day mortality remained robust</w:t>
      </w:r>
      <w:r w:rsidRPr="00AB0B42">
        <w:rPr>
          <w:vertAlign w:val="superscript"/>
        </w:rPr>
        <w:t xml:space="preserve"> </w:t>
      </w:r>
      <w:r w:rsidRPr="00AB0B42">
        <w:t>(</w:t>
      </w:r>
      <w:proofErr w:type="spellStart"/>
      <w:r w:rsidRPr="00AB0B42">
        <w:t>OR</w:t>
      </w:r>
      <w:r w:rsidRPr="00AB0B42">
        <w:rPr>
          <w:vertAlign w:val="subscript"/>
        </w:rPr>
        <w:t>adj</w:t>
      </w:r>
      <w:proofErr w:type="spellEnd"/>
      <w:r w:rsidRPr="00AB0B42">
        <w:t xml:space="preserve"> 1.29 per 1-SD increase, ~110*10</w:t>
      </w:r>
      <w:r w:rsidRPr="00AB0B42">
        <w:rPr>
          <w:vertAlign w:val="superscript"/>
        </w:rPr>
        <w:t>-3</w:t>
      </w:r>
      <w:r w:rsidRPr="00AB0B42">
        <w:t xml:space="preserve"> J/min/kg; 95% CI, 1.11-1.51; p=0.001).</w:t>
      </w:r>
    </w:p>
    <w:p w14:paraId="6A24419E" w14:textId="1CA3525C" w:rsidR="00596F51" w:rsidRPr="00AB0B42" w:rsidRDefault="00DE66FF">
      <w:pPr>
        <w:pStyle w:val="Heading2"/>
      </w:pPr>
      <w:r>
        <w:t>S.4</w:t>
      </w:r>
      <w:r w:rsidR="005D0E98" w:rsidRPr="00AB0B42">
        <w:t>.</w:t>
      </w:r>
      <w:r w:rsidR="00945080" w:rsidRPr="00AB0B42">
        <w:t>7</w:t>
      </w:r>
      <w:r w:rsidR="00A367F4" w:rsidRPr="00AB0B42">
        <w:t xml:space="preserve"> </w:t>
      </w:r>
      <w:r w:rsidR="005D0E98" w:rsidRPr="00AB0B42">
        <w:t>Primary analysis with and without multiple imputation</w:t>
      </w:r>
    </w:p>
    <w:p w14:paraId="054848CE" w14:textId="5F52BEC2" w:rsidR="008B2B1B" w:rsidRPr="00AB0B42" w:rsidRDefault="005D0E98" w:rsidP="008B2B31">
      <w:pPr>
        <w:ind w:firstLine="720"/>
        <w:jc w:val="both"/>
      </w:pPr>
      <w:r w:rsidRPr="00AB0B42">
        <w:t>Our primary findings were confirmed in the cohort without imputation of APACHE-II score</w:t>
      </w:r>
      <w:r w:rsidRPr="00AB0B42">
        <w:rPr>
          <w:vertAlign w:val="superscript"/>
        </w:rPr>
        <w:t xml:space="preserve"> </w:t>
      </w:r>
      <w:r w:rsidRPr="00AB0B42">
        <w:t xml:space="preserve">(n=1,383; </w:t>
      </w:r>
      <w:proofErr w:type="spellStart"/>
      <w:r w:rsidRPr="00AB0B42">
        <w:t>OR</w:t>
      </w:r>
      <w:r w:rsidRPr="00AB0B42">
        <w:rPr>
          <w:vertAlign w:val="subscript"/>
        </w:rPr>
        <w:t>adj</w:t>
      </w:r>
      <w:proofErr w:type="spellEnd"/>
      <w:r w:rsidRPr="00AB0B42">
        <w:t xml:space="preserve"> 1.18 per 1-SD increase, 7.1 J/min; 95% CI, 1.00-1.39; p=0.041) as well as in the cohort with multiple imputations of all missing variables (n=1,840; </w:t>
      </w:r>
      <w:proofErr w:type="spellStart"/>
      <w:r w:rsidRPr="00AB0B42">
        <w:t>OR</w:t>
      </w:r>
      <w:r w:rsidRPr="00AB0B42">
        <w:rPr>
          <w:vertAlign w:val="subscript"/>
        </w:rPr>
        <w:t>adj</w:t>
      </w:r>
      <w:proofErr w:type="spellEnd"/>
      <w:r w:rsidRPr="00AB0B42">
        <w:t xml:space="preserve"> 1.20 per 1-SD increase, 7.1 J/min; 95% CI, 1.04-1.39; p=0.011).</w:t>
      </w:r>
    </w:p>
    <w:p w14:paraId="012E97EB" w14:textId="6B7338E9" w:rsidR="00596F51" w:rsidRPr="00AB0B42" w:rsidRDefault="00DE66FF">
      <w:pPr>
        <w:pStyle w:val="Heading2"/>
      </w:pPr>
      <w:r>
        <w:t>S.4</w:t>
      </w:r>
      <w:r w:rsidR="005D0E98" w:rsidRPr="00AB0B42">
        <w:t>.</w:t>
      </w:r>
      <w:r w:rsidR="00945080" w:rsidRPr="00AB0B42">
        <w:t>8</w:t>
      </w:r>
      <w:r w:rsidR="005D0E98" w:rsidRPr="00AB0B42">
        <w:t xml:space="preserve"> Primary model only in first patient cases</w:t>
      </w:r>
    </w:p>
    <w:p w14:paraId="7386B390" w14:textId="77777777" w:rsidR="00596F51" w:rsidRPr="00AB0B42" w:rsidRDefault="005D0E98">
      <w:pPr>
        <w:ind w:firstLine="720"/>
        <w:jc w:val="both"/>
      </w:pPr>
      <w:r w:rsidRPr="00AB0B42">
        <w:t xml:space="preserve">A patient can be admitted and mechanically ventilated multiple times during our study period which can therefore inflate the probability of having the outcome. A subgroup analysis keeping each patient's first case during the study period was conducted and our primary findings were confirmed (n=1,653; </w:t>
      </w:r>
      <w:proofErr w:type="spellStart"/>
      <w:r w:rsidRPr="00AB0B42">
        <w:t>OR</w:t>
      </w:r>
      <w:r w:rsidRPr="00AB0B42">
        <w:rPr>
          <w:vertAlign w:val="subscript"/>
        </w:rPr>
        <w:t>adj</w:t>
      </w:r>
      <w:proofErr w:type="spellEnd"/>
      <w:r w:rsidRPr="00AB0B42">
        <w:t xml:space="preserve"> 1.27 per 1-SD increase, 7.1 J/min; 95% CI, 1.09-1.48; p=0.001).</w:t>
      </w:r>
    </w:p>
    <w:p w14:paraId="11A38710" w14:textId="67A4E543" w:rsidR="00596F51" w:rsidRPr="00AB0B42" w:rsidRDefault="00DE66FF">
      <w:pPr>
        <w:pStyle w:val="Heading2"/>
      </w:pPr>
      <w:r>
        <w:t>S.4</w:t>
      </w:r>
      <w:r w:rsidR="0090481A" w:rsidRPr="00AB0B42">
        <w:t>.</w:t>
      </w:r>
      <w:r w:rsidR="00945080" w:rsidRPr="00AB0B42">
        <w:t>9</w:t>
      </w:r>
      <w:r w:rsidR="005D0E98" w:rsidRPr="00AB0B42">
        <w:t xml:space="preserve"> Propensity score matching</w:t>
      </w:r>
    </w:p>
    <w:p w14:paraId="49813778" w14:textId="29D8A316" w:rsidR="00596F51" w:rsidRPr="00AB0B42" w:rsidRDefault="005D0E98">
      <w:pPr>
        <w:ind w:firstLine="720"/>
        <w:jc w:val="both"/>
      </w:pPr>
      <w:r w:rsidRPr="00AB0B42">
        <w:t xml:space="preserve">We investigated the primary model in a cohort weighted through propensity score matching to account for imbalances between patients who received high (≥14.5 J/min) versus low (&lt;14.5 J/min) mechanical power. The likelihood of a patient to receive high mechanical power was estimated through calculating a propensity-score adjusted for the confounders used in the multivariate logistic regression model. We identified matched pairs by using a non-replacement algorithm within a closeness range of 0.00001, then 0.0001, etc. up to a closeness range of 0.01 of the propensity score, using a 1:1 scheme. Effectiveness of matching was assessed by calculating weighted </w:t>
      </w:r>
      <w:r w:rsidR="00CF0C75" w:rsidRPr="00AB0B42">
        <w:t>standardized</w:t>
      </w:r>
      <w:r w:rsidRPr="00AB0B42">
        <w:t xml:space="preserve"> differences of confounders after propensity-score matching. 595 patients receiving low mechanical power were matched to 595 patients who received high mechanical power. Analysis in the matched cohort yielded consistent results (</w:t>
      </w:r>
      <w:proofErr w:type="spellStart"/>
      <w:r w:rsidRPr="00AB0B42">
        <w:t>OR</w:t>
      </w:r>
      <w:r w:rsidRPr="00AB0B42">
        <w:rPr>
          <w:vertAlign w:val="subscript"/>
        </w:rPr>
        <w:t>adj</w:t>
      </w:r>
      <w:proofErr w:type="spellEnd"/>
      <w:r w:rsidRPr="00AB0B42">
        <w:t xml:space="preserve"> 1.44; 95% CI, 1.02-2.04; p=0.038).</w:t>
      </w:r>
    </w:p>
    <w:p w14:paraId="7D39DB72" w14:textId="54D5716D" w:rsidR="00596F51" w:rsidRPr="00AB0B42" w:rsidRDefault="00DE66FF">
      <w:pPr>
        <w:pStyle w:val="Heading2"/>
      </w:pPr>
      <w:r>
        <w:t>S.4</w:t>
      </w:r>
      <w:r w:rsidR="005D0E98" w:rsidRPr="00AB0B42">
        <w:t>.</w:t>
      </w:r>
      <w:r w:rsidR="0090481A" w:rsidRPr="00AB0B42">
        <w:t>1</w:t>
      </w:r>
      <w:r w:rsidR="00945080" w:rsidRPr="00AB0B42">
        <w:t>0</w:t>
      </w:r>
      <w:r w:rsidR="005D0E98" w:rsidRPr="00AB0B42">
        <w:t xml:space="preserve"> Inverse probability treatment weighting</w:t>
      </w:r>
    </w:p>
    <w:p w14:paraId="2FA490FD" w14:textId="158B9317" w:rsidR="00596F51" w:rsidRPr="00AB0B42" w:rsidRDefault="005D0E98">
      <w:pPr>
        <w:ind w:firstLine="720"/>
        <w:jc w:val="both"/>
      </w:pPr>
      <w:r w:rsidRPr="00AB0B42">
        <w:t>We investigated the average treatment effects (ATE) and mean potential-outcome coefficients (POE) in a cohort weighted through inverse probability treatment weighting which confirmed our primary findings (ATE coefficient 0.12; 95% CI, 0.07-0.17; p&lt;0.001; POE coefficient 0.22; 95% CI, 0.19-0.26; p&lt;0.001).</w:t>
      </w:r>
    </w:p>
    <w:p w14:paraId="26968C75" w14:textId="0695D9AD" w:rsidR="008B2B31" w:rsidRPr="00AB0B42" w:rsidRDefault="00DE66FF" w:rsidP="008B2B31">
      <w:pPr>
        <w:pStyle w:val="Heading2"/>
      </w:pPr>
      <w:r>
        <w:t>S.4</w:t>
      </w:r>
      <w:r w:rsidR="008B2B31" w:rsidRPr="00AB0B42">
        <w:t>.1</w:t>
      </w:r>
      <w:r w:rsidR="00945080" w:rsidRPr="00AB0B42">
        <w:t>1</w:t>
      </w:r>
      <w:r w:rsidR="008B2B31" w:rsidRPr="00AB0B42">
        <w:t xml:space="preserve"> Exclusion of patients in the period March to May 2020</w:t>
      </w:r>
    </w:p>
    <w:p w14:paraId="607DF5EC" w14:textId="6C068CE5" w:rsidR="00945080" w:rsidRPr="00AB0B42" w:rsidRDefault="008B2B31" w:rsidP="00165280">
      <w:pPr>
        <w:ind w:firstLine="720"/>
        <w:jc w:val="both"/>
        <w:rPr>
          <w:color w:val="000000" w:themeColor="text1"/>
        </w:rPr>
      </w:pPr>
      <w:r w:rsidRPr="00AB0B42">
        <w:rPr>
          <w:color w:val="000000" w:themeColor="text1"/>
        </w:rPr>
        <w:t>To address resource limitation at the beginning of the pandemic, we have added another sensitivity analysis excluding the period March to May 2020. This analysis yielded robust results (</w:t>
      </w:r>
      <w:r w:rsidR="00801AF8" w:rsidRPr="00AB0B42">
        <w:rPr>
          <w:rFonts w:ascii="TimesNewRomanPSMT" w:hAnsi="TimesNewRomanPSMT"/>
          <w:bdr w:val="none" w:sz="0" w:space="0" w:color="auto"/>
          <w14:textOutline w14:w="0" w14:cap="rnd" w14:cmpd="sng" w14:algn="ctr">
            <w14:noFill/>
            <w14:prstDash w14:val="solid"/>
            <w14:bevel/>
          </w14:textOutline>
        </w:rPr>
        <w:t>OR</w:t>
      </w:r>
      <w:r w:rsidR="00801AF8" w:rsidRPr="00AB0B42">
        <w:rPr>
          <w:rFonts w:ascii="TimesNewRomanPSMT" w:hAnsi="TimesNewRomanPSMT"/>
          <w:position w:val="-2"/>
          <w:sz w:val="16"/>
          <w:szCs w:val="16"/>
          <w:bdr w:val="none" w:sz="0" w:space="0" w:color="auto"/>
          <w14:textOutline w14:w="0" w14:cap="rnd" w14:cmpd="sng" w14:algn="ctr">
            <w14:noFill/>
            <w14:prstDash w14:val="solid"/>
            <w14:bevel/>
          </w14:textOutline>
        </w:rPr>
        <w:t xml:space="preserve">adj </w:t>
      </w:r>
      <w:r w:rsidRPr="00AB0B42">
        <w:rPr>
          <w:color w:val="000000" w:themeColor="text1"/>
        </w:rPr>
        <w:t>1.27 per 1-SD, 7.1 J/min increase; 95% CI 1.07-1.50; p=0.006 and p-for-interaction=0.99).</w:t>
      </w:r>
    </w:p>
    <w:p w14:paraId="6E311065" w14:textId="77777777" w:rsidR="00645E3F" w:rsidRPr="00AB0B42" w:rsidRDefault="00645E3F">
      <w:pPr>
        <w:ind w:firstLine="720"/>
        <w:jc w:val="both"/>
        <w:rPr>
          <w:color w:val="000000" w:themeColor="text1"/>
        </w:rPr>
      </w:pPr>
    </w:p>
    <w:p w14:paraId="08E835CA" w14:textId="13670766" w:rsidR="00945080" w:rsidRPr="00AB0B42" w:rsidRDefault="000916D6">
      <w:pPr>
        <w:pStyle w:val="Heading1"/>
        <w:jc w:val="left"/>
      </w:pPr>
      <w:r w:rsidRPr="00AB0B42">
        <w:t>APPENDIX S</w:t>
      </w:r>
      <w:r w:rsidR="00DE66FF">
        <w:t>5</w:t>
      </w:r>
      <w:r w:rsidRPr="00AB0B42">
        <w:t xml:space="preserve">: </w:t>
      </w:r>
      <w:r w:rsidR="005D0E98" w:rsidRPr="00AB0B42">
        <w:t>SUPPLEMENTAL FIGURES</w:t>
      </w:r>
      <w:r w:rsidRPr="00AB0B42">
        <w:t xml:space="preserve"> AND TABLES</w:t>
      </w:r>
    </w:p>
    <w:p w14:paraId="09663775" w14:textId="41E3F162" w:rsidR="00596F51" w:rsidRPr="00AB0B42" w:rsidRDefault="005D0E98">
      <w:pPr>
        <w:pStyle w:val="Heading1"/>
        <w:jc w:val="left"/>
      </w:pPr>
      <w:r w:rsidRPr="00AB0B42">
        <w:rPr>
          <w:noProof/>
        </w:rPr>
        <w:drawing>
          <wp:inline distT="0" distB="0" distL="0" distR="0" wp14:anchorId="338428F4" wp14:editId="7023F82C">
            <wp:extent cx="5731200" cy="4165600"/>
            <wp:effectExtent l="0" t="0" r="0" b="0"/>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8"/>
                    <a:stretch>
                      <a:fillRect/>
                    </a:stretch>
                  </pic:blipFill>
                  <pic:spPr>
                    <a:xfrm>
                      <a:off x="0" y="0"/>
                      <a:ext cx="5731200" cy="4165600"/>
                    </a:xfrm>
                    <a:prstGeom prst="rect">
                      <a:avLst/>
                    </a:prstGeom>
                    <a:ln w="12700" cap="flat">
                      <a:noFill/>
                      <a:miter lim="400000"/>
                    </a:ln>
                    <a:effectLst/>
                  </pic:spPr>
                </pic:pic>
              </a:graphicData>
            </a:graphic>
          </wp:inline>
        </w:drawing>
      </w:r>
    </w:p>
    <w:p w14:paraId="316A2B38" w14:textId="77777777" w:rsidR="00596F51" w:rsidRPr="00AB0B42" w:rsidRDefault="005D0E98">
      <w:pPr>
        <w:pStyle w:val="Heading2"/>
      </w:pPr>
      <w:r w:rsidRPr="00AB0B42">
        <w:t>Figure S1. Receiver Operating Characteristic (ROC) curve of the primary regression model.</w:t>
      </w:r>
    </w:p>
    <w:p w14:paraId="5108C129" w14:textId="77777777" w:rsidR="00596F51" w:rsidRPr="00AB0B42" w:rsidRDefault="005D0E98">
      <w:r w:rsidRPr="00AB0B42">
        <w:rPr>
          <w:noProof/>
        </w:rPr>
        <w:drawing>
          <wp:inline distT="0" distB="0" distL="0" distR="0" wp14:anchorId="2EF4A087" wp14:editId="79BF2E49">
            <wp:extent cx="5731200" cy="5702300"/>
            <wp:effectExtent l="0" t="0" r="0" b="0"/>
            <wp:docPr id="1073741826"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9"/>
                    <a:stretch>
                      <a:fillRect/>
                    </a:stretch>
                  </pic:blipFill>
                  <pic:spPr>
                    <a:xfrm>
                      <a:off x="0" y="0"/>
                      <a:ext cx="5731200" cy="5702300"/>
                    </a:xfrm>
                    <a:prstGeom prst="rect">
                      <a:avLst/>
                    </a:prstGeom>
                    <a:ln w="12700" cap="flat">
                      <a:noFill/>
                      <a:miter lim="400000"/>
                    </a:ln>
                    <a:effectLst/>
                  </pic:spPr>
                </pic:pic>
              </a:graphicData>
            </a:graphic>
          </wp:inline>
        </w:drawing>
      </w:r>
    </w:p>
    <w:p w14:paraId="57E7161D" w14:textId="77777777" w:rsidR="00596F51" w:rsidRPr="00AB0B42" w:rsidRDefault="005D0E98">
      <w:pPr>
        <w:pStyle w:val="Heading2"/>
      </w:pPr>
      <w:r w:rsidRPr="00AB0B42">
        <w:t>Figure S2. Calibration plot of the primary regression model.</w:t>
      </w:r>
    </w:p>
    <w:p w14:paraId="574836AB" w14:textId="77777777" w:rsidR="00596F51" w:rsidRPr="00AB0B42" w:rsidRDefault="005D0E98">
      <w:r w:rsidRPr="00AB0B42">
        <w:t>Each dot represents a decile of the predicted probability of 30-day mortality.</w:t>
      </w:r>
    </w:p>
    <w:p w14:paraId="5DFCFFB2" w14:textId="3C149D1F" w:rsidR="00B63A12" w:rsidRPr="00AB0B42" w:rsidRDefault="005D0E98" w:rsidP="00B63A12">
      <w:r w:rsidRPr="00AB0B42">
        <w:t>E:O: Ratio of expected and observed outcomes; AUC: Area under the curve; CITL: Calibration-In-The-Large.</w:t>
      </w:r>
      <w:r w:rsidR="00B63A12" w:rsidRPr="00AB0B42">
        <w:br w:type="page"/>
      </w:r>
    </w:p>
    <w:p w14:paraId="495AFE6A" w14:textId="77D04F30" w:rsidR="000916D6" w:rsidRPr="00AB0B42" w:rsidRDefault="000916D6" w:rsidP="000916D6">
      <w:pPr>
        <w:pStyle w:val="Heading2"/>
        <w:jc w:val="left"/>
        <w:rPr>
          <w:b w:val="0"/>
        </w:rPr>
      </w:pPr>
      <w:r w:rsidRPr="00AB0B42">
        <w:t xml:space="preserve">Table </w:t>
      </w:r>
      <w:r w:rsidR="00490B59">
        <w:t>1</w:t>
      </w:r>
      <w:r w:rsidRPr="00AB0B42">
        <w:t xml:space="preserve">. Patient characteristics and distribution of variables </w:t>
      </w:r>
      <w:r w:rsidR="00B656EE" w:rsidRPr="00AB0B42">
        <w:t>by high and low mechanical power</w:t>
      </w:r>
    </w:p>
    <w:tbl>
      <w:tblPr>
        <w:tblW w:w="9450" w:type="dxa"/>
        <w:tblInd w:w="-180" w:type="dxa"/>
        <w:tblBorders>
          <w:top w:val="single" w:sz="8" w:space="0" w:color="4F81BD"/>
          <w:left w:val="nil"/>
          <w:bottom w:val="nil"/>
          <w:right w:val="nil"/>
          <w:insideH w:val="nil"/>
          <w:insideV w:val="nil"/>
        </w:tblBorders>
        <w:tblLayout w:type="fixed"/>
        <w:tblLook w:val="0400" w:firstRow="0" w:lastRow="0" w:firstColumn="0" w:lastColumn="0" w:noHBand="0" w:noVBand="1"/>
      </w:tblPr>
      <w:tblGrid>
        <w:gridCol w:w="3600"/>
        <w:gridCol w:w="2520"/>
        <w:gridCol w:w="2610"/>
        <w:gridCol w:w="720"/>
      </w:tblGrid>
      <w:tr w:rsidR="000916D6" w:rsidRPr="00AB0B42" w14:paraId="6A9DC25E" w14:textId="77777777" w:rsidTr="00700EB8">
        <w:tc>
          <w:tcPr>
            <w:tcW w:w="3600" w:type="dxa"/>
            <w:tcBorders>
              <w:top w:val="single" w:sz="8" w:space="0" w:color="000000"/>
            </w:tcBorders>
            <w:vAlign w:val="center"/>
          </w:tcPr>
          <w:p w14:paraId="42DF0B7D" w14:textId="77777777" w:rsidR="000916D6" w:rsidRPr="00AB0B42" w:rsidRDefault="000916D6" w:rsidP="00700EB8"/>
        </w:tc>
        <w:tc>
          <w:tcPr>
            <w:tcW w:w="2520" w:type="dxa"/>
            <w:tcBorders>
              <w:top w:val="single" w:sz="8" w:space="0" w:color="000000"/>
            </w:tcBorders>
            <w:vAlign w:val="center"/>
          </w:tcPr>
          <w:p w14:paraId="01C8923B" w14:textId="77777777" w:rsidR="000916D6" w:rsidRPr="00AB0B42" w:rsidRDefault="000916D6" w:rsidP="00700EB8">
            <w:pPr>
              <w:jc w:val="center"/>
            </w:pPr>
            <w:r w:rsidRPr="00AB0B42">
              <w:rPr>
                <w:b/>
              </w:rPr>
              <w:t>Low mechanical power (&lt;14.5 J/min)</w:t>
            </w:r>
          </w:p>
        </w:tc>
        <w:tc>
          <w:tcPr>
            <w:tcW w:w="2610" w:type="dxa"/>
            <w:tcBorders>
              <w:top w:val="single" w:sz="8" w:space="0" w:color="000000"/>
            </w:tcBorders>
            <w:vAlign w:val="center"/>
          </w:tcPr>
          <w:p w14:paraId="069E906B" w14:textId="77777777" w:rsidR="000916D6" w:rsidRPr="00AB0B42" w:rsidRDefault="000916D6" w:rsidP="00700EB8">
            <w:pPr>
              <w:jc w:val="center"/>
            </w:pPr>
            <w:r w:rsidRPr="00AB0B42">
              <w:rPr>
                <w:b/>
              </w:rPr>
              <w:t>High mechanical power (≥14.5 J/min)</w:t>
            </w:r>
          </w:p>
        </w:tc>
        <w:tc>
          <w:tcPr>
            <w:tcW w:w="720" w:type="dxa"/>
            <w:tcBorders>
              <w:top w:val="single" w:sz="8" w:space="0" w:color="000000"/>
            </w:tcBorders>
            <w:vAlign w:val="center"/>
          </w:tcPr>
          <w:p w14:paraId="0C170815" w14:textId="77777777" w:rsidR="000916D6" w:rsidRPr="00AB0B42" w:rsidRDefault="000916D6" w:rsidP="00700EB8">
            <w:r w:rsidRPr="00AB0B42">
              <w:rPr>
                <w:b/>
              </w:rPr>
              <w:t>Std. diff</w:t>
            </w:r>
          </w:p>
        </w:tc>
      </w:tr>
      <w:tr w:rsidR="000916D6" w:rsidRPr="00AB0B42" w14:paraId="7CB8C225" w14:textId="77777777" w:rsidTr="00700EB8">
        <w:tc>
          <w:tcPr>
            <w:tcW w:w="3600" w:type="dxa"/>
            <w:tcBorders>
              <w:bottom w:val="nil"/>
            </w:tcBorders>
            <w:vAlign w:val="center"/>
          </w:tcPr>
          <w:p w14:paraId="41367C4C" w14:textId="77777777" w:rsidR="000916D6" w:rsidRPr="00AB0B42" w:rsidRDefault="000916D6" w:rsidP="00700EB8"/>
        </w:tc>
        <w:tc>
          <w:tcPr>
            <w:tcW w:w="2520" w:type="dxa"/>
            <w:tcBorders>
              <w:bottom w:val="nil"/>
            </w:tcBorders>
            <w:vAlign w:val="center"/>
          </w:tcPr>
          <w:p w14:paraId="624B54FC" w14:textId="77777777" w:rsidR="000916D6" w:rsidRPr="00AB0B42" w:rsidRDefault="000916D6" w:rsidP="00700EB8">
            <w:pPr>
              <w:jc w:val="center"/>
            </w:pPr>
            <w:r w:rsidRPr="00AB0B42">
              <w:rPr>
                <w:b/>
              </w:rPr>
              <w:t>N=870</w:t>
            </w:r>
          </w:p>
        </w:tc>
        <w:tc>
          <w:tcPr>
            <w:tcW w:w="2610" w:type="dxa"/>
            <w:tcBorders>
              <w:bottom w:val="nil"/>
            </w:tcBorders>
            <w:vAlign w:val="center"/>
          </w:tcPr>
          <w:p w14:paraId="7F083E88" w14:textId="77777777" w:rsidR="000916D6" w:rsidRPr="00AB0B42" w:rsidRDefault="000916D6" w:rsidP="00700EB8">
            <w:pPr>
              <w:jc w:val="center"/>
            </w:pPr>
            <w:r w:rsidRPr="00AB0B42">
              <w:rPr>
                <w:b/>
              </w:rPr>
              <w:t>N=867</w:t>
            </w:r>
          </w:p>
        </w:tc>
        <w:tc>
          <w:tcPr>
            <w:tcW w:w="720" w:type="dxa"/>
            <w:tcBorders>
              <w:bottom w:val="nil"/>
            </w:tcBorders>
            <w:vAlign w:val="center"/>
          </w:tcPr>
          <w:p w14:paraId="7A53D253" w14:textId="77777777" w:rsidR="000916D6" w:rsidRPr="00AB0B42" w:rsidRDefault="000916D6" w:rsidP="00700EB8"/>
        </w:tc>
      </w:tr>
      <w:tr w:rsidR="000916D6" w:rsidRPr="00AB0B42" w14:paraId="358DA518" w14:textId="77777777" w:rsidTr="00700EB8">
        <w:tc>
          <w:tcPr>
            <w:tcW w:w="3600" w:type="dxa"/>
            <w:tcBorders>
              <w:bottom w:val="nil"/>
            </w:tcBorders>
            <w:vAlign w:val="center"/>
          </w:tcPr>
          <w:p w14:paraId="56FCF95B" w14:textId="77777777" w:rsidR="000916D6" w:rsidRPr="00AB0B42" w:rsidRDefault="000916D6" w:rsidP="00700EB8">
            <w:pPr>
              <w:rPr>
                <w:b/>
              </w:rPr>
            </w:pPr>
            <w:r w:rsidRPr="00AB0B42">
              <w:rPr>
                <w:b/>
              </w:rPr>
              <w:t>Demographics</w:t>
            </w:r>
          </w:p>
        </w:tc>
        <w:tc>
          <w:tcPr>
            <w:tcW w:w="2520" w:type="dxa"/>
            <w:tcBorders>
              <w:bottom w:val="nil"/>
            </w:tcBorders>
            <w:vAlign w:val="center"/>
          </w:tcPr>
          <w:p w14:paraId="41F6F1E6" w14:textId="77777777" w:rsidR="000916D6" w:rsidRPr="00AB0B42" w:rsidRDefault="000916D6" w:rsidP="00700EB8">
            <w:pPr>
              <w:jc w:val="center"/>
              <w:rPr>
                <w:b/>
              </w:rPr>
            </w:pPr>
          </w:p>
        </w:tc>
        <w:tc>
          <w:tcPr>
            <w:tcW w:w="2610" w:type="dxa"/>
            <w:tcBorders>
              <w:bottom w:val="nil"/>
            </w:tcBorders>
            <w:vAlign w:val="center"/>
          </w:tcPr>
          <w:p w14:paraId="39AAD63A" w14:textId="77777777" w:rsidR="000916D6" w:rsidRPr="00AB0B42" w:rsidRDefault="000916D6" w:rsidP="00700EB8">
            <w:pPr>
              <w:jc w:val="center"/>
              <w:rPr>
                <w:b/>
              </w:rPr>
            </w:pPr>
          </w:p>
        </w:tc>
        <w:tc>
          <w:tcPr>
            <w:tcW w:w="720" w:type="dxa"/>
            <w:tcBorders>
              <w:bottom w:val="nil"/>
            </w:tcBorders>
            <w:vAlign w:val="center"/>
          </w:tcPr>
          <w:p w14:paraId="69E94875" w14:textId="77777777" w:rsidR="000916D6" w:rsidRPr="00AB0B42" w:rsidRDefault="000916D6" w:rsidP="00700EB8"/>
        </w:tc>
      </w:tr>
      <w:tr w:rsidR="000916D6" w:rsidRPr="00AB0B42" w14:paraId="3968F613" w14:textId="77777777" w:rsidTr="00700EB8">
        <w:tc>
          <w:tcPr>
            <w:tcW w:w="3600" w:type="dxa"/>
            <w:tcBorders>
              <w:top w:val="nil"/>
            </w:tcBorders>
            <w:vAlign w:val="center"/>
          </w:tcPr>
          <w:p w14:paraId="16035579" w14:textId="77777777" w:rsidR="000916D6" w:rsidRPr="00AB0B42" w:rsidRDefault="000916D6" w:rsidP="00700EB8">
            <w:pPr>
              <w:ind w:left="90"/>
            </w:pPr>
            <w:r w:rsidRPr="00AB0B42">
              <w:t>Age, years</w:t>
            </w:r>
          </w:p>
        </w:tc>
        <w:tc>
          <w:tcPr>
            <w:tcW w:w="2520" w:type="dxa"/>
            <w:tcBorders>
              <w:top w:val="nil"/>
            </w:tcBorders>
            <w:vAlign w:val="center"/>
          </w:tcPr>
          <w:p w14:paraId="18F2CEF0" w14:textId="77777777" w:rsidR="000916D6" w:rsidRPr="00AB0B42" w:rsidRDefault="000916D6" w:rsidP="00700EB8">
            <w:pPr>
              <w:jc w:val="both"/>
            </w:pPr>
            <w:r w:rsidRPr="00AB0B42">
              <w:t>67 (55 - 76)</w:t>
            </w:r>
          </w:p>
        </w:tc>
        <w:tc>
          <w:tcPr>
            <w:tcW w:w="2610" w:type="dxa"/>
            <w:tcBorders>
              <w:top w:val="nil"/>
            </w:tcBorders>
            <w:vAlign w:val="center"/>
          </w:tcPr>
          <w:p w14:paraId="35F987B5" w14:textId="77777777" w:rsidR="000916D6" w:rsidRPr="00AB0B42" w:rsidRDefault="000916D6" w:rsidP="00700EB8">
            <w:pPr>
              <w:jc w:val="both"/>
            </w:pPr>
            <w:r w:rsidRPr="00AB0B42">
              <w:t>63 (53 - 71)</w:t>
            </w:r>
          </w:p>
        </w:tc>
        <w:tc>
          <w:tcPr>
            <w:tcW w:w="720" w:type="dxa"/>
            <w:tcBorders>
              <w:top w:val="nil"/>
            </w:tcBorders>
            <w:vAlign w:val="center"/>
          </w:tcPr>
          <w:p w14:paraId="40D7FF46" w14:textId="77777777" w:rsidR="000916D6" w:rsidRPr="00AB0B42" w:rsidRDefault="000916D6" w:rsidP="00700EB8">
            <w:pPr>
              <w:jc w:val="right"/>
            </w:pPr>
            <w:r w:rsidRPr="00AB0B42">
              <w:t>0.20</w:t>
            </w:r>
          </w:p>
        </w:tc>
      </w:tr>
      <w:tr w:rsidR="000916D6" w:rsidRPr="00AB0B42" w14:paraId="64DDB01F" w14:textId="77777777" w:rsidTr="00700EB8">
        <w:tc>
          <w:tcPr>
            <w:tcW w:w="3600" w:type="dxa"/>
            <w:vAlign w:val="center"/>
          </w:tcPr>
          <w:p w14:paraId="0AB501FC" w14:textId="77777777" w:rsidR="000916D6" w:rsidRPr="00AB0B42" w:rsidRDefault="000916D6" w:rsidP="00700EB8">
            <w:pPr>
              <w:ind w:left="90"/>
            </w:pPr>
            <w:r w:rsidRPr="00AB0B42">
              <w:t>BMI, kg/m</w:t>
            </w:r>
            <w:r w:rsidRPr="00AB0B42">
              <w:rPr>
                <w:vertAlign w:val="superscript"/>
              </w:rPr>
              <w:t>2</w:t>
            </w:r>
          </w:p>
        </w:tc>
        <w:tc>
          <w:tcPr>
            <w:tcW w:w="2520" w:type="dxa"/>
            <w:vAlign w:val="center"/>
          </w:tcPr>
          <w:p w14:paraId="5D19D42C" w14:textId="77777777" w:rsidR="000916D6" w:rsidRPr="00AB0B42" w:rsidRDefault="000916D6" w:rsidP="00700EB8">
            <w:pPr>
              <w:jc w:val="both"/>
            </w:pPr>
            <w:r w:rsidRPr="00AB0B42">
              <w:t>26.5 (23.0 - 30.6)</w:t>
            </w:r>
          </w:p>
        </w:tc>
        <w:tc>
          <w:tcPr>
            <w:tcW w:w="2610" w:type="dxa"/>
            <w:vAlign w:val="center"/>
          </w:tcPr>
          <w:p w14:paraId="42ED7B98" w14:textId="77777777" w:rsidR="000916D6" w:rsidRPr="00AB0B42" w:rsidRDefault="000916D6" w:rsidP="00700EB8">
            <w:pPr>
              <w:jc w:val="both"/>
            </w:pPr>
            <w:r w:rsidRPr="00AB0B42">
              <w:t>30.9 (25.9 - 36.6)</w:t>
            </w:r>
          </w:p>
        </w:tc>
        <w:tc>
          <w:tcPr>
            <w:tcW w:w="720" w:type="dxa"/>
            <w:vAlign w:val="center"/>
          </w:tcPr>
          <w:p w14:paraId="2BAB475E" w14:textId="77777777" w:rsidR="000916D6" w:rsidRPr="00AB0B42" w:rsidRDefault="000916D6" w:rsidP="00700EB8">
            <w:pPr>
              <w:jc w:val="right"/>
            </w:pPr>
            <w:r w:rsidRPr="00AB0B42">
              <w:t>-0.63</w:t>
            </w:r>
          </w:p>
        </w:tc>
      </w:tr>
      <w:tr w:rsidR="000916D6" w:rsidRPr="00AB0B42" w14:paraId="66FDF7CB" w14:textId="77777777" w:rsidTr="00700EB8">
        <w:tc>
          <w:tcPr>
            <w:tcW w:w="3600" w:type="dxa"/>
            <w:tcBorders>
              <w:bottom w:val="single" w:sz="4" w:space="0" w:color="000000"/>
            </w:tcBorders>
            <w:vAlign w:val="center"/>
          </w:tcPr>
          <w:p w14:paraId="27BA8056" w14:textId="77777777" w:rsidR="000916D6" w:rsidRPr="00AB0B42" w:rsidRDefault="000916D6" w:rsidP="00700EB8">
            <w:pPr>
              <w:ind w:left="90"/>
            </w:pPr>
            <w:r w:rsidRPr="00AB0B42">
              <w:t>Sex, female</w:t>
            </w:r>
          </w:p>
        </w:tc>
        <w:tc>
          <w:tcPr>
            <w:tcW w:w="2520" w:type="dxa"/>
            <w:tcBorders>
              <w:bottom w:val="single" w:sz="4" w:space="0" w:color="000000"/>
            </w:tcBorders>
            <w:vAlign w:val="center"/>
          </w:tcPr>
          <w:p w14:paraId="38DA2C5F" w14:textId="77777777" w:rsidR="000916D6" w:rsidRPr="00AB0B42" w:rsidRDefault="000916D6" w:rsidP="00700EB8">
            <w:pPr>
              <w:jc w:val="both"/>
            </w:pPr>
            <w:r w:rsidRPr="00AB0B42">
              <w:t>395 (45.4%)</w:t>
            </w:r>
          </w:p>
        </w:tc>
        <w:tc>
          <w:tcPr>
            <w:tcW w:w="2610" w:type="dxa"/>
            <w:tcBorders>
              <w:bottom w:val="single" w:sz="4" w:space="0" w:color="000000"/>
            </w:tcBorders>
            <w:vAlign w:val="center"/>
          </w:tcPr>
          <w:p w14:paraId="24E51D24" w14:textId="77777777" w:rsidR="000916D6" w:rsidRPr="00AB0B42" w:rsidRDefault="000916D6" w:rsidP="00700EB8">
            <w:pPr>
              <w:jc w:val="both"/>
            </w:pPr>
            <w:r w:rsidRPr="00AB0B42">
              <w:t>277 (31.9%)</w:t>
            </w:r>
          </w:p>
        </w:tc>
        <w:tc>
          <w:tcPr>
            <w:tcW w:w="720" w:type="dxa"/>
            <w:tcBorders>
              <w:bottom w:val="single" w:sz="4" w:space="0" w:color="000000"/>
            </w:tcBorders>
            <w:vAlign w:val="center"/>
          </w:tcPr>
          <w:p w14:paraId="049BC5C0" w14:textId="77777777" w:rsidR="000916D6" w:rsidRPr="00AB0B42" w:rsidRDefault="000916D6" w:rsidP="00700EB8">
            <w:pPr>
              <w:jc w:val="right"/>
            </w:pPr>
            <w:r w:rsidRPr="00AB0B42">
              <w:t>-0.28</w:t>
            </w:r>
          </w:p>
        </w:tc>
      </w:tr>
      <w:tr w:rsidR="000916D6" w:rsidRPr="00AB0B42" w14:paraId="6135B9B7" w14:textId="77777777" w:rsidTr="00700EB8">
        <w:tc>
          <w:tcPr>
            <w:tcW w:w="3600" w:type="dxa"/>
            <w:tcBorders>
              <w:top w:val="single" w:sz="4" w:space="0" w:color="000000"/>
              <w:bottom w:val="single" w:sz="4" w:space="0" w:color="000000"/>
            </w:tcBorders>
            <w:vAlign w:val="center"/>
          </w:tcPr>
          <w:p w14:paraId="3818048F" w14:textId="77777777" w:rsidR="000916D6" w:rsidRPr="00AB0B42" w:rsidRDefault="000916D6" w:rsidP="00700EB8">
            <w:pPr>
              <w:rPr>
                <w:b/>
              </w:rPr>
            </w:pPr>
            <w:r w:rsidRPr="00AB0B42">
              <w:rPr>
                <w:b/>
              </w:rPr>
              <w:t>Comorbidities</w:t>
            </w:r>
          </w:p>
        </w:tc>
        <w:tc>
          <w:tcPr>
            <w:tcW w:w="2520" w:type="dxa"/>
            <w:tcBorders>
              <w:top w:val="single" w:sz="4" w:space="0" w:color="000000"/>
              <w:bottom w:val="single" w:sz="4" w:space="0" w:color="000000"/>
            </w:tcBorders>
            <w:vAlign w:val="center"/>
          </w:tcPr>
          <w:p w14:paraId="0C73A550" w14:textId="77777777" w:rsidR="000916D6" w:rsidRPr="00AB0B42" w:rsidRDefault="000916D6" w:rsidP="00700EB8">
            <w:pPr>
              <w:jc w:val="both"/>
              <w:rPr>
                <w:b/>
              </w:rPr>
            </w:pPr>
          </w:p>
        </w:tc>
        <w:tc>
          <w:tcPr>
            <w:tcW w:w="2610" w:type="dxa"/>
            <w:tcBorders>
              <w:top w:val="single" w:sz="4" w:space="0" w:color="000000"/>
              <w:bottom w:val="single" w:sz="4" w:space="0" w:color="000000"/>
            </w:tcBorders>
            <w:vAlign w:val="center"/>
          </w:tcPr>
          <w:p w14:paraId="4B99ACDA" w14:textId="77777777" w:rsidR="000916D6" w:rsidRPr="00AB0B42" w:rsidRDefault="000916D6" w:rsidP="00700EB8">
            <w:pPr>
              <w:jc w:val="both"/>
              <w:rPr>
                <w:b/>
              </w:rPr>
            </w:pPr>
          </w:p>
        </w:tc>
        <w:tc>
          <w:tcPr>
            <w:tcW w:w="720" w:type="dxa"/>
            <w:tcBorders>
              <w:top w:val="single" w:sz="4" w:space="0" w:color="000000"/>
              <w:bottom w:val="single" w:sz="4" w:space="0" w:color="000000"/>
            </w:tcBorders>
            <w:vAlign w:val="center"/>
          </w:tcPr>
          <w:p w14:paraId="61890946" w14:textId="77777777" w:rsidR="000916D6" w:rsidRPr="00AB0B42" w:rsidRDefault="000916D6" w:rsidP="00700EB8"/>
        </w:tc>
      </w:tr>
      <w:tr w:rsidR="000916D6" w:rsidRPr="00AB0B42" w14:paraId="1BA5E2FD" w14:textId="77777777" w:rsidTr="00700EB8">
        <w:tc>
          <w:tcPr>
            <w:tcW w:w="3600" w:type="dxa"/>
            <w:tcBorders>
              <w:top w:val="single" w:sz="4" w:space="0" w:color="000000"/>
            </w:tcBorders>
            <w:vAlign w:val="center"/>
          </w:tcPr>
          <w:p w14:paraId="652281E9" w14:textId="77777777" w:rsidR="000916D6" w:rsidRPr="00AB0B42" w:rsidRDefault="000916D6" w:rsidP="00700EB8">
            <w:pPr>
              <w:ind w:left="90"/>
            </w:pPr>
            <w:r w:rsidRPr="00AB0B42">
              <w:t>COVID-19</w:t>
            </w:r>
          </w:p>
        </w:tc>
        <w:tc>
          <w:tcPr>
            <w:tcW w:w="2520" w:type="dxa"/>
            <w:tcBorders>
              <w:top w:val="single" w:sz="4" w:space="0" w:color="000000"/>
            </w:tcBorders>
            <w:vAlign w:val="center"/>
          </w:tcPr>
          <w:p w14:paraId="77DEBF14" w14:textId="77777777" w:rsidR="000916D6" w:rsidRPr="00AB0B42" w:rsidRDefault="000916D6" w:rsidP="00700EB8">
            <w:pPr>
              <w:jc w:val="both"/>
            </w:pPr>
            <w:r w:rsidRPr="00AB0B42">
              <w:t>101 (11.6%)</w:t>
            </w:r>
          </w:p>
        </w:tc>
        <w:tc>
          <w:tcPr>
            <w:tcW w:w="2610" w:type="dxa"/>
            <w:tcBorders>
              <w:top w:val="single" w:sz="4" w:space="0" w:color="000000"/>
            </w:tcBorders>
            <w:vAlign w:val="center"/>
          </w:tcPr>
          <w:p w14:paraId="375550A3" w14:textId="77777777" w:rsidR="000916D6" w:rsidRPr="00AB0B42" w:rsidRDefault="000916D6" w:rsidP="00700EB8">
            <w:pPr>
              <w:jc w:val="both"/>
            </w:pPr>
            <w:r w:rsidRPr="00AB0B42">
              <w:t>310 (35.8%)</w:t>
            </w:r>
          </w:p>
        </w:tc>
        <w:tc>
          <w:tcPr>
            <w:tcW w:w="720" w:type="dxa"/>
            <w:tcBorders>
              <w:top w:val="single" w:sz="4" w:space="0" w:color="000000"/>
            </w:tcBorders>
            <w:vAlign w:val="center"/>
          </w:tcPr>
          <w:p w14:paraId="5F03461E" w14:textId="77777777" w:rsidR="000916D6" w:rsidRPr="00AB0B42" w:rsidRDefault="000916D6" w:rsidP="00700EB8">
            <w:pPr>
              <w:jc w:val="right"/>
            </w:pPr>
            <w:r w:rsidRPr="00AB0B42">
              <w:t>-0.59</w:t>
            </w:r>
          </w:p>
        </w:tc>
      </w:tr>
      <w:tr w:rsidR="000916D6" w:rsidRPr="00AB0B42" w14:paraId="63D645B4" w14:textId="77777777" w:rsidTr="00700EB8">
        <w:tc>
          <w:tcPr>
            <w:tcW w:w="3600" w:type="dxa"/>
            <w:vAlign w:val="center"/>
          </w:tcPr>
          <w:p w14:paraId="4601C193" w14:textId="77777777" w:rsidR="000916D6" w:rsidRPr="00AB0B42" w:rsidRDefault="000916D6" w:rsidP="00700EB8">
            <w:pPr>
              <w:ind w:left="90"/>
            </w:pPr>
            <w:r w:rsidRPr="00AB0B42">
              <w:t>Chronic lung disease</w:t>
            </w:r>
          </w:p>
        </w:tc>
        <w:tc>
          <w:tcPr>
            <w:tcW w:w="2520" w:type="dxa"/>
            <w:vAlign w:val="center"/>
          </w:tcPr>
          <w:p w14:paraId="4C6C110C" w14:textId="77777777" w:rsidR="000916D6" w:rsidRPr="00AB0B42" w:rsidRDefault="000916D6" w:rsidP="00700EB8">
            <w:pPr>
              <w:jc w:val="both"/>
            </w:pPr>
            <w:r w:rsidRPr="00AB0B42">
              <w:t>271 (31.1%)</w:t>
            </w:r>
          </w:p>
        </w:tc>
        <w:tc>
          <w:tcPr>
            <w:tcW w:w="2610" w:type="dxa"/>
            <w:vAlign w:val="center"/>
          </w:tcPr>
          <w:p w14:paraId="68D6E1BB" w14:textId="77777777" w:rsidR="000916D6" w:rsidRPr="00AB0B42" w:rsidRDefault="000916D6" w:rsidP="00700EB8">
            <w:pPr>
              <w:jc w:val="both"/>
            </w:pPr>
            <w:r w:rsidRPr="00AB0B42">
              <w:t>332 (38.3%)</w:t>
            </w:r>
          </w:p>
        </w:tc>
        <w:tc>
          <w:tcPr>
            <w:tcW w:w="720" w:type="dxa"/>
            <w:vAlign w:val="center"/>
          </w:tcPr>
          <w:p w14:paraId="169EC41D" w14:textId="77777777" w:rsidR="000916D6" w:rsidRPr="00AB0B42" w:rsidRDefault="000916D6" w:rsidP="00700EB8">
            <w:pPr>
              <w:jc w:val="right"/>
            </w:pPr>
            <w:r w:rsidRPr="00AB0B42">
              <w:t>-0.15</w:t>
            </w:r>
          </w:p>
        </w:tc>
      </w:tr>
      <w:tr w:rsidR="000916D6" w:rsidRPr="00AB0B42" w14:paraId="651D48AB" w14:textId="77777777" w:rsidTr="00700EB8">
        <w:tc>
          <w:tcPr>
            <w:tcW w:w="3600" w:type="dxa"/>
            <w:vAlign w:val="center"/>
          </w:tcPr>
          <w:p w14:paraId="2E3CFAEF" w14:textId="77777777" w:rsidR="000916D6" w:rsidRPr="00AB0B42" w:rsidRDefault="000916D6" w:rsidP="00700EB8">
            <w:pPr>
              <w:ind w:left="90"/>
            </w:pPr>
            <w:r w:rsidRPr="00AB0B42">
              <w:t>Congestive Heart Failure</w:t>
            </w:r>
          </w:p>
        </w:tc>
        <w:tc>
          <w:tcPr>
            <w:tcW w:w="2520" w:type="dxa"/>
            <w:vAlign w:val="center"/>
          </w:tcPr>
          <w:p w14:paraId="747375EB" w14:textId="77777777" w:rsidR="000916D6" w:rsidRPr="00AB0B42" w:rsidRDefault="000916D6" w:rsidP="00700EB8">
            <w:pPr>
              <w:jc w:val="both"/>
            </w:pPr>
            <w:r w:rsidRPr="00AB0B42">
              <w:t>271 (31.1%)</w:t>
            </w:r>
          </w:p>
        </w:tc>
        <w:tc>
          <w:tcPr>
            <w:tcW w:w="2610" w:type="dxa"/>
            <w:vAlign w:val="center"/>
          </w:tcPr>
          <w:p w14:paraId="0C7FA313" w14:textId="77777777" w:rsidR="000916D6" w:rsidRPr="00AB0B42" w:rsidRDefault="000916D6" w:rsidP="00700EB8">
            <w:pPr>
              <w:jc w:val="both"/>
            </w:pPr>
            <w:r w:rsidRPr="00AB0B42">
              <w:t>275 (31.7%)</w:t>
            </w:r>
          </w:p>
        </w:tc>
        <w:tc>
          <w:tcPr>
            <w:tcW w:w="720" w:type="dxa"/>
            <w:vAlign w:val="center"/>
          </w:tcPr>
          <w:p w14:paraId="179FB632" w14:textId="77777777" w:rsidR="000916D6" w:rsidRPr="00AB0B42" w:rsidRDefault="000916D6" w:rsidP="00700EB8">
            <w:pPr>
              <w:jc w:val="right"/>
            </w:pPr>
            <w:r w:rsidRPr="00AB0B42">
              <w:t>-0.01</w:t>
            </w:r>
          </w:p>
        </w:tc>
      </w:tr>
      <w:tr w:rsidR="000916D6" w:rsidRPr="00AB0B42" w14:paraId="784FB167" w14:textId="77777777" w:rsidTr="00700EB8">
        <w:tc>
          <w:tcPr>
            <w:tcW w:w="3600" w:type="dxa"/>
            <w:vAlign w:val="center"/>
          </w:tcPr>
          <w:p w14:paraId="2F79C447" w14:textId="77777777" w:rsidR="000916D6" w:rsidRPr="00AB0B42" w:rsidRDefault="000916D6" w:rsidP="00700EB8">
            <w:pPr>
              <w:ind w:left="90"/>
            </w:pPr>
            <w:r w:rsidRPr="00AB0B42">
              <w:t>Renal Failure</w:t>
            </w:r>
          </w:p>
        </w:tc>
        <w:tc>
          <w:tcPr>
            <w:tcW w:w="2520" w:type="dxa"/>
            <w:vAlign w:val="center"/>
          </w:tcPr>
          <w:p w14:paraId="6D6BB0CE" w14:textId="77777777" w:rsidR="000916D6" w:rsidRPr="00AB0B42" w:rsidRDefault="000916D6" w:rsidP="00700EB8">
            <w:pPr>
              <w:jc w:val="both"/>
            </w:pPr>
            <w:r w:rsidRPr="00AB0B42">
              <w:t>225 (25.9%)</w:t>
            </w:r>
          </w:p>
        </w:tc>
        <w:tc>
          <w:tcPr>
            <w:tcW w:w="2610" w:type="dxa"/>
            <w:vAlign w:val="center"/>
          </w:tcPr>
          <w:p w14:paraId="576AC6F2" w14:textId="77777777" w:rsidR="000916D6" w:rsidRPr="00AB0B42" w:rsidRDefault="000916D6" w:rsidP="00700EB8">
            <w:pPr>
              <w:jc w:val="both"/>
            </w:pPr>
            <w:r w:rsidRPr="00AB0B42">
              <w:t>231 (26.6%)</w:t>
            </w:r>
          </w:p>
        </w:tc>
        <w:tc>
          <w:tcPr>
            <w:tcW w:w="720" w:type="dxa"/>
            <w:vAlign w:val="center"/>
          </w:tcPr>
          <w:p w14:paraId="365F1259" w14:textId="77777777" w:rsidR="000916D6" w:rsidRPr="00AB0B42" w:rsidRDefault="000916D6" w:rsidP="00700EB8">
            <w:pPr>
              <w:jc w:val="right"/>
            </w:pPr>
            <w:r w:rsidRPr="00AB0B42">
              <w:t>-0.02</w:t>
            </w:r>
          </w:p>
        </w:tc>
      </w:tr>
      <w:tr w:rsidR="000916D6" w:rsidRPr="00AB0B42" w14:paraId="6E5B5BF6" w14:textId="77777777" w:rsidTr="00700EB8">
        <w:tc>
          <w:tcPr>
            <w:tcW w:w="3600" w:type="dxa"/>
            <w:vAlign w:val="center"/>
          </w:tcPr>
          <w:p w14:paraId="2455AACA" w14:textId="77777777" w:rsidR="000916D6" w:rsidRPr="00AB0B42" w:rsidRDefault="000916D6" w:rsidP="00700EB8">
            <w:pPr>
              <w:ind w:left="90"/>
            </w:pPr>
            <w:r w:rsidRPr="00AB0B42">
              <w:t>Liver Disease</w:t>
            </w:r>
          </w:p>
        </w:tc>
        <w:tc>
          <w:tcPr>
            <w:tcW w:w="2520" w:type="dxa"/>
            <w:vAlign w:val="center"/>
          </w:tcPr>
          <w:p w14:paraId="0585D04B" w14:textId="77777777" w:rsidR="000916D6" w:rsidRPr="00AB0B42" w:rsidRDefault="000916D6" w:rsidP="00700EB8">
            <w:pPr>
              <w:jc w:val="both"/>
            </w:pPr>
            <w:r w:rsidRPr="00AB0B42">
              <w:t>193 (22.2%)</w:t>
            </w:r>
          </w:p>
        </w:tc>
        <w:tc>
          <w:tcPr>
            <w:tcW w:w="2610" w:type="dxa"/>
            <w:vAlign w:val="center"/>
          </w:tcPr>
          <w:p w14:paraId="7994769A" w14:textId="77777777" w:rsidR="000916D6" w:rsidRPr="00AB0B42" w:rsidRDefault="000916D6" w:rsidP="00700EB8">
            <w:pPr>
              <w:jc w:val="both"/>
            </w:pPr>
            <w:r w:rsidRPr="00AB0B42">
              <w:t>245 (28.3%)</w:t>
            </w:r>
          </w:p>
        </w:tc>
        <w:tc>
          <w:tcPr>
            <w:tcW w:w="720" w:type="dxa"/>
            <w:vAlign w:val="center"/>
          </w:tcPr>
          <w:p w14:paraId="4F96FC56" w14:textId="77777777" w:rsidR="000916D6" w:rsidRPr="00AB0B42" w:rsidRDefault="000916D6" w:rsidP="00700EB8">
            <w:pPr>
              <w:jc w:val="right"/>
            </w:pPr>
            <w:r w:rsidRPr="00AB0B42">
              <w:t>-0.14</w:t>
            </w:r>
          </w:p>
        </w:tc>
      </w:tr>
      <w:tr w:rsidR="000916D6" w:rsidRPr="00AB0B42" w14:paraId="5E128646" w14:textId="77777777" w:rsidTr="00700EB8">
        <w:tc>
          <w:tcPr>
            <w:tcW w:w="3600" w:type="dxa"/>
            <w:vAlign w:val="center"/>
          </w:tcPr>
          <w:p w14:paraId="41E3DBB6" w14:textId="77777777" w:rsidR="000916D6" w:rsidRPr="00AB0B42" w:rsidRDefault="000916D6" w:rsidP="00700EB8">
            <w:pPr>
              <w:ind w:left="90"/>
            </w:pPr>
            <w:r w:rsidRPr="00AB0B42">
              <w:t>Diabetes mellitus</w:t>
            </w:r>
          </w:p>
        </w:tc>
        <w:tc>
          <w:tcPr>
            <w:tcW w:w="2520" w:type="dxa"/>
            <w:vAlign w:val="center"/>
          </w:tcPr>
          <w:p w14:paraId="5D70ABF5" w14:textId="77777777" w:rsidR="000916D6" w:rsidRPr="00AB0B42" w:rsidRDefault="000916D6" w:rsidP="00700EB8">
            <w:pPr>
              <w:jc w:val="both"/>
            </w:pPr>
            <w:r w:rsidRPr="00AB0B42">
              <w:t>300 (34.5%)</w:t>
            </w:r>
          </w:p>
        </w:tc>
        <w:tc>
          <w:tcPr>
            <w:tcW w:w="2610" w:type="dxa"/>
            <w:vAlign w:val="center"/>
          </w:tcPr>
          <w:p w14:paraId="4681C3D9" w14:textId="77777777" w:rsidR="000916D6" w:rsidRPr="00AB0B42" w:rsidRDefault="000916D6" w:rsidP="00700EB8">
            <w:pPr>
              <w:jc w:val="both"/>
            </w:pPr>
            <w:r w:rsidRPr="00AB0B42">
              <w:t>311 (35.9%)</w:t>
            </w:r>
          </w:p>
        </w:tc>
        <w:tc>
          <w:tcPr>
            <w:tcW w:w="720" w:type="dxa"/>
            <w:vAlign w:val="center"/>
          </w:tcPr>
          <w:p w14:paraId="7B43409B" w14:textId="77777777" w:rsidR="000916D6" w:rsidRPr="00AB0B42" w:rsidRDefault="000916D6" w:rsidP="00700EB8">
            <w:pPr>
              <w:jc w:val="right"/>
            </w:pPr>
            <w:r w:rsidRPr="00AB0B42">
              <w:t>-0.03</w:t>
            </w:r>
          </w:p>
        </w:tc>
      </w:tr>
      <w:tr w:rsidR="000916D6" w:rsidRPr="00AB0B42" w14:paraId="75337C76" w14:textId="77777777" w:rsidTr="00700EB8">
        <w:tc>
          <w:tcPr>
            <w:tcW w:w="3600" w:type="dxa"/>
            <w:vAlign w:val="center"/>
          </w:tcPr>
          <w:p w14:paraId="07B610F6" w14:textId="77777777" w:rsidR="000916D6" w:rsidRPr="00AB0B42" w:rsidRDefault="000916D6" w:rsidP="00700EB8">
            <w:pPr>
              <w:ind w:left="90"/>
            </w:pPr>
            <w:proofErr w:type="spellStart"/>
            <w:r w:rsidRPr="00AB0B42">
              <w:t>Elixhauser</w:t>
            </w:r>
            <w:proofErr w:type="spellEnd"/>
            <w:r w:rsidRPr="00AB0B42">
              <w:t xml:space="preserve"> comorbidity score</w:t>
            </w:r>
          </w:p>
        </w:tc>
        <w:tc>
          <w:tcPr>
            <w:tcW w:w="2520" w:type="dxa"/>
            <w:vAlign w:val="center"/>
          </w:tcPr>
          <w:p w14:paraId="6EB56590" w14:textId="77777777" w:rsidR="000916D6" w:rsidRPr="00AB0B42" w:rsidRDefault="000916D6" w:rsidP="00700EB8">
            <w:pPr>
              <w:jc w:val="both"/>
            </w:pPr>
            <w:r w:rsidRPr="00AB0B42">
              <w:t>19 (11 - 26)</w:t>
            </w:r>
          </w:p>
        </w:tc>
        <w:tc>
          <w:tcPr>
            <w:tcW w:w="2610" w:type="dxa"/>
            <w:vAlign w:val="center"/>
          </w:tcPr>
          <w:p w14:paraId="400627FE" w14:textId="77777777" w:rsidR="000916D6" w:rsidRPr="00AB0B42" w:rsidRDefault="000916D6" w:rsidP="00700EB8">
            <w:pPr>
              <w:jc w:val="both"/>
            </w:pPr>
            <w:r w:rsidRPr="00AB0B42">
              <w:t>19 (11 - 27)</w:t>
            </w:r>
          </w:p>
        </w:tc>
        <w:tc>
          <w:tcPr>
            <w:tcW w:w="720" w:type="dxa"/>
            <w:vAlign w:val="center"/>
          </w:tcPr>
          <w:p w14:paraId="47391DA7" w14:textId="77777777" w:rsidR="000916D6" w:rsidRPr="00AB0B42" w:rsidRDefault="000916D6" w:rsidP="00700EB8">
            <w:pPr>
              <w:jc w:val="right"/>
            </w:pPr>
            <w:r w:rsidRPr="00AB0B42">
              <w:t>0.00</w:t>
            </w:r>
          </w:p>
        </w:tc>
      </w:tr>
      <w:tr w:rsidR="000916D6" w:rsidRPr="00AB0B42" w14:paraId="682889E3" w14:textId="77777777" w:rsidTr="00700EB8">
        <w:tc>
          <w:tcPr>
            <w:tcW w:w="3600" w:type="dxa"/>
            <w:tcBorders>
              <w:bottom w:val="single" w:sz="4" w:space="0" w:color="000000"/>
            </w:tcBorders>
            <w:vAlign w:val="center"/>
          </w:tcPr>
          <w:p w14:paraId="533AB12E" w14:textId="77777777" w:rsidR="000916D6" w:rsidRPr="00AB0B42" w:rsidRDefault="000916D6" w:rsidP="00700EB8">
            <w:pPr>
              <w:ind w:left="90"/>
            </w:pPr>
            <w:r w:rsidRPr="00AB0B42">
              <w:t>Smoking</w:t>
            </w:r>
          </w:p>
        </w:tc>
        <w:tc>
          <w:tcPr>
            <w:tcW w:w="2520" w:type="dxa"/>
            <w:tcBorders>
              <w:bottom w:val="single" w:sz="4" w:space="0" w:color="000000"/>
            </w:tcBorders>
            <w:vAlign w:val="center"/>
          </w:tcPr>
          <w:p w14:paraId="0DAC045C" w14:textId="77777777" w:rsidR="000916D6" w:rsidRPr="00AB0B42" w:rsidRDefault="000916D6" w:rsidP="00700EB8">
            <w:pPr>
              <w:jc w:val="both"/>
            </w:pPr>
            <w:r w:rsidRPr="00AB0B42">
              <w:t>389 (44.7%)</w:t>
            </w:r>
          </w:p>
        </w:tc>
        <w:tc>
          <w:tcPr>
            <w:tcW w:w="2610" w:type="dxa"/>
            <w:tcBorders>
              <w:bottom w:val="single" w:sz="4" w:space="0" w:color="000000"/>
            </w:tcBorders>
            <w:vAlign w:val="center"/>
          </w:tcPr>
          <w:p w14:paraId="1B2FFE50" w14:textId="77777777" w:rsidR="000916D6" w:rsidRPr="00AB0B42" w:rsidRDefault="000916D6" w:rsidP="00700EB8">
            <w:pPr>
              <w:jc w:val="both"/>
            </w:pPr>
            <w:r w:rsidRPr="00AB0B42">
              <w:t>460 (53.1%)</w:t>
            </w:r>
          </w:p>
        </w:tc>
        <w:tc>
          <w:tcPr>
            <w:tcW w:w="720" w:type="dxa"/>
            <w:tcBorders>
              <w:bottom w:val="single" w:sz="4" w:space="0" w:color="000000"/>
            </w:tcBorders>
            <w:vAlign w:val="center"/>
          </w:tcPr>
          <w:p w14:paraId="1B3C0214" w14:textId="77777777" w:rsidR="000916D6" w:rsidRPr="00AB0B42" w:rsidRDefault="000916D6" w:rsidP="00700EB8">
            <w:pPr>
              <w:jc w:val="right"/>
            </w:pPr>
            <w:r w:rsidRPr="00AB0B42">
              <w:t>-0.17</w:t>
            </w:r>
          </w:p>
        </w:tc>
      </w:tr>
      <w:tr w:rsidR="000916D6" w:rsidRPr="00AB0B42" w14:paraId="01B8A772" w14:textId="77777777" w:rsidTr="00700EB8">
        <w:tc>
          <w:tcPr>
            <w:tcW w:w="3600" w:type="dxa"/>
            <w:tcBorders>
              <w:top w:val="single" w:sz="4" w:space="0" w:color="000000"/>
              <w:bottom w:val="single" w:sz="4" w:space="0" w:color="000000"/>
            </w:tcBorders>
            <w:vAlign w:val="center"/>
          </w:tcPr>
          <w:p w14:paraId="763EB462" w14:textId="77777777" w:rsidR="000916D6" w:rsidRPr="00AB0B42" w:rsidRDefault="000916D6" w:rsidP="00700EB8">
            <w:pPr>
              <w:rPr>
                <w:b/>
              </w:rPr>
            </w:pPr>
            <w:r w:rsidRPr="00AB0B42">
              <w:rPr>
                <w:b/>
              </w:rPr>
              <w:t>In-hospital factors during first 24 hours of mechanical ventilation</w:t>
            </w:r>
          </w:p>
        </w:tc>
        <w:tc>
          <w:tcPr>
            <w:tcW w:w="2520" w:type="dxa"/>
            <w:tcBorders>
              <w:top w:val="single" w:sz="4" w:space="0" w:color="000000"/>
              <w:bottom w:val="single" w:sz="4" w:space="0" w:color="000000"/>
            </w:tcBorders>
            <w:vAlign w:val="center"/>
          </w:tcPr>
          <w:p w14:paraId="5E9B1B85" w14:textId="77777777" w:rsidR="000916D6" w:rsidRPr="00AB0B42" w:rsidRDefault="000916D6" w:rsidP="00700EB8">
            <w:pPr>
              <w:jc w:val="both"/>
              <w:rPr>
                <w:b/>
              </w:rPr>
            </w:pPr>
          </w:p>
        </w:tc>
        <w:tc>
          <w:tcPr>
            <w:tcW w:w="2610" w:type="dxa"/>
            <w:tcBorders>
              <w:top w:val="single" w:sz="4" w:space="0" w:color="000000"/>
              <w:bottom w:val="single" w:sz="4" w:space="0" w:color="000000"/>
            </w:tcBorders>
            <w:vAlign w:val="center"/>
          </w:tcPr>
          <w:p w14:paraId="7F7BAA55" w14:textId="77777777" w:rsidR="000916D6" w:rsidRPr="00AB0B42" w:rsidRDefault="000916D6" w:rsidP="00700EB8">
            <w:pPr>
              <w:jc w:val="both"/>
              <w:rPr>
                <w:b/>
              </w:rPr>
            </w:pPr>
          </w:p>
        </w:tc>
        <w:tc>
          <w:tcPr>
            <w:tcW w:w="720" w:type="dxa"/>
            <w:tcBorders>
              <w:top w:val="single" w:sz="4" w:space="0" w:color="000000"/>
              <w:bottom w:val="single" w:sz="4" w:space="0" w:color="000000"/>
            </w:tcBorders>
            <w:vAlign w:val="center"/>
          </w:tcPr>
          <w:p w14:paraId="46428A18" w14:textId="77777777" w:rsidR="000916D6" w:rsidRPr="00AB0B42" w:rsidRDefault="000916D6" w:rsidP="00700EB8"/>
        </w:tc>
      </w:tr>
      <w:tr w:rsidR="000916D6" w:rsidRPr="00AB0B42" w14:paraId="4DA35A66" w14:textId="77777777" w:rsidTr="00700EB8">
        <w:tc>
          <w:tcPr>
            <w:tcW w:w="3600" w:type="dxa"/>
            <w:tcBorders>
              <w:top w:val="single" w:sz="4" w:space="0" w:color="000000"/>
            </w:tcBorders>
            <w:vAlign w:val="center"/>
          </w:tcPr>
          <w:p w14:paraId="23FC6308" w14:textId="77777777" w:rsidR="000916D6" w:rsidRPr="00AB0B42" w:rsidRDefault="000916D6" w:rsidP="00700EB8">
            <w:pPr>
              <w:ind w:left="90"/>
            </w:pPr>
            <w:r w:rsidRPr="00AB0B42">
              <w:t>Respiratory rate, 1/min</w:t>
            </w:r>
          </w:p>
        </w:tc>
        <w:tc>
          <w:tcPr>
            <w:tcW w:w="2520" w:type="dxa"/>
            <w:tcBorders>
              <w:top w:val="single" w:sz="4" w:space="0" w:color="000000"/>
            </w:tcBorders>
            <w:vAlign w:val="center"/>
          </w:tcPr>
          <w:p w14:paraId="2470009A" w14:textId="77777777" w:rsidR="000916D6" w:rsidRPr="00AB0B42" w:rsidRDefault="000916D6" w:rsidP="00700EB8">
            <w:pPr>
              <w:jc w:val="both"/>
            </w:pPr>
            <w:r w:rsidRPr="00AB0B42">
              <w:t>19.0 (16.5 - 21.5)</w:t>
            </w:r>
          </w:p>
        </w:tc>
        <w:tc>
          <w:tcPr>
            <w:tcW w:w="2610" w:type="dxa"/>
            <w:tcBorders>
              <w:top w:val="single" w:sz="4" w:space="0" w:color="000000"/>
            </w:tcBorders>
            <w:vAlign w:val="center"/>
          </w:tcPr>
          <w:p w14:paraId="77D3E47D" w14:textId="77777777" w:rsidR="000916D6" w:rsidRPr="00AB0B42" w:rsidRDefault="000916D6" w:rsidP="00700EB8">
            <w:pPr>
              <w:jc w:val="both"/>
            </w:pPr>
            <w:r w:rsidRPr="00AB0B42">
              <w:t>26.0 (22.0 - 28.0)</w:t>
            </w:r>
          </w:p>
        </w:tc>
        <w:tc>
          <w:tcPr>
            <w:tcW w:w="720" w:type="dxa"/>
            <w:tcBorders>
              <w:top w:val="single" w:sz="4" w:space="0" w:color="000000"/>
            </w:tcBorders>
            <w:vAlign w:val="center"/>
          </w:tcPr>
          <w:p w14:paraId="16F199BB" w14:textId="77777777" w:rsidR="000916D6" w:rsidRPr="00AB0B42" w:rsidRDefault="000916D6" w:rsidP="00700EB8">
            <w:pPr>
              <w:jc w:val="right"/>
            </w:pPr>
            <w:r w:rsidRPr="00AB0B42">
              <w:t>-1.56</w:t>
            </w:r>
          </w:p>
        </w:tc>
      </w:tr>
      <w:tr w:rsidR="000916D6" w:rsidRPr="00AB0B42" w14:paraId="5F68793E" w14:textId="77777777" w:rsidTr="00700EB8">
        <w:tc>
          <w:tcPr>
            <w:tcW w:w="3600" w:type="dxa"/>
            <w:vAlign w:val="center"/>
          </w:tcPr>
          <w:p w14:paraId="0ECFCF21" w14:textId="77777777" w:rsidR="000916D6" w:rsidRPr="00AB0B42" w:rsidRDefault="000916D6" w:rsidP="00700EB8">
            <w:pPr>
              <w:ind w:left="90"/>
            </w:pPr>
            <w:r w:rsidRPr="00AB0B42">
              <w:t>Positive end-expiratory pressure, cmH</w:t>
            </w:r>
            <w:r w:rsidRPr="00AB0B42">
              <w:rPr>
                <w:vertAlign w:val="subscript"/>
              </w:rPr>
              <w:t>2</w:t>
            </w:r>
            <w:r w:rsidRPr="00AB0B42">
              <w:t>O</w:t>
            </w:r>
          </w:p>
        </w:tc>
        <w:tc>
          <w:tcPr>
            <w:tcW w:w="2520" w:type="dxa"/>
            <w:vAlign w:val="center"/>
          </w:tcPr>
          <w:p w14:paraId="5549D0D2" w14:textId="77777777" w:rsidR="000916D6" w:rsidRPr="00AB0B42" w:rsidRDefault="000916D6" w:rsidP="00700EB8">
            <w:pPr>
              <w:jc w:val="both"/>
            </w:pPr>
            <w:r w:rsidRPr="00AB0B42">
              <w:t>5 (5 - 5)</w:t>
            </w:r>
          </w:p>
        </w:tc>
        <w:tc>
          <w:tcPr>
            <w:tcW w:w="2610" w:type="dxa"/>
            <w:vAlign w:val="center"/>
          </w:tcPr>
          <w:p w14:paraId="0BDCEC19" w14:textId="77777777" w:rsidR="000916D6" w:rsidRPr="00AB0B42" w:rsidRDefault="000916D6" w:rsidP="00700EB8">
            <w:pPr>
              <w:jc w:val="both"/>
            </w:pPr>
            <w:r w:rsidRPr="00AB0B42">
              <w:t>10 (8 - 12)</w:t>
            </w:r>
          </w:p>
        </w:tc>
        <w:tc>
          <w:tcPr>
            <w:tcW w:w="720" w:type="dxa"/>
            <w:vAlign w:val="center"/>
          </w:tcPr>
          <w:p w14:paraId="355A2C76" w14:textId="77777777" w:rsidR="000916D6" w:rsidRPr="00AB0B42" w:rsidRDefault="000916D6" w:rsidP="00700EB8">
            <w:pPr>
              <w:jc w:val="right"/>
            </w:pPr>
            <w:r w:rsidRPr="00AB0B42">
              <w:t>-1.43</w:t>
            </w:r>
          </w:p>
        </w:tc>
      </w:tr>
      <w:tr w:rsidR="000916D6" w:rsidRPr="00AB0B42" w14:paraId="557BBFE2" w14:textId="77777777" w:rsidTr="00700EB8">
        <w:tc>
          <w:tcPr>
            <w:tcW w:w="3600" w:type="dxa"/>
            <w:vAlign w:val="center"/>
          </w:tcPr>
          <w:p w14:paraId="46001936" w14:textId="77777777" w:rsidR="000916D6" w:rsidRPr="00AB0B42" w:rsidRDefault="000916D6" w:rsidP="00700EB8">
            <w:pPr>
              <w:ind w:left="90"/>
            </w:pPr>
            <w:r w:rsidRPr="00AB0B42">
              <w:t>Plateau pressure, cmH</w:t>
            </w:r>
            <w:r w:rsidRPr="00AB0B42">
              <w:rPr>
                <w:vertAlign w:val="subscript"/>
              </w:rPr>
              <w:t>2</w:t>
            </w:r>
            <w:r w:rsidRPr="00AB0B42">
              <w:t>O</w:t>
            </w:r>
          </w:p>
        </w:tc>
        <w:tc>
          <w:tcPr>
            <w:tcW w:w="2520" w:type="dxa"/>
            <w:vAlign w:val="center"/>
          </w:tcPr>
          <w:p w14:paraId="0CD416B8" w14:textId="77777777" w:rsidR="000916D6" w:rsidRPr="00AB0B42" w:rsidRDefault="000916D6" w:rsidP="00700EB8">
            <w:pPr>
              <w:jc w:val="both"/>
            </w:pPr>
            <w:r w:rsidRPr="00AB0B42">
              <w:t>16.0 (14.0 - 18.0)</w:t>
            </w:r>
          </w:p>
        </w:tc>
        <w:tc>
          <w:tcPr>
            <w:tcW w:w="2610" w:type="dxa"/>
            <w:vAlign w:val="center"/>
          </w:tcPr>
          <w:p w14:paraId="3F784C1D" w14:textId="77777777" w:rsidR="000916D6" w:rsidRPr="00AB0B42" w:rsidRDefault="000916D6" w:rsidP="00700EB8">
            <w:pPr>
              <w:jc w:val="both"/>
            </w:pPr>
            <w:r w:rsidRPr="00AB0B42">
              <w:t>22.0 (19.0 - 25.3)</w:t>
            </w:r>
          </w:p>
        </w:tc>
        <w:tc>
          <w:tcPr>
            <w:tcW w:w="720" w:type="dxa"/>
            <w:vAlign w:val="center"/>
          </w:tcPr>
          <w:p w14:paraId="050CC204" w14:textId="77777777" w:rsidR="000916D6" w:rsidRPr="00AB0B42" w:rsidRDefault="000916D6" w:rsidP="00700EB8">
            <w:pPr>
              <w:jc w:val="right"/>
            </w:pPr>
            <w:r w:rsidRPr="00AB0B42">
              <w:t>-1.52</w:t>
            </w:r>
          </w:p>
        </w:tc>
      </w:tr>
      <w:tr w:rsidR="000916D6" w:rsidRPr="00AB0B42" w14:paraId="75415622" w14:textId="77777777" w:rsidTr="00700EB8">
        <w:tc>
          <w:tcPr>
            <w:tcW w:w="3600" w:type="dxa"/>
            <w:tcBorders>
              <w:bottom w:val="nil"/>
            </w:tcBorders>
            <w:vAlign w:val="center"/>
          </w:tcPr>
          <w:p w14:paraId="077D364B" w14:textId="77777777" w:rsidR="000916D6" w:rsidRPr="00AB0B42" w:rsidRDefault="000916D6" w:rsidP="00700EB8">
            <w:pPr>
              <w:ind w:left="90"/>
            </w:pPr>
            <w:r w:rsidRPr="00AB0B42">
              <w:t>Tidal volume, ml/kg IBW</w:t>
            </w:r>
          </w:p>
        </w:tc>
        <w:tc>
          <w:tcPr>
            <w:tcW w:w="2520" w:type="dxa"/>
            <w:tcBorders>
              <w:bottom w:val="nil"/>
            </w:tcBorders>
            <w:vAlign w:val="center"/>
          </w:tcPr>
          <w:p w14:paraId="69989204" w14:textId="77777777" w:rsidR="000916D6" w:rsidRPr="00AB0B42" w:rsidRDefault="000916D6" w:rsidP="00700EB8">
            <w:pPr>
              <w:jc w:val="both"/>
            </w:pPr>
            <w:r w:rsidRPr="00AB0B42">
              <w:t>6.3 (6.0 - 6.8)</w:t>
            </w:r>
          </w:p>
        </w:tc>
        <w:tc>
          <w:tcPr>
            <w:tcW w:w="2610" w:type="dxa"/>
            <w:tcBorders>
              <w:bottom w:val="nil"/>
            </w:tcBorders>
            <w:vAlign w:val="center"/>
          </w:tcPr>
          <w:p w14:paraId="1D269B31" w14:textId="77777777" w:rsidR="000916D6" w:rsidRPr="00AB0B42" w:rsidRDefault="000916D6" w:rsidP="00700EB8">
            <w:pPr>
              <w:jc w:val="both"/>
            </w:pPr>
            <w:r w:rsidRPr="00AB0B42">
              <w:t>6.3 (6.0 - 6.8)</w:t>
            </w:r>
          </w:p>
        </w:tc>
        <w:tc>
          <w:tcPr>
            <w:tcW w:w="720" w:type="dxa"/>
            <w:tcBorders>
              <w:bottom w:val="nil"/>
            </w:tcBorders>
            <w:vAlign w:val="center"/>
          </w:tcPr>
          <w:p w14:paraId="6D1C6451" w14:textId="77777777" w:rsidR="000916D6" w:rsidRPr="00AB0B42" w:rsidRDefault="000916D6" w:rsidP="00700EB8">
            <w:pPr>
              <w:jc w:val="right"/>
            </w:pPr>
            <w:r w:rsidRPr="00AB0B42">
              <w:t>0.08</w:t>
            </w:r>
          </w:p>
        </w:tc>
      </w:tr>
      <w:tr w:rsidR="000916D6" w:rsidRPr="00AB0B42" w14:paraId="47FD6E14" w14:textId="77777777" w:rsidTr="00700EB8">
        <w:tc>
          <w:tcPr>
            <w:tcW w:w="3600" w:type="dxa"/>
            <w:tcBorders>
              <w:top w:val="nil"/>
              <w:left w:val="nil"/>
              <w:bottom w:val="nil"/>
              <w:right w:val="nil"/>
            </w:tcBorders>
            <w:vAlign w:val="center"/>
          </w:tcPr>
          <w:p w14:paraId="669246F7" w14:textId="7F911126" w:rsidR="000916D6" w:rsidRPr="00AB0B42" w:rsidRDefault="000916D6" w:rsidP="00700EB8">
            <w:pPr>
              <w:ind w:left="90"/>
            </w:pPr>
            <w:r w:rsidRPr="00AB0B42">
              <w:t>P/F ratio, mmHg</w:t>
            </w:r>
          </w:p>
        </w:tc>
        <w:tc>
          <w:tcPr>
            <w:tcW w:w="2520" w:type="dxa"/>
            <w:tcBorders>
              <w:top w:val="nil"/>
              <w:left w:val="nil"/>
              <w:bottom w:val="nil"/>
              <w:right w:val="nil"/>
            </w:tcBorders>
            <w:vAlign w:val="center"/>
          </w:tcPr>
          <w:p w14:paraId="14B9723C" w14:textId="77777777" w:rsidR="000916D6" w:rsidRPr="00AB0B42" w:rsidRDefault="000916D6" w:rsidP="00700EB8">
            <w:pPr>
              <w:jc w:val="both"/>
            </w:pPr>
            <w:r w:rsidRPr="00AB0B42">
              <w:t>205.0 (112.5 - 377.5)</w:t>
            </w:r>
          </w:p>
        </w:tc>
        <w:tc>
          <w:tcPr>
            <w:tcW w:w="2610" w:type="dxa"/>
            <w:tcBorders>
              <w:top w:val="nil"/>
              <w:left w:val="nil"/>
              <w:bottom w:val="nil"/>
              <w:right w:val="nil"/>
            </w:tcBorders>
            <w:vAlign w:val="center"/>
          </w:tcPr>
          <w:p w14:paraId="29602EFB" w14:textId="77777777" w:rsidR="000916D6" w:rsidRPr="00AB0B42" w:rsidRDefault="000916D6" w:rsidP="00700EB8">
            <w:pPr>
              <w:jc w:val="both"/>
            </w:pPr>
            <w:r w:rsidRPr="00AB0B42">
              <w:t>133.9 (89.5 - 211.8)</w:t>
            </w:r>
          </w:p>
        </w:tc>
        <w:tc>
          <w:tcPr>
            <w:tcW w:w="720" w:type="dxa"/>
            <w:tcBorders>
              <w:top w:val="nil"/>
              <w:left w:val="nil"/>
              <w:bottom w:val="nil"/>
              <w:right w:val="nil"/>
            </w:tcBorders>
            <w:vAlign w:val="center"/>
          </w:tcPr>
          <w:p w14:paraId="69F71C16" w14:textId="77777777" w:rsidR="000916D6" w:rsidRPr="00AB0B42" w:rsidRDefault="000916D6" w:rsidP="00700EB8">
            <w:pPr>
              <w:jc w:val="right"/>
            </w:pPr>
            <w:r w:rsidRPr="00AB0B42">
              <w:t>0.56</w:t>
            </w:r>
          </w:p>
        </w:tc>
      </w:tr>
      <w:tr w:rsidR="000916D6" w:rsidRPr="00AB0B42" w14:paraId="5D5A8ADE" w14:textId="77777777" w:rsidTr="00700EB8">
        <w:tc>
          <w:tcPr>
            <w:tcW w:w="3600" w:type="dxa"/>
            <w:tcBorders>
              <w:top w:val="nil"/>
            </w:tcBorders>
            <w:vAlign w:val="center"/>
          </w:tcPr>
          <w:p w14:paraId="6074D94B" w14:textId="77777777" w:rsidR="000916D6" w:rsidRPr="00AB0B42" w:rsidRDefault="000916D6" w:rsidP="00700EB8">
            <w:pPr>
              <w:ind w:left="90"/>
            </w:pPr>
            <w:r w:rsidRPr="00AB0B42">
              <w:t>Driving pressure, cmH</w:t>
            </w:r>
            <w:r w:rsidRPr="00AB0B42">
              <w:rPr>
                <w:vertAlign w:val="subscript"/>
              </w:rPr>
              <w:t>2</w:t>
            </w:r>
            <w:r w:rsidRPr="00AB0B42">
              <w:t>O</w:t>
            </w:r>
          </w:p>
        </w:tc>
        <w:tc>
          <w:tcPr>
            <w:tcW w:w="2520" w:type="dxa"/>
            <w:tcBorders>
              <w:top w:val="nil"/>
            </w:tcBorders>
            <w:vAlign w:val="center"/>
          </w:tcPr>
          <w:p w14:paraId="7DC0FEE3" w14:textId="77777777" w:rsidR="000916D6" w:rsidRPr="00AB0B42" w:rsidRDefault="000916D6" w:rsidP="00700EB8">
            <w:pPr>
              <w:jc w:val="both"/>
            </w:pPr>
            <w:r w:rsidRPr="00AB0B42">
              <w:t>10.0 (8.5 - 12.0)</w:t>
            </w:r>
          </w:p>
        </w:tc>
        <w:tc>
          <w:tcPr>
            <w:tcW w:w="2610" w:type="dxa"/>
            <w:tcBorders>
              <w:top w:val="nil"/>
            </w:tcBorders>
            <w:vAlign w:val="center"/>
          </w:tcPr>
          <w:p w14:paraId="6FFF5933" w14:textId="77777777" w:rsidR="000916D6" w:rsidRPr="00AB0B42" w:rsidRDefault="000916D6" w:rsidP="00700EB8">
            <w:pPr>
              <w:jc w:val="both"/>
            </w:pPr>
            <w:r w:rsidRPr="00AB0B42">
              <w:t>12.0 (10.0 - 14.0)</w:t>
            </w:r>
          </w:p>
        </w:tc>
        <w:tc>
          <w:tcPr>
            <w:tcW w:w="720" w:type="dxa"/>
            <w:tcBorders>
              <w:top w:val="nil"/>
            </w:tcBorders>
            <w:vAlign w:val="center"/>
          </w:tcPr>
          <w:p w14:paraId="320DFAC8" w14:textId="77777777" w:rsidR="000916D6" w:rsidRPr="00AB0B42" w:rsidRDefault="000916D6" w:rsidP="00700EB8">
            <w:pPr>
              <w:jc w:val="right"/>
            </w:pPr>
            <w:r w:rsidRPr="00AB0B42">
              <w:t>-0.57</w:t>
            </w:r>
          </w:p>
        </w:tc>
      </w:tr>
      <w:tr w:rsidR="000916D6" w:rsidRPr="00AB0B42" w14:paraId="1E116A57" w14:textId="77777777" w:rsidTr="00700EB8">
        <w:tc>
          <w:tcPr>
            <w:tcW w:w="3600" w:type="dxa"/>
            <w:vAlign w:val="center"/>
          </w:tcPr>
          <w:p w14:paraId="758E5A09" w14:textId="77777777" w:rsidR="000916D6" w:rsidRPr="00AB0B42" w:rsidRDefault="000916D6" w:rsidP="00700EB8">
            <w:pPr>
              <w:ind w:left="90"/>
            </w:pPr>
            <w:r w:rsidRPr="00AB0B42">
              <w:t>Baseline standardized compliance, (ml/kg)/cmH</w:t>
            </w:r>
            <w:r w:rsidRPr="00AB0B42">
              <w:rPr>
                <w:vertAlign w:val="subscript"/>
              </w:rPr>
              <w:t>2</w:t>
            </w:r>
            <w:r w:rsidRPr="00AB0B42">
              <w:t>O</w:t>
            </w:r>
          </w:p>
        </w:tc>
        <w:tc>
          <w:tcPr>
            <w:tcW w:w="2520" w:type="dxa"/>
            <w:vAlign w:val="center"/>
          </w:tcPr>
          <w:p w14:paraId="712100FB" w14:textId="77777777" w:rsidR="000916D6" w:rsidRPr="00AB0B42" w:rsidRDefault="000916D6" w:rsidP="00700EB8">
            <w:pPr>
              <w:jc w:val="both"/>
            </w:pPr>
            <w:r w:rsidRPr="00AB0B42">
              <w:t>0.6 (0.5 - 0.7)</w:t>
            </w:r>
          </w:p>
        </w:tc>
        <w:tc>
          <w:tcPr>
            <w:tcW w:w="2610" w:type="dxa"/>
            <w:vAlign w:val="center"/>
          </w:tcPr>
          <w:p w14:paraId="1A2F84D0" w14:textId="77777777" w:rsidR="000916D6" w:rsidRPr="00AB0B42" w:rsidRDefault="000916D6" w:rsidP="00700EB8">
            <w:pPr>
              <w:jc w:val="both"/>
            </w:pPr>
            <w:r w:rsidRPr="00AB0B42">
              <w:t>0.5 (0.4 - 0.6)</w:t>
            </w:r>
          </w:p>
        </w:tc>
        <w:tc>
          <w:tcPr>
            <w:tcW w:w="720" w:type="dxa"/>
            <w:vAlign w:val="center"/>
          </w:tcPr>
          <w:p w14:paraId="2C06DB22" w14:textId="77777777" w:rsidR="000916D6" w:rsidRPr="00AB0B42" w:rsidRDefault="000916D6" w:rsidP="00700EB8">
            <w:pPr>
              <w:jc w:val="right"/>
            </w:pPr>
            <w:r w:rsidRPr="00AB0B42">
              <w:t>0.49</w:t>
            </w:r>
          </w:p>
        </w:tc>
      </w:tr>
      <w:tr w:rsidR="000916D6" w:rsidRPr="00AB0B42" w14:paraId="0CE8D50F" w14:textId="77777777" w:rsidTr="00700EB8">
        <w:tc>
          <w:tcPr>
            <w:tcW w:w="3600" w:type="dxa"/>
            <w:vAlign w:val="center"/>
          </w:tcPr>
          <w:p w14:paraId="1D294DEB" w14:textId="77777777" w:rsidR="000916D6" w:rsidRPr="00AB0B42" w:rsidRDefault="000916D6" w:rsidP="00700EB8">
            <w:pPr>
              <w:ind w:left="90"/>
            </w:pPr>
            <w:r w:rsidRPr="00AB0B42">
              <w:t>Baseline standardized elastance, cmH</w:t>
            </w:r>
            <w:r w:rsidRPr="00AB0B42">
              <w:rPr>
                <w:vertAlign w:val="subscript"/>
              </w:rPr>
              <w:t>2</w:t>
            </w:r>
            <w:r w:rsidRPr="00AB0B42">
              <w:t>O/(ml/kg)</w:t>
            </w:r>
          </w:p>
        </w:tc>
        <w:tc>
          <w:tcPr>
            <w:tcW w:w="2520" w:type="dxa"/>
            <w:vAlign w:val="center"/>
          </w:tcPr>
          <w:p w14:paraId="549F00B1" w14:textId="77777777" w:rsidR="000916D6" w:rsidRPr="00AB0B42" w:rsidRDefault="000916D6" w:rsidP="00700EB8">
            <w:pPr>
              <w:jc w:val="both"/>
            </w:pPr>
            <w:r w:rsidRPr="00AB0B42">
              <w:t>1.6 (1.3 - 2.0)</w:t>
            </w:r>
          </w:p>
        </w:tc>
        <w:tc>
          <w:tcPr>
            <w:tcW w:w="2610" w:type="dxa"/>
            <w:vAlign w:val="center"/>
          </w:tcPr>
          <w:p w14:paraId="72EA7BB6" w14:textId="77777777" w:rsidR="000916D6" w:rsidRPr="00AB0B42" w:rsidRDefault="000916D6" w:rsidP="00700EB8">
            <w:pPr>
              <w:jc w:val="both"/>
            </w:pPr>
            <w:r w:rsidRPr="00AB0B42">
              <w:t>2.0 (1.6 - 2.4)</w:t>
            </w:r>
          </w:p>
        </w:tc>
        <w:tc>
          <w:tcPr>
            <w:tcW w:w="720" w:type="dxa"/>
            <w:vAlign w:val="center"/>
          </w:tcPr>
          <w:p w14:paraId="2898E729" w14:textId="77777777" w:rsidR="000916D6" w:rsidRPr="00AB0B42" w:rsidRDefault="000916D6" w:rsidP="00700EB8">
            <w:pPr>
              <w:jc w:val="right"/>
            </w:pPr>
            <w:r w:rsidRPr="00AB0B42">
              <w:t>-0.53</w:t>
            </w:r>
          </w:p>
        </w:tc>
      </w:tr>
      <w:tr w:rsidR="000916D6" w:rsidRPr="00AB0B42" w14:paraId="682A45F2" w14:textId="77777777" w:rsidTr="00700EB8">
        <w:tc>
          <w:tcPr>
            <w:tcW w:w="3600" w:type="dxa"/>
            <w:vAlign w:val="center"/>
          </w:tcPr>
          <w:p w14:paraId="5B4246A9" w14:textId="77777777" w:rsidR="000916D6" w:rsidRPr="00AB0B42" w:rsidRDefault="000916D6" w:rsidP="00700EB8">
            <w:pPr>
              <w:ind w:left="90"/>
            </w:pPr>
            <w:r w:rsidRPr="00AB0B42">
              <w:t>Positioned in prone position</w:t>
            </w:r>
          </w:p>
        </w:tc>
        <w:tc>
          <w:tcPr>
            <w:tcW w:w="2520" w:type="dxa"/>
            <w:vAlign w:val="center"/>
          </w:tcPr>
          <w:p w14:paraId="189DB3AA" w14:textId="77777777" w:rsidR="000916D6" w:rsidRPr="00AB0B42" w:rsidRDefault="000916D6" w:rsidP="00700EB8">
            <w:pPr>
              <w:jc w:val="both"/>
            </w:pPr>
            <w:r w:rsidRPr="00AB0B42">
              <w:t>13 (1.5%)</w:t>
            </w:r>
          </w:p>
        </w:tc>
        <w:tc>
          <w:tcPr>
            <w:tcW w:w="2610" w:type="dxa"/>
            <w:vAlign w:val="center"/>
          </w:tcPr>
          <w:p w14:paraId="7502344E" w14:textId="77777777" w:rsidR="000916D6" w:rsidRPr="00AB0B42" w:rsidRDefault="000916D6" w:rsidP="00700EB8">
            <w:pPr>
              <w:jc w:val="both"/>
            </w:pPr>
            <w:r w:rsidRPr="00AB0B42">
              <w:t>164 (18.9%)</w:t>
            </w:r>
          </w:p>
        </w:tc>
        <w:tc>
          <w:tcPr>
            <w:tcW w:w="720" w:type="dxa"/>
            <w:vAlign w:val="center"/>
          </w:tcPr>
          <w:p w14:paraId="709D9356" w14:textId="77777777" w:rsidR="000916D6" w:rsidRPr="00AB0B42" w:rsidRDefault="000916D6" w:rsidP="00700EB8">
            <w:pPr>
              <w:jc w:val="right"/>
            </w:pPr>
            <w:r w:rsidRPr="00AB0B42">
              <w:t>-0.60</w:t>
            </w:r>
          </w:p>
        </w:tc>
      </w:tr>
      <w:tr w:rsidR="000916D6" w:rsidRPr="00AB0B42" w14:paraId="7553C186" w14:textId="77777777" w:rsidTr="00700EB8">
        <w:tc>
          <w:tcPr>
            <w:tcW w:w="3600" w:type="dxa"/>
            <w:vAlign w:val="center"/>
          </w:tcPr>
          <w:p w14:paraId="38CA50EC" w14:textId="77777777" w:rsidR="000916D6" w:rsidRPr="00AB0B42" w:rsidRDefault="000916D6" w:rsidP="00700EB8">
            <w:pPr>
              <w:ind w:left="90"/>
            </w:pPr>
            <w:r w:rsidRPr="00AB0B42">
              <w:t>Use of esophageal manometry</w:t>
            </w:r>
          </w:p>
        </w:tc>
        <w:tc>
          <w:tcPr>
            <w:tcW w:w="2520" w:type="dxa"/>
            <w:vAlign w:val="center"/>
          </w:tcPr>
          <w:p w14:paraId="448F38D0" w14:textId="77777777" w:rsidR="000916D6" w:rsidRPr="00AB0B42" w:rsidRDefault="000916D6" w:rsidP="00700EB8">
            <w:pPr>
              <w:jc w:val="both"/>
            </w:pPr>
            <w:r w:rsidRPr="00AB0B42">
              <w:t>18 (2.1%)</w:t>
            </w:r>
          </w:p>
        </w:tc>
        <w:tc>
          <w:tcPr>
            <w:tcW w:w="2610" w:type="dxa"/>
            <w:vAlign w:val="center"/>
          </w:tcPr>
          <w:p w14:paraId="45835D8D" w14:textId="77777777" w:rsidR="000916D6" w:rsidRPr="00AB0B42" w:rsidRDefault="000916D6" w:rsidP="00700EB8">
            <w:pPr>
              <w:jc w:val="both"/>
            </w:pPr>
            <w:r w:rsidRPr="00AB0B42">
              <w:t>248 (28.6%)</w:t>
            </w:r>
          </w:p>
        </w:tc>
        <w:tc>
          <w:tcPr>
            <w:tcW w:w="720" w:type="dxa"/>
            <w:vAlign w:val="center"/>
          </w:tcPr>
          <w:p w14:paraId="5BA8C9D4" w14:textId="77777777" w:rsidR="000916D6" w:rsidRPr="00AB0B42" w:rsidRDefault="000916D6" w:rsidP="00700EB8">
            <w:pPr>
              <w:jc w:val="right"/>
            </w:pPr>
            <w:r w:rsidRPr="00AB0B42">
              <w:t>-0.79</w:t>
            </w:r>
          </w:p>
        </w:tc>
      </w:tr>
      <w:tr w:rsidR="000916D6" w:rsidRPr="00AB0B42" w14:paraId="66C19A1B" w14:textId="77777777" w:rsidTr="00700EB8">
        <w:tc>
          <w:tcPr>
            <w:tcW w:w="3600" w:type="dxa"/>
            <w:vAlign w:val="center"/>
          </w:tcPr>
          <w:p w14:paraId="29342705" w14:textId="77777777" w:rsidR="000916D6" w:rsidRPr="00AB0B42" w:rsidRDefault="000916D6" w:rsidP="00700EB8">
            <w:pPr>
              <w:ind w:left="90"/>
            </w:pPr>
            <w:r w:rsidRPr="00AB0B42">
              <w:t>Fluid balance, ml</w:t>
            </w:r>
          </w:p>
        </w:tc>
        <w:tc>
          <w:tcPr>
            <w:tcW w:w="2520" w:type="dxa"/>
            <w:vAlign w:val="center"/>
          </w:tcPr>
          <w:p w14:paraId="50C9AFAD" w14:textId="77777777" w:rsidR="000916D6" w:rsidRPr="00AB0B42" w:rsidRDefault="000916D6" w:rsidP="00700EB8">
            <w:pPr>
              <w:jc w:val="both"/>
            </w:pPr>
            <w:r w:rsidRPr="00AB0B42">
              <w:t>125.2 (-994.1 - 1452.8)</w:t>
            </w:r>
          </w:p>
        </w:tc>
        <w:tc>
          <w:tcPr>
            <w:tcW w:w="2610" w:type="dxa"/>
            <w:vAlign w:val="center"/>
          </w:tcPr>
          <w:p w14:paraId="646556EA" w14:textId="77777777" w:rsidR="000916D6" w:rsidRPr="00AB0B42" w:rsidRDefault="000916D6" w:rsidP="00700EB8">
            <w:pPr>
              <w:jc w:val="both"/>
            </w:pPr>
            <w:r w:rsidRPr="00AB0B42">
              <w:t>-395.4 (-1602.6 - 966.5)</w:t>
            </w:r>
          </w:p>
        </w:tc>
        <w:tc>
          <w:tcPr>
            <w:tcW w:w="720" w:type="dxa"/>
            <w:vAlign w:val="center"/>
          </w:tcPr>
          <w:p w14:paraId="1EC42B66" w14:textId="77777777" w:rsidR="000916D6" w:rsidRPr="00AB0B42" w:rsidRDefault="000916D6" w:rsidP="00700EB8">
            <w:pPr>
              <w:jc w:val="right"/>
            </w:pPr>
            <w:r w:rsidRPr="00AB0B42">
              <w:t>0.26</w:t>
            </w:r>
          </w:p>
        </w:tc>
      </w:tr>
      <w:tr w:rsidR="000916D6" w:rsidRPr="00AB0B42" w14:paraId="0BACBAA3" w14:textId="77777777" w:rsidTr="00700EB8">
        <w:tc>
          <w:tcPr>
            <w:tcW w:w="3600" w:type="dxa"/>
            <w:vAlign w:val="center"/>
          </w:tcPr>
          <w:p w14:paraId="2C41E489" w14:textId="77777777" w:rsidR="000916D6" w:rsidRPr="00AB0B42" w:rsidRDefault="000916D6" w:rsidP="00700EB8">
            <w:pPr>
              <w:ind w:left="90"/>
            </w:pPr>
            <w:r w:rsidRPr="00AB0B42">
              <w:t>Heart rate, 1/min</w:t>
            </w:r>
          </w:p>
        </w:tc>
        <w:tc>
          <w:tcPr>
            <w:tcW w:w="2520" w:type="dxa"/>
            <w:vAlign w:val="center"/>
          </w:tcPr>
          <w:p w14:paraId="76E936BB" w14:textId="77777777" w:rsidR="000916D6" w:rsidRPr="00AB0B42" w:rsidRDefault="000916D6" w:rsidP="00700EB8">
            <w:pPr>
              <w:jc w:val="both"/>
            </w:pPr>
            <w:r w:rsidRPr="00AB0B42">
              <w:t>80.0 (70.0 - 93.0)</w:t>
            </w:r>
          </w:p>
        </w:tc>
        <w:tc>
          <w:tcPr>
            <w:tcW w:w="2610" w:type="dxa"/>
            <w:vAlign w:val="center"/>
          </w:tcPr>
          <w:p w14:paraId="6BE59167" w14:textId="77777777" w:rsidR="000916D6" w:rsidRPr="00AB0B42" w:rsidRDefault="000916D6" w:rsidP="00700EB8">
            <w:pPr>
              <w:jc w:val="both"/>
            </w:pPr>
            <w:r w:rsidRPr="00AB0B42">
              <w:t>84.0 (72.5 - 97.5)</w:t>
            </w:r>
          </w:p>
        </w:tc>
        <w:tc>
          <w:tcPr>
            <w:tcW w:w="720" w:type="dxa"/>
            <w:vAlign w:val="center"/>
          </w:tcPr>
          <w:p w14:paraId="610804CB" w14:textId="77777777" w:rsidR="000916D6" w:rsidRPr="00AB0B42" w:rsidRDefault="000916D6" w:rsidP="00700EB8">
            <w:pPr>
              <w:jc w:val="right"/>
            </w:pPr>
            <w:r w:rsidRPr="00AB0B42">
              <w:t>-0.19</w:t>
            </w:r>
          </w:p>
        </w:tc>
      </w:tr>
      <w:tr w:rsidR="000916D6" w:rsidRPr="00AB0B42" w14:paraId="2262DF53" w14:textId="77777777" w:rsidTr="00700EB8">
        <w:tc>
          <w:tcPr>
            <w:tcW w:w="3600" w:type="dxa"/>
            <w:vAlign w:val="center"/>
          </w:tcPr>
          <w:p w14:paraId="7C80BF5A" w14:textId="77777777" w:rsidR="000916D6" w:rsidRPr="00AB0B42" w:rsidRDefault="000916D6" w:rsidP="00700EB8">
            <w:pPr>
              <w:ind w:left="90"/>
            </w:pPr>
            <w:r w:rsidRPr="00AB0B42">
              <w:t>Times MAP below 55 mmHg</w:t>
            </w:r>
          </w:p>
        </w:tc>
        <w:tc>
          <w:tcPr>
            <w:tcW w:w="2520" w:type="dxa"/>
            <w:vAlign w:val="center"/>
          </w:tcPr>
          <w:p w14:paraId="7239CC1D" w14:textId="77777777" w:rsidR="000916D6" w:rsidRPr="00AB0B42" w:rsidRDefault="000916D6" w:rsidP="00700EB8">
            <w:pPr>
              <w:jc w:val="both"/>
            </w:pPr>
            <w:r w:rsidRPr="00AB0B42">
              <w:t>0 (0 - 1)</w:t>
            </w:r>
          </w:p>
        </w:tc>
        <w:tc>
          <w:tcPr>
            <w:tcW w:w="2610" w:type="dxa"/>
            <w:vAlign w:val="center"/>
          </w:tcPr>
          <w:p w14:paraId="2E586E72" w14:textId="77777777" w:rsidR="000916D6" w:rsidRPr="00AB0B42" w:rsidRDefault="000916D6" w:rsidP="00700EB8">
            <w:pPr>
              <w:jc w:val="both"/>
            </w:pPr>
            <w:r w:rsidRPr="00AB0B42">
              <w:t>1 (0 - 4)</w:t>
            </w:r>
          </w:p>
        </w:tc>
        <w:tc>
          <w:tcPr>
            <w:tcW w:w="720" w:type="dxa"/>
            <w:vAlign w:val="center"/>
          </w:tcPr>
          <w:p w14:paraId="1191D346" w14:textId="77777777" w:rsidR="000916D6" w:rsidRPr="00AB0B42" w:rsidRDefault="000916D6" w:rsidP="00700EB8">
            <w:pPr>
              <w:jc w:val="right"/>
            </w:pPr>
            <w:r w:rsidRPr="00AB0B42">
              <w:t>-0.34</w:t>
            </w:r>
          </w:p>
        </w:tc>
      </w:tr>
      <w:tr w:rsidR="000916D6" w:rsidRPr="00AB0B42" w14:paraId="70A81685" w14:textId="77777777" w:rsidTr="00700EB8">
        <w:tc>
          <w:tcPr>
            <w:tcW w:w="3600" w:type="dxa"/>
            <w:vAlign w:val="center"/>
          </w:tcPr>
          <w:p w14:paraId="461E4426" w14:textId="77777777" w:rsidR="000916D6" w:rsidRPr="00AB0B42" w:rsidRDefault="000916D6" w:rsidP="00700EB8">
            <w:pPr>
              <w:ind w:left="90"/>
            </w:pPr>
            <w:r w:rsidRPr="00AB0B42">
              <w:t>Any midazolam administered</w:t>
            </w:r>
          </w:p>
        </w:tc>
        <w:tc>
          <w:tcPr>
            <w:tcW w:w="2520" w:type="dxa"/>
            <w:vAlign w:val="center"/>
          </w:tcPr>
          <w:p w14:paraId="12294D35" w14:textId="77777777" w:rsidR="000916D6" w:rsidRPr="00AB0B42" w:rsidRDefault="000916D6" w:rsidP="00700EB8">
            <w:pPr>
              <w:jc w:val="both"/>
            </w:pPr>
            <w:r w:rsidRPr="00AB0B42">
              <w:t>171 (19.7%)</w:t>
            </w:r>
          </w:p>
        </w:tc>
        <w:tc>
          <w:tcPr>
            <w:tcW w:w="2610" w:type="dxa"/>
            <w:vAlign w:val="center"/>
          </w:tcPr>
          <w:p w14:paraId="5583B734" w14:textId="77777777" w:rsidR="000916D6" w:rsidRPr="00AB0B42" w:rsidRDefault="000916D6" w:rsidP="00700EB8">
            <w:pPr>
              <w:jc w:val="both"/>
            </w:pPr>
            <w:r w:rsidRPr="00AB0B42">
              <w:t>304 (35.1%)</w:t>
            </w:r>
          </w:p>
        </w:tc>
        <w:tc>
          <w:tcPr>
            <w:tcW w:w="720" w:type="dxa"/>
            <w:vAlign w:val="center"/>
          </w:tcPr>
          <w:p w14:paraId="391834A3" w14:textId="77777777" w:rsidR="000916D6" w:rsidRPr="00AB0B42" w:rsidRDefault="000916D6" w:rsidP="00700EB8">
            <w:pPr>
              <w:jc w:val="right"/>
            </w:pPr>
            <w:r w:rsidRPr="00AB0B42">
              <w:t>-0.35</w:t>
            </w:r>
          </w:p>
        </w:tc>
      </w:tr>
      <w:tr w:rsidR="000916D6" w:rsidRPr="00AB0B42" w14:paraId="6B00E67D" w14:textId="77777777" w:rsidTr="00700EB8">
        <w:tc>
          <w:tcPr>
            <w:tcW w:w="3600" w:type="dxa"/>
            <w:vAlign w:val="center"/>
          </w:tcPr>
          <w:p w14:paraId="7B74ED31" w14:textId="77777777" w:rsidR="000916D6" w:rsidRPr="00AB0B42" w:rsidRDefault="000916D6" w:rsidP="00700EB8">
            <w:pPr>
              <w:ind w:left="90"/>
            </w:pPr>
            <w:r w:rsidRPr="00AB0B42">
              <w:t>Administered propofol, mg</w:t>
            </w:r>
          </w:p>
        </w:tc>
        <w:tc>
          <w:tcPr>
            <w:tcW w:w="2520" w:type="dxa"/>
            <w:vAlign w:val="center"/>
          </w:tcPr>
          <w:p w14:paraId="4FBC5AD3" w14:textId="77777777" w:rsidR="000916D6" w:rsidRPr="00AB0B42" w:rsidRDefault="000916D6" w:rsidP="00700EB8">
            <w:pPr>
              <w:jc w:val="both"/>
            </w:pPr>
            <w:r w:rsidRPr="00AB0B42">
              <w:t>2810. (1117.8 - 4107.8)</w:t>
            </w:r>
          </w:p>
        </w:tc>
        <w:tc>
          <w:tcPr>
            <w:tcW w:w="2610" w:type="dxa"/>
            <w:vAlign w:val="center"/>
          </w:tcPr>
          <w:p w14:paraId="07F52B65" w14:textId="77777777" w:rsidR="000916D6" w:rsidRPr="00AB0B42" w:rsidRDefault="000916D6" w:rsidP="00700EB8">
            <w:pPr>
              <w:jc w:val="both"/>
            </w:pPr>
            <w:r w:rsidRPr="00AB0B42">
              <w:t>3998.0 (2160.0 - 5986.0)</w:t>
            </w:r>
          </w:p>
        </w:tc>
        <w:tc>
          <w:tcPr>
            <w:tcW w:w="720" w:type="dxa"/>
            <w:vAlign w:val="center"/>
          </w:tcPr>
          <w:p w14:paraId="638E73E4" w14:textId="77777777" w:rsidR="000916D6" w:rsidRPr="00AB0B42" w:rsidRDefault="000916D6" w:rsidP="00700EB8">
            <w:pPr>
              <w:jc w:val="right"/>
            </w:pPr>
            <w:r w:rsidRPr="00AB0B42">
              <w:t>-0.56</w:t>
            </w:r>
          </w:p>
        </w:tc>
      </w:tr>
      <w:tr w:rsidR="000916D6" w:rsidRPr="00AB0B42" w14:paraId="1AEB6690" w14:textId="77777777" w:rsidTr="00700EB8">
        <w:tc>
          <w:tcPr>
            <w:tcW w:w="3600" w:type="dxa"/>
            <w:vAlign w:val="center"/>
          </w:tcPr>
          <w:p w14:paraId="1C97427F" w14:textId="77777777" w:rsidR="000916D6" w:rsidRPr="00AB0B42" w:rsidRDefault="000916D6" w:rsidP="00700EB8">
            <w:pPr>
              <w:ind w:left="90"/>
            </w:pPr>
            <w:r w:rsidRPr="00AB0B42">
              <w:t>Administered vasopressors, mcg/kg norepinephrine equivalents</w:t>
            </w:r>
          </w:p>
        </w:tc>
        <w:tc>
          <w:tcPr>
            <w:tcW w:w="2520" w:type="dxa"/>
            <w:vAlign w:val="center"/>
          </w:tcPr>
          <w:p w14:paraId="71DEC9FE" w14:textId="77777777" w:rsidR="000916D6" w:rsidRPr="00AB0B42" w:rsidRDefault="000916D6" w:rsidP="00700EB8">
            <w:pPr>
              <w:jc w:val="both"/>
            </w:pPr>
            <w:r w:rsidRPr="00AB0B42">
              <w:t>50.0 (0.0 - 203.6)</w:t>
            </w:r>
          </w:p>
        </w:tc>
        <w:tc>
          <w:tcPr>
            <w:tcW w:w="2610" w:type="dxa"/>
            <w:vAlign w:val="center"/>
          </w:tcPr>
          <w:p w14:paraId="0AF7F689" w14:textId="77777777" w:rsidR="000916D6" w:rsidRPr="00AB0B42" w:rsidRDefault="000916D6" w:rsidP="00700EB8">
            <w:pPr>
              <w:jc w:val="both"/>
            </w:pPr>
            <w:r w:rsidRPr="00AB0B42">
              <w:t>134.3 (30.8 - 505.1)</w:t>
            </w:r>
          </w:p>
        </w:tc>
        <w:tc>
          <w:tcPr>
            <w:tcW w:w="720" w:type="dxa"/>
            <w:vAlign w:val="center"/>
          </w:tcPr>
          <w:p w14:paraId="65B9908D" w14:textId="77777777" w:rsidR="000916D6" w:rsidRPr="00AB0B42" w:rsidRDefault="000916D6" w:rsidP="00700EB8">
            <w:pPr>
              <w:jc w:val="right"/>
            </w:pPr>
            <w:r w:rsidRPr="00AB0B42">
              <w:t>-0.39</w:t>
            </w:r>
          </w:p>
        </w:tc>
      </w:tr>
      <w:tr w:rsidR="000916D6" w:rsidRPr="00AB0B42" w14:paraId="73CA1D7A" w14:textId="77777777" w:rsidTr="00700EB8">
        <w:tc>
          <w:tcPr>
            <w:tcW w:w="3600" w:type="dxa"/>
            <w:vAlign w:val="center"/>
          </w:tcPr>
          <w:p w14:paraId="53CA6705" w14:textId="77777777" w:rsidR="000916D6" w:rsidRPr="00AB0B42" w:rsidRDefault="000916D6" w:rsidP="00700EB8">
            <w:pPr>
              <w:ind w:left="90"/>
            </w:pPr>
            <w:r w:rsidRPr="00AB0B42">
              <w:t>Continuous non-depolarizing NMBA infusion</w:t>
            </w:r>
          </w:p>
        </w:tc>
        <w:tc>
          <w:tcPr>
            <w:tcW w:w="2520" w:type="dxa"/>
            <w:vAlign w:val="center"/>
          </w:tcPr>
          <w:p w14:paraId="16DF1A50" w14:textId="77777777" w:rsidR="000916D6" w:rsidRPr="00AB0B42" w:rsidRDefault="000916D6" w:rsidP="00700EB8">
            <w:pPr>
              <w:jc w:val="both"/>
            </w:pPr>
            <w:r w:rsidRPr="00AB0B42">
              <w:t>28 (3.2%)</w:t>
            </w:r>
          </w:p>
        </w:tc>
        <w:tc>
          <w:tcPr>
            <w:tcW w:w="2610" w:type="dxa"/>
            <w:vAlign w:val="center"/>
          </w:tcPr>
          <w:p w14:paraId="08012D55" w14:textId="77777777" w:rsidR="000916D6" w:rsidRPr="00AB0B42" w:rsidRDefault="000916D6" w:rsidP="00700EB8">
            <w:pPr>
              <w:jc w:val="both"/>
            </w:pPr>
            <w:r w:rsidRPr="00AB0B42">
              <w:t>206 (23.8%)</w:t>
            </w:r>
          </w:p>
        </w:tc>
        <w:tc>
          <w:tcPr>
            <w:tcW w:w="720" w:type="dxa"/>
            <w:vAlign w:val="center"/>
          </w:tcPr>
          <w:p w14:paraId="3034C72F" w14:textId="77777777" w:rsidR="000916D6" w:rsidRPr="00AB0B42" w:rsidRDefault="000916D6" w:rsidP="00700EB8">
            <w:pPr>
              <w:jc w:val="right"/>
            </w:pPr>
            <w:r w:rsidRPr="00AB0B42">
              <w:t>-0.63</w:t>
            </w:r>
          </w:p>
        </w:tc>
      </w:tr>
      <w:tr w:rsidR="000916D6" w:rsidRPr="00AB0B42" w14:paraId="7381DDA6" w14:textId="77777777" w:rsidTr="00700EB8">
        <w:tc>
          <w:tcPr>
            <w:tcW w:w="3600" w:type="dxa"/>
            <w:tcBorders>
              <w:bottom w:val="nil"/>
            </w:tcBorders>
            <w:vAlign w:val="center"/>
          </w:tcPr>
          <w:p w14:paraId="2BD9D57F" w14:textId="77777777" w:rsidR="000916D6" w:rsidRPr="00AB0B42" w:rsidRDefault="000916D6" w:rsidP="00700EB8">
            <w:pPr>
              <w:ind w:left="90"/>
            </w:pPr>
            <w:r w:rsidRPr="00AB0B42">
              <w:t>Administered opioids, mg OME</w:t>
            </w:r>
          </w:p>
        </w:tc>
        <w:tc>
          <w:tcPr>
            <w:tcW w:w="2520" w:type="dxa"/>
            <w:tcBorders>
              <w:bottom w:val="nil"/>
            </w:tcBorders>
            <w:vAlign w:val="center"/>
          </w:tcPr>
          <w:p w14:paraId="5EE02C7F" w14:textId="77777777" w:rsidR="000916D6" w:rsidRPr="00AB0B42" w:rsidRDefault="000916D6" w:rsidP="00700EB8">
            <w:pPr>
              <w:jc w:val="both"/>
            </w:pPr>
            <w:r w:rsidRPr="00AB0B42">
              <w:t>259.4 (31.3 - 511.7)</w:t>
            </w:r>
          </w:p>
        </w:tc>
        <w:tc>
          <w:tcPr>
            <w:tcW w:w="2610" w:type="dxa"/>
            <w:tcBorders>
              <w:bottom w:val="nil"/>
            </w:tcBorders>
            <w:vAlign w:val="center"/>
          </w:tcPr>
          <w:p w14:paraId="5917E94A" w14:textId="77777777" w:rsidR="000916D6" w:rsidRPr="00AB0B42" w:rsidRDefault="000916D6" w:rsidP="00700EB8">
            <w:pPr>
              <w:jc w:val="both"/>
            </w:pPr>
            <w:r w:rsidRPr="00AB0B42">
              <w:t>573.7 (290.0 - 1042.2)</w:t>
            </w:r>
          </w:p>
        </w:tc>
        <w:tc>
          <w:tcPr>
            <w:tcW w:w="720" w:type="dxa"/>
            <w:tcBorders>
              <w:bottom w:val="nil"/>
            </w:tcBorders>
            <w:vAlign w:val="center"/>
          </w:tcPr>
          <w:p w14:paraId="055D9DF8" w14:textId="77777777" w:rsidR="000916D6" w:rsidRPr="00AB0B42" w:rsidRDefault="000916D6" w:rsidP="00700EB8">
            <w:pPr>
              <w:jc w:val="right"/>
            </w:pPr>
            <w:r w:rsidRPr="00AB0B42">
              <w:t>-0.78</w:t>
            </w:r>
          </w:p>
        </w:tc>
      </w:tr>
      <w:tr w:rsidR="000916D6" w:rsidRPr="00AB0B42" w14:paraId="56F0D894" w14:textId="77777777" w:rsidTr="00700EB8">
        <w:tc>
          <w:tcPr>
            <w:tcW w:w="3600" w:type="dxa"/>
            <w:tcBorders>
              <w:top w:val="nil"/>
            </w:tcBorders>
            <w:vAlign w:val="center"/>
          </w:tcPr>
          <w:p w14:paraId="58213019" w14:textId="77777777" w:rsidR="000916D6" w:rsidRPr="00AB0B42" w:rsidRDefault="000916D6" w:rsidP="00700EB8">
            <w:pPr>
              <w:ind w:left="90"/>
            </w:pPr>
            <w:r w:rsidRPr="00AB0B42">
              <w:t>Arterial pH</w:t>
            </w:r>
          </w:p>
        </w:tc>
        <w:tc>
          <w:tcPr>
            <w:tcW w:w="2520" w:type="dxa"/>
            <w:tcBorders>
              <w:top w:val="nil"/>
            </w:tcBorders>
            <w:vAlign w:val="center"/>
          </w:tcPr>
          <w:p w14:paraId="0C3F2699" w14:textId="77777777" w:rsidR="000916D6" w:rsidRPr="00AB0B42" w:rsidRDefault="000916D6" w:rsidP="00700EB8">
            <w:pPr>
              <w:jc w:val="both"/>
            </w:pPr>
            <w:r w:rsidRPr="00AB0B42">
              <w:t>7.4 (7.3 - 7.4)</w:t>
            </w:r>
          </w:p>
        </w:tc>
        <w:tc>
          <w:tcPr>
            <w:tcW w:w="2610" w:type="dxa"/>
            <w:tcBorders>
              <w:top w:val="nil"/>
            </w:tcBorders>
            <w:vAlign w:val="center"/>
          </w:tcPr>
          <w:p w14:paraId="6DB86431" w14:textId="77777777" w:rsidR="000916D6" w:rsidRPr="00AB0B42" w:rsidRDefault="000916D6" w:rsidP="00700EB8">
            <w:pPr>
              <w:jc w:val="both"/>
            </w:pPr>
            <w:r w:rsidRPr="00AB0B42">
              <w:t>7.3 (7.3 - 7.4)</w:t>
            </w:r>
          </w:p>
        </w:tc>
        <w:tc>
          <w:tcPr>
            <w:tcW w:w="720" w:type="dxa"/>
            <w:tcBorders>
              <w:top w:val="nil"/>
            </w:tcBorders>
            <w:vAlign w:val="center"/>
          </w:tcPr>
          <w:p w14:paraId="55E896DF" w14:textId="77777777" w:rsidR="000916D6" w:rsidRPr="00AB0B42" w:rsidRDefault="000916D6" w:rsidP="00700EB8">
            <w:pPr>
              <w:jc w:val="right"/>
            </w:pPr>
            <w:r w:rsidRPr="00AB0B42">
              <w:t>0.61</w:t>
            </w:r>
          </w:p>
        </w:tc>
      </w:tr>
      <w:tr w:rsidR="000916D6" w:rsidRPr="00AB0B42" w14:paraId="65A2A595" w14:textId="77777777" w:rsidTr="00700EB8">
        <w:tc>
          <w:tcPr>
            <w:tcW w:w="3600" w:type="dxa"/>
            <w:tcBorders>
              <w:top w:val="nil"/>
            </w:tcBorders>
            <w:vAlign w:val="center"/>
          </w:tcPr>
          <w:p w14:paraId="70B1915C" w14:textId="77777777" w:rsidR="000916D6" w:rsidRPr="00AB0B42" w:rsidRDefault="000916D6" w:rsidP="00700EB8">
            <w:pPr>
              <w:ind w:left="90"/>
            </w:pPr>
            <w:r w:rsidRPr="00AB0B42">
              <w:t>Partial pressure of arterial CO</w:t>
            </w:r>
            <w:r w:rsidRPr="00AB0B42">
              <w:rPr>
                <w:vertAlign w:val="subscript"/>
              </w:rPr>
              <w:t>2</w:t>
            </w:r>
            <w:r w:rsidRPr="00AB0B42">
              <w:t>, mmHg</w:t>
            </w:r>
          </w:p>
        </w:tc>
        <w:tc>
          <w:tcPr>
            <w:tcW w:w="2520" w:type="dxa"/>
            <w:tcBorders>
              <w:top w:val="nil"/>
            </w:tcBorders>
            <w:vAlign w:val="center"/>
          </w:tcPr>
          <w:p w14:paraId="67227054" w14:textId="77777777" w:rsidR="000916D6" w:rsidRPr="00AB0B42" w:rsidRDefault="000916D6" w:rsidP="00700EB8">
            <w:pPr>
              <w:jc w:val="both"/>
            </w:pPr>
            <w:r w:rsidRPr="00AB0B42">
              <w:t>40.5 (36 - 45.5)</w:t>
            </w:r>
          </w:p>
        </w:tc>
        <w:tc>
          <w:tcPr>
            <w:tcW w:w="2610" w:type="dxa"/>
            <w:tcBorders>
              <w:top w:val="nil"/>
            </w:tcBorders>
            <w:vAlign w:val="center"/>
          </w:tcPr>
          <w:p w14:paraId="2F3C34BD" w14:textId="77777777" w:rsidR="000916D6" w:rsidRPr="00AB0B42" w:rsidRDefault="000916D6" w:rsidP="00700EB8">
            <w:pPr>
              <w:jc w:val="both"/>
            </w:pPr>
            <w:r w:rsidRPr="00AB0B42">
              <w:t>43 (38 - 50)</w:t>
            </w:r>
          </w:p>
        </w:tc>
        <w:tc>
          <w:tcPr>
            <w:tcW w:w="720" w:type="dxa"/>
            <w:tcBorders>
              <w:top w:val="nil"/>
            </w:tcBorders>
            <w:vAlign w:val="center"/>
          </w:tcPr>
          <w:p w14:paraId="33BFF18E" w14:textId="77777777" w:rsidR="000916D6" w:rsidRPr="00AB0B42" w:rsidRDefault="000916D6" w:rsidP="00700EB8">
            <w:pPr>
              <w:jc w:val="right"/>
            </w:pPr>
            <w:r w:rsidRPr="00AB0B42">
              <w:t>-0.35</w:t>
            </w:r>
          </w:p>
        </w:tc>
      </w:tr>
      <w:tr w:rsidR="000916D6" w:rsidRPr="00AB0B42" w14:paraId="4902A4F4" w14:textId="77777777" w:rsidTr="00700EB8">
        <w:tc>
          <w:tcPr>
            <w:tcW w:w="3600" w:type="dxa"/>
            <w:vAlign w:val="center"/>
          </w:tcPr>
          <w:p w14:paraId="2BB72C88" w14:textId="77777777" w:rsidR="000916D6" w:rsidRPr="00AB0B42" w:rsidRDefault="000916D6" w:rsidP="00700EB8">
            <w:pPr>
              <w:ind w:left="90"/>
            </w:pPr>
            <w:r w:rsidRPr="00AB0B42">
              <w:t>D-Dimer &gt;500 ng/ml</w:t>
            </w:r>
          </w:p>
        </w:tc>
        <w:tc>
          <w:tcPr>
            <w:tcW w:w="2520" w:type="dxa"/>
            <w:vAlign w:val="center"/>
          </w:tcPr>
          <w:p w14:paraId="2D342A5C" w14:textId="77777777" w:rsidR="000916D6" w:rsidRPr="00AB0B42" w:rsidRDefault="000916D6" w:rsidP="00700EB8">
            <w:pPr>
              <w:jc w:val="both"/>
            </w:pPr>
            <w:r w:rsidRPr="00AB0B42">
              <w:t>65 (7.5%)</w:t>
            </w:r>
          </w:p>
        </w:tc>
        <w:tc>
          <w:tcPr>
            <w:tcW w:w="2610" w:type="dxa"/>
            <w:vAlign w:val="center"/>
          </w:tcPr>
          <w:p w14:paraId="4549D3CD" w14:textId="77777777" w:rsidR="000916D6" w:rsidRPr="00AB0B42" w:rsidRDefault="000916D6" w:rsidP="00700EB8">
            <w:pPr>
              <w:jc w:val="both"/>
            </w:pPr>
            <w:r w:rsidRPr="00AB0B42">
              <w:t>152 (17.5%)</w:t>
            </w:r>
          </w:p>
        </w:tc>
        <w:tc>
          <w:tcPr>
            <w:tcW w:w="720" w:type="dxa"/>
            <w:vAlign w:val="center"/>
          </w:tcPr>
          <w:p w14:paraId="3C4F4B25" w14:textId="77777777" w:rsidR="000916D6" w:rsidRPr="00AB0B42" w:rsidRDefault="000916D6" w:rsidP="00700EB8">
            <w:pPr>
              <w:jc w:val="right"/>
            </w:pPr>
            <w:r w:rsidRPr="00AB0B42">
              <w:t>-0.31</w:t>
            </w:r>
          </w:p>
        </w:tc>
      </w:tr>
      <w:tr w:rsidR="000916D6" w:rsidRPr="00AB0B42" w14:paraId="61FE25B0" w14:textId="77777777" w:rsidTr="00700EB8">
        <w:tc>
          <w:tcPr>
            <w:tcW w:w="3600" w:type="dxa"/>
            <w:vAlign w:val="center"/>
          </w:tcPr>
          <w:p w14:paraId="057F0EAB" w14:textId="77777777" w:rsidR="000916D6" w:rsidRPr="00AB0B42" w:rsidRDefault="000916D6" w:rsidP="00700EB8">
            <w:pPr>
              <w:ind w:left="90"/>
            </w:pPr>
            <w:r w:rsidRPr="00AB0B42">
              <w:t>Appearance of elevated NT-</w:t>
            </w:r>
            <w:proofErr w:type="spellStart"/>
            <w:r w:rsidRPr="00AB0B42">
              <w:t>proBNP</w:t>
            </w:r>
            <w:proofErr w:type="spellEnd"/>
            <w:r w:rsidRPr="00AB0B42">
              <w:t>, age adjusted</w:t>
            </w:r>
          </w:p>
        </w:tc>
        <w:tc>
          <w:tcPr>
            <w:tcW w:w="2520" w:type="dxa"/>
            <w:vAlign w:val="center"/>
          </w:tcPr>
          <w:p w14:paraId="76626A6B" w14:textId="77777777" w:rsidR="000916D6" w:rsidRPr="00AB0B42" w:rsidRDefault="000916D6" w:rsidP="00700EB8">
            <w:pPr>
              <w:jc w:val="both"/>
            </w:pPr>
            <w:r w:rsidRPr="00AB0B42">
              <w:t>32 (3.7%)</w:t>
            </w:r>
          </w:p>
        </w:tc>
        <w:tc>
          <w:tcPr>
            <w:tcW w:w="2610" w:type="dxa"/>
            <w:vAlign w:val="center"/>
          </w:tcPr>
          <w:p w14:paraId="389982D5" w14:textId="77777777" w:rsidR="000916D6" w:rsidRPr="00AB0B42" w:rsidRDefault="000916D6" w:rsidP="00700EB8">
            <w:pPr>
              <w:jc w:val="both"/>
            </w:pPr>
            <w:r w:rsidRPr="00AB0B42">
              <w:t>46 (5.3%)</w:t>
            </w:r>
          </w:p>
        </w:tc>
        <w:tc>
          <w:tcPr>
            <w:tcW w:w="720" w:type="dxa"/>
            <w:vAlign w:val="center"/>
          </w:tcPr>
          <w:p w14:paraId="743CF7DF" w14:textId="77777777" w:rsidR="000916D6" w:rsidRPr="00AB0B42" w:rsidRDefault="000916D6" w:rsidP="00700EB8">
            <w:pPr>
              <w:jc w:val="right"/>
            </w:pPr>
            <w:r w:rsidRPr="00AB0B42">
              <w:t>-0.08</w:t>
            </w:r>
          </w:p>
        </w:tc>
      </w:tr>
      <w:tr w:rsidR="000916D6" w:rsidRPr="00AB0B42" w14:paraId="0BDB993C" w14:textId="77777777" w:rsidTr="00700EB8">
        <w:tc>
          <w:tcPr>
            <w:tcW w:w="3600" w:type="dxa"/>
            <w:tcBorders>
              <w:top w:val="single" w:sz="4" w:space="0" w:color="000000" w:themeColor="text1"/>
              <w:bottom w:val="nil"/>
            </w:tcBorders>
            <w:vAlign w:val="center"/>
          </w:tcPr>
          <w:p w14:paraId="6DF8BE8E" w14:textId="77777777" w:rsidR="000916D6" w:rsidRPr="00AB0B42" w:rsidRDefault="000916D6" w:rsidP="00700EB8">
            <w:pPr>
              <w:ind w:left="90"/>
            </w:pPr>
            <w:r w:rsidRPr="00AB0B42">
              <w:t>Creatinine, mg/dL</w:t>
            </w:r>
          </w:p>
        </w:tc>
        <w:tc>
          <w:tcPr>
            <w:tcW w:w="2520" w:type="dxa"/>
            <w:tcBorders>
              <w:top w:val="single" w:sz="4" w:space="0" w:color="000000" w:themeColor="text1"/>
              <w:bottom w:val="nil"/>
            </w:tcBorders>
            <w:vAlign w:val="center"/>
          </w:tcPr>
          <w:p w14:paraId="7AB343D2" w14:textId="77777777" w:rsidR="000916D6" w:rsidRPr="00AB0B42" w:rsidRDefault="000916D6" w:rsidP="00700EB8">
            <w:pPr>
              <w:jc w:val="both"/>
            </w:pPr>
            <w:r w:rsidRPr="00AB0B42">
              <w:t>1.0 (0.8 - 1.7)</w:t>
            </w:r>
          </w:p>
        </w:tc>
        <w:tc>
          <w:tcPr>
            <w:tcW w:w="2610" w:type="dxa"/>
            <w:tcBorders>
              <w:top w:val="single" w:sz="4" w:space="0" w:color="000000" w:themeColor="text1"/>
              <w:bottom w:val="nil"/>
            </w:tcBorders>
            <w:vAlign w:val="center"/>
          </w:tcPr>
          <w:p w14:paraId="4A3DC168" w14:textId="77777777" w:rsidR="000916D6" w:rsidRPr="00AB0B42" w:rsidRDefault="000916D6" w:rsidP="00700EB8">
            <w:pPr>
              <w:jc w:val="both"/>
            </w:pPr>
            <w:r w:rsidRPr="00AB0B42">
              <w:t>1.5 (1.0 - 2.5)</w:t>
            </w:r>
          </w:p>
        </w:tc>
        <w:tc>
          <w:tcPr>
            <w:tcW w:w="720" w:type="dxa"/>
            <w:tcBorders>
              <w:top w:val="single" w:sz="4" w:space="0" w:color="000000" w:themeColor="text1"/>
              <w:bottom w:val="nil"/>
            </w:tcBorders>
            <w:vAlign w:val="center"/>
          </w:tcPr>
          <w:p w14:paraId="3E317ED5" w14:textId="77777777" w:rsidR="000916D6" w:rsidRPr="00AB0B42" w:rsidRDefault="000916D6" w:rsidP="00700EB8">
            <w:pPr>
              <w:jc w:val="right"/>
            </w:pPr>
            <w:r w:rsidRPr="00AB0B42">
              <w:t>-0.26</w:t>
            </w:r>
          </w:p>
        </w:tc>
      </w:tr>
      <w:tr w:rsidR="000916D6" w:rsidRPr="00AB0B42" w14:paraId="500E4FA6" w14:textId="77777777" w:rsidTr="00700EB8">
        <w:tc>
          <w:tcPr>
            <w:tcW w:w="3600" w:type="dxa"/>
            <w:tcBorders>
              <w:top w:val="nil"/>
              <w:left w:val="nil"/>
              <w:bottom w:val="nil"/>
              <w:right w:val="nil"/>
            </w:tcBorders>
            <w:vAlign w:val="center"/>
          </w:tcPr>
          <w:p w14:paraId="02923CD6" w14:textId="77777777" w:rsidR="000916D6" w:rsidRPr="00AB0B42" w:rsidRDefault="000916D6" w:rsidP="00700EB8">
            <w:pPr>
              <w:ind w:left="90"/>
            </w:pPr>
            <w:r w:rsidRPr="00AB0B42">
              <w:t xml:space="preserve">Potassium, </w:t>
            </w:r>
            <w:proofErr w:type="spellStart"/>
            <w:r w:rsidRPr="00AB0B42">
              <w:t>mEq</w:t>
            </w:r>
            <w:proofErr w:type="spellEnd"/>
            <w:r w:rsidRPr="00AB0B42">
              <w:t>/L</w:t>
            </w:r>
          </w:p>
        </w:tc>
        <w:tc>
          <w:tcPr>
            <w:tcW w:w="2520" w:type="dxa"/>
            <w:tcBorders>
              <w:top w:val="nil"/>
              <w:left w:val="nil"/>
              <w:bottom w:val="nil"/>
              <w:right w:val="nil"/>
            </w:tcBorders>
            <w:vAlign w:val="center"/>
          </w:tcPr>
          <w:p w14:paraId="3F348D66" w14:textId="77777777" w:rsidR="000916D6" w:rsidRPr="00AB0B42" w:rsidRDefault="000916D6" w:rsidP="00700EB8">
            <w:pPr>
              <w:jc w:val="both"/>
            </w:pPr>
            <w:r w:rsidRPr="00AB0B42">
              <w:t>4.1 (3.8 - 4.4)</w:t>
            </w:r>
          </w:p>
        </w:tc>
        <w:tc>
          <w:tcPr>
            <w:tcW w:w="2610" w:type="dxa"/>
            <w:tcBorders>
              <w:top w:val="nil"/>
              <w:left w:val="nil"/>
              <w:bottom w:val="nil"/>
              <w:right w:val="nil"/>
            </w:tcBorders>
            <w:vAlign w:val="center"/>
          </w:tcPr>
          <w:p w14:paraId="5E21499D" w14:textId="77777777" w:rsidR="000916D6" w:rsidRPr="00AB0B42" w:rsidRDefault="000916D6" w:rsidP="00700EB8">
            <w:pPr>
              <w:jc w:val="both"/>
            </w:pPr>
            <w:r w:rsidRPr="00AB0B42">
              <w:t>4.3 (3.9 - 4.7)</w:t>
            </w:r>
          </w:p>
        </w:tc>
        <w:tc>
          <w:tcPr>
            <w:tcW w:w="720" w:type="dxa"/>
            <w:tcBorders>
              <w:top w:val="nil"/>
              <w:left w:val="nil"/>
              <w:bottom w:val="nil"/>
              <w:right w:val="nil"/>
            </w:tcBorders>
            <w:vAlign w:val="center"/>
          </w:tcPr>
          <w:p w14:paraId="3E11E86C" w14:textId="77777777" w:rsidR="000916D6" w:rsidRPr="00AB0B42" w:rsidRDefault="000916D6" w:rsidP="00700EB8">
            <w:pPr>
              <w:jc w:val="right"/>
            </w:pPr>
            <w:r w:rsidRPr="00AB0B42">
              <w:t>-0.32</w:t>
            </w:r>
          </w:p>
        </w:tc>
      </w:tr>
      <w:tr w:rsidR="000916D6" w:rsidRPr="00AB0B42" w14:paraId="0C7CE03F" w14:textId="77777777" w:rsidTr="00700EB8">
        <w:tc>
          <w:tcPr>
            <w:tcW w:w="3600" w:type="dxa"/>
            <w:tcBorders>
              <w:top w:val="nil"/>
            </w:tcBorders>
            <w:vAlign w:val="center"/>
          </w:tcPr>
          <w:p w14:paraId="50127A08" w14:textId="77777777" w:rsidR="000916D6" w:rsidRPr="00AB0B42" w:rsidRDefault="000916D6" w:rsidP="00700EB8">
            <w:pPr>
              <w:ind w:left="90"/>
            </w:pPr>
            <w:r w:rsidRPr="00AB0B42">
              <w:t xml:space="preserve">Sodium, </w:t>
            </w:r>
            <w:proofErr w:type="spellStart"/>
            <w:r w:rsidRPr="00AB0B42">
              <w:t>mEq</w:t>
            </w:r>
            <w:proofErr w:type="spellEnd"/>
            <w:r w:rsidRPr="00AB0B42">
              <w:t>/L</w:t>
            </w:r>
          </w:p>
        </w:tc>
        <w:tc>
          <w:tcPr>
            <w:tcW w:w="2520" w:type="dxa"/>
            <w:tcBorders>
              <w:top w:val="nil"/>
            </w:tcBorders>
            <w:vAlign w:val="center"/>
          </w:tcPr>
          <w:p w14:paraId="6FE05FDE" w14:textId="77777777" w:rsidR="000916D6" w:rsidRPr="00AB0B42" w:rsidRDefault="000916D6" w:rsidP="00700EB8">
            <w:pPr>
              <w:jc w:val="both"/>
            </w:pPr>
            <w:r w:rsidRPr="00AB0B42">
              <w:t>139.0 (135.5 - 142.0)</w:t>
            </w:r>
          </w:p>
        </w:tc>
        <w:tc>
          <w:tcPr>
            <w:tcW w:w="2610" w:type="dxa"/>
            <w:tcBorders>
              <w:top w:val="nil"/>
            </w:tcBorders>
            <w:vAlign w:val="center"/>
          </w:tcPr>
          <w:p w14:paraId="0DCAB51F" w14:textId="77777777" w:rsidR="000916D6" w:rsidRPr="00AB0B42" w:rsidRDefault="000916D6" w:rsidP="00700EB8">
            <w:pPr>
              <w:jc w:val="both"/>
            </w:pPr>
            <w:r w:rsidRPr="00AB0B42">
              <w:t>138.0 (135.0 - 141.0)</w:t>
            </w:r>
          </w:p>
        </w:tc>
        <w:tc>
          <w:tcPr>
            <w:tcW w:w="720" w:type="dxa"/>
            <w:tcBorders>
              <w:top w:val="nil"/>
            </w:tcBorders>
            <w:vAlign w:val="center"/>
          </w:tcPr>
          <w:p w14:paraId="34932846" w14:textId="77777777" w:rsidR="000916D6" w:rsidRPr="00AB0B42" w:rsidRDefault="000916D6" w:rsidP="00700EB8">
            <w:pPr>
              <w:jc w:val="right"/>
            </w:pPr>
            <w:r w:rsidRPr="00AB0B42">
              <w:t>0.10</w:t>
            </w:r>
          </w:p>
        </w:tc>
      </w:tr>
      <w:tr w:rsidR="000916D6" w:rsidRPr="00AB0B42" w14:paraId="1404B9AC" w14:textId="77777777" w:rsidTr="00700EB8">
        <w:tc>
          <w:tcPr>
            <w:tcW w:w="3600" w:type="dxa"/>
            <w:vAlign w:val="center"/>
          </w:tcPr>
          <w:p w14:paraId="2DB38A0F" w14:textId="77777777" w:rsidR="000916D6" w:rsidRPr="00AB0B42" w:rsidRDefault="000916D6" w:rsidP="00700EB8">
            <w:pPr>
              <w:ind w:left="90"/>
            </w:pPr>
            <w:r w:rsidRPr="00AB0B42">
              <w:t>Hematocrit, L/L</w:t>
            </w:r>
          </w:p>
        </w:tc>
        <w:tc>
          <w:tcPr>
            <w:tcW w:w="2520" w:type="dxa"/>
            <w:vAlign w:val="center"/>
          </w:tcPr>
          <w:p w14:paraId="5BC42BA0" w14:textId="77777777" w:rsidR="000916D6" w:rsidRPr="00AB0B42" w:rsidRDefault="000916D6" w:rsidP="00700EB8">
            <w:pPr>
              <w:jc w:val="both"/>
            </w:pPr>
            <w:r w:rsidRPr="00AB0B42">
              <w:t>31.1 (26.3 - 36.3)</w:t>
            </w:r>
          </w:p>
        </w:tc>
        <w:tc>
          <w:tcPr>
            <w:tcW w:w="2610" w:type="dxa"/>
            <w:vAlign w:val="center"/>
          </w:tcPr>
          <w:p w14:paraId="0FCA9296" w14:textId="77777777" w:rsidR="000916D6" w:rsidRPr="00AB0B42" w:rsidRDefault="000916D6" w:rsidP="00700EB8">
            <w:pPr>
              <w:jc w:val="both"/>
            </w:pPr>
            <w:r w:rsidRPr="00AB0B42">
              <w:t>32.3 (26.9 - 37.3)</w:t>
            </w:r>
          </w:p>
        </w:tc>
        <w:tc>
          <w:tcPr>
            <w:tcW w:w="720" w:type="dxa"/>
            <w:vAlign w:val="center"/>
          </w:tcPr>
          <w:p w14:paraId="696648D3" w14:textId="77777777" w:rsidR="000916D6" w:rsidRPr="00AB0B42" w:rsidRDefault="000916D6" w:rsidP="00700EB8">
            <w:pPr>
              <w:jc w:val="right"/>
            </w:pPr>
            <w:r w:rsidRPr="00AB0B42">
              <w:t>-0.17</w:t>
            </w:r>
          </w:p>
        </w:tc>
      </w:tr>
      <w:tr w:rsidR="000916D6" w:rsidRPr="00AB0B42" w14:paraId="655CE237" w14:textId="77777777" w:rsidTr="00700EB8">
        <w:tc>
          <w:tcPr>
            <w:tcW w:w="3600" w:type="dxa"/>
            <w:vAlign w:val="center"/>
          </w:tcPr>
          <w:p w14:paraId="1453A7FF" w14:textId="77777777" w:rsidR="000916D6" w:rsidRPr="00AB0B42" w:rsidRDefault="000916D6" w:rsidP="00700EB8">
            <w:pPr>
              <w:ind w:left="90"/>
            </w:pPr>
            <w:r w:rsidRPr="00AB0B42">
              <w:t xml:space="preserve">White blood cells, cells per </w:t>
            </w:r>
            <w:proofErr w:type="spellStart"/>
            <w:r w:rsidRPr="00AB0B42">
              <w:t>μL</w:t>
            </w:r>
            <w:proofErr w:type="spellEnd"/>
          </w:p>
        </w:tc>
        <w:tc>
          <w:tcPr>
            <w:tcW w:w="2520" w:type="dxa"/>
            <w:vAlign w:val="center"/>
          </w:tcPr>
          <w:p w14:paraId="68609110" w14:textId="77777777" w:rsidR="000916D6" w:rsidRPr="00AB0B42" w:rsidRDefault="000916D6" w:rsidP="00700EB8">
            <w:pPr>
              <w:jc w:val="both"/>
            </w:pPr>
            <w:r w:rsidRPr="00AB0B42">
              <w:t>11.3 (8.3 - 15.8)</w:t>
            </w:r>
          </w:p>
        </w:tc>
        <w:tc>
          <w:tcPr>
            <w:tcW w:w="2610" w:type="dxa"/>
            <w:vAlign w:val="center"/>
          </w:tcPr>
          <w:p w14:paraId="5BAA1230" w14:textId="77777777" w:rsidR="000916D6" w:rsidRPr="00AB0B42" w:rsidRDefault="000916D6" w:rsidP="00700EB8">
            <w:pPr>
              <w:jc w:val="both"/>
            </w:pPr>
            <w:r w:rsidRPr="00AB0B42">
              <w:t>13.0 (8.8 - 18.3)</w:t>
            </w:r>
          </w:p>
        </w:tc>
        <w:tc>
          <w:tcPr>
            <w:tcW w:w="720" w:type="dxa"/>
            <w:vAlign w:val="center"/>
          </w:tcPr>
          <w:p w14:paraId="2688B38D" w14:textId="77777777" w:rsidR="000916D6" w:rsidRPr="00AB0B42" w:rsidRDefault="000916D6" w:rsidP="00700EB8">
            <w:pPr>
              <w:jc w:val="right"/>
            </w:pPr>
            <w:r w:rsidRPr="00AB0B42">
              <w:t>-0.19</w:t>
            </w:r>
          </w:p>
        </w:tc>
      </w:tr>
      <w:tr w:rsidR="000916D6" w:rsidRPr="00AB0B42" w14:paraId="47158ABB" w14:textId="77777777" w:rsidTr="00700EB8">
        <w:tc>
          <w:tcPr>
            <w:tcW w:w="3600" w:type="dxa"/>
            <w:tcBorders>
              <w:bottom w:val="single" w:sz="4" w:space="0" w:color="auto"/>
            </w:tcBorders>
            <w:vAlign w:val="center"/>
          </w:tcPr>
          <w:p w14:paraId="375F4873" w14:textId="77777777" w:rsidR="000916D6" w:rsidRPr="00AB0B42" w:rsidRDefault="000916D6" w:rsidP="00700EB8">
            <w:pPr>
              <w:ind w:left="90"/>
            </w:pPr>
            <w:r w:rsidRPr="00AB0B42">
              <w:t>APACHE II score</w:t>
            </w:r>
          </w:p>
        </w:tc>
        <w:tc>
          <w:tcPr>
            <w:tcW w:w="2520" w:type="dxa"/>
            <w:tcBorders>
              <w:bottom w:val="single" w:sz="4" w:space="0" w:color="auto"/>
            </w:tcBorders>
            <w:vAlign w:val="center"/>
          </w:tcPr>
          <w:p w14:paraId="5D6B2FE7" w14:textId="77777777" w:rsidR="000916D6" w:rsidRPr="00AB0B42" w:rsidRDefault="000916D6" w:rsidP="00700EB8">
            <w:pPr>
              <w:jc w:val="both"/>
            </w:pPr>
            <w:r w:rsidRPr="00AB0B42">
              <w:t>22 (18 - 26)</w:t>
            </w:r>
          </w:p>
        </w:tc>
        <w:tc>
          <w:tcPr>
            <w:tcW w:w="2610" w:type="dxa"/>
            <w:tcBorders>
              <w:bottom w:val="single" w:sz="4" w:space="0" w:color="auto"/>
            </w:tcBorders>
            <w:vAlign w:val="center"/>
          </w:tcPr>
          <w:p w14:paraId="74199FBC" w14:textId="77777777" w:rsidR="000916D6" w:rsidRPr="00AB0B42" w:rsidRDefault="000916D6" w:rsidP="00700EB8">
            <w:pPr>
              <w:jc w:val="both"/>
            </w:pPr>
            <w:r w:rsidRPr="00AB0B42">
              <w:t>26 (21 - 30)</w:t>
            </w:r>
          </w:p>
        </w:tc>
        <w:tc>
          <w:tcPr>
            <w:tcW w:w="720" w:type="dxa"/>
            <w:tcBorders>
              <w:bottom w:val="single" w:sz="4" w:space="0" w:color="auto"/>
            </w:tcBorders>
            <w:vAlign w:val="center"/>
          </w:tcPr>
          <w:p w14:paraId="1611E1F1" w14:textId="77777777" w:rsidR="000916D6" w:rsidRPr="00AB0B42" w:rsidRDefault="000916D6" w:rsidP="00700EB8">
            <w:pPr>
              <w:jc w:val="right"/>
            </w:pPr>
            <w:r w:rsidRPr="00AB0B42">
              <w:t>-0.54</w:t>
            </w:r>
          </w:p>
        </w:tc>
      </w:tr>
    </w:tbl>
    <w:p w14:paraId="2077F9E8" w14:textId="1449C0D9" w:rsidR="000916D6" w:rsidRPr="00AB0B42" w:rsidRDefault="000916D6" w:rsidP="000916D6">
      <w:pPr>
        <w:spacing w:before="200" w:after="200"/>
      </w:pPr>
      <w:r w:rsidRPr="00AB0B42">
        <w:rPr>
          <w:rFonts w:eastAsia="Gungsuh"/>
        </w:rPr>
        <w:t>Patient characteristics and distribution of variables by high versus low mechanical power. High mechanical power was defined as mechanical power based on the median of the cohort (≥14.5 J/min).</w:t>
      </w:r>
    </w:p>
    <w:p w14:paraId="35BB082F" w14:textId="77777777" w:rsidR="000916D6" w:rsidRPr="00AB0B42" w:rsidRDefault="000916D6" w:rsidP="000916D6">
      <w:pPr>
        <w:spacing w:before="200" w:after="200"/>
        <w:jc w:val="both"/>
        <w:rPr>
          <w:i/>
          <w:color w:val="202124"/>
        </w:rPr>
      </w:pPr>
      <w:r w:rsidRPr="00AB0B42">
        <w:rPr>
          <w:i/>
          <w:color w:val="202124"/>
        </w:rPr>
        <w:t xml:space="preserve">Data are expressed as frequency (prevalence in %), or median (interquartile range [25th-75th percentile]). </w:t>
      </w:r>
    </w:p>
    <w:p w14:paraId="78DDF575" w14:textId="53169982" w:rsidR="00B63A12" w:rsidRPr="00AB0B42" w:rsidRDefault="000916D6" w:rsidP="00B63A12">
      <w:pPr>
        <w:spacing w:before="200" w:after="200"/>
      </w:pPr>
      <w:r w:rsidRPr="00AB0B42">
        <w:rPr>
          <w:color w:val="202124"/>
        </w:rPr>
        <w:t>Abbreviations: BMI: body mass index; COVID-19: Coronavirus disease 2019; P/F ratio: ratio of partial pressure of oxygen in arterial blood and the fraction of oxygen in the inhaled air; IBW: ideal body weight; MAP: mean arterial blood pressure; NMBA: neuromuscular blocking agents; OME: oral morphine equivalent; CO</w:t>
      </w:r>
      <w:r w:rsidRPr="00AB0B42">
        <w:rPr>
          <w:color w:val="202124"/>
          <w:vertAlign w:val="subscript"/>
        </w:rPr>
        <w:t>2</w:t>
      </w:r>
      <w:r w:rsidRPr="00AB0B42">
        <w:rPr>
          <w:color w:val="202124"/>
        </w:rPr>
        <w:t xml:space="preserve">: </w:t>
      </w:r>
      <w:proofErr w:type="spellStart"/>
      <w:r w:rsidRPr="00AB0B42">
        <w:rPr>
          <w:color w:val="202124"/>
        </w:rPr>
        <w:t>Carbindioxide</w:t>
      </w:r>
      <w:proofErr w:type="spellEnd"/>
      <w:r w:rsidRPr="00AB0B42">
        <w:rPr>
          <w:color w:val="202124"/>
        </w:rPr>
        <w:t>; NT-</w:t>
      </w:r>
      <w:proofErr w:type="spellStart"/>
      <w:r w:rsidRPr="00AB0B42">
        <w:rPr>
          <w:color w:val="202124"/>
        </w:rPr>
        <w:t>proBNP</w:t>
      </w:r>
      <w:proofErr w:type="spellEnd"/>
      <w:r w:rsidRPr="00AB0B42">
        <w:rPr>
          <w:color w:val="202124"/>
        </w:rPr>
        <w:t xml:space="preserve">: </w:t>
      </w:r>
      <w:r w:rsidRPr="00AB0B42">
        <w:t>N-terminal prohormone of brain natriuretic peptide;</w:t>
      </w:r>
      <w:r w:rsidRPr="00AB0B42">
        <w:rPr>
          <w:color w:val="202124"/>
        </w:rPr>
        <w:t xml:space="preserve"> </w:t>
      </w:r>
      <w:proofErr w:type="spellStart"/>
      <w:r w:rsidRPr="00AB0B42">
        <w:rPr>
          <w:color w:val="202124"/>
        </w:rPr>
        <w:t>mEq</w:t>
      </w:r>
      <w:proofErr w:type="spellEnd"/>
      <w:r w:rsidRPr="00AB0B42">
        <w:rPr>
          <w:color w:val="202124"/>
        </w:rPr>
        <w:t>: milliequivalent; APACHE-II: Acute Physiology And Chronic Health Evaluation II.</w:t>
      </w:r>
      <w:r w:rsidR="00B63A12" w:rsidRPr="00AB0B42">
        <w:br w:type="page"/>
      </w:r>
    </w:p>
    <w:p w14:paraId="70C3883F" w14:textId="3E0F76DC" w:rsidR="00B63A12" w:rsidRPr="00AB0B42" w:rsidRDefault="00B63A12">
      <w:pPr>
        <w:rPr>
          <w:b/>
          <w:bCs/>
          <w:i/>
          <w:iCs/>
        </w:rPr>
      </w:pPr>
      <w:r w:rsidRPr="00AB0B42">
        <w:rPr>
          <w:b/>
          <w:bCs/>
          <w:i/>
          <w:iCs/>
        </w:rPr>
        <w:t>Table S</w:t>
      </w:r>
      <w:r w:rsidR="00801AF8">
        <w:rPr>
          <w:b/>
          <w:bCs/>
          <w:i/>
          <w:iCs/>
        </w:rPr>
        <w:t>2</w:t>
      </w:r>
      <w:r w:rsidRPr="00AB0B42">
        <w:rPr>
          <w:b/>
          <w:bCs/>
          <w:i/>
          <w:iCs/>
        </w:rPr>
        <w:t xml:space="preserve">. </w:t>
      </w:r>
      <w:r w:rsidR="00C600EA" w:rsidRPr="00AB0B42">
        <w:rPr>
          <w:b/>
          <w:bCs/>
        </w:rPr>
        <w:t>Absolute number and percentage of missing values for covariates in our study cohort</w:t>
      </w:r>
      <w:r w:rsidRPr="00AB0B42">
        <w:rPr>
          <w:b/>
          <w:bCs/>
        </w:rPr>
        <w:t>.</w:t>
      </w:r>
    </w:p>
    <w:tbl>
      <w:tblPr>
        <w:tblW w:w="0" w:type="auto"/>
        <w:tblCellMar>
          <w:top w:w="15" w:type="dxa"/>
          <w:left w:w="15" w:type="dxa"/>
          <w:bottom w:w="15" w:type="dxa"/>
          <w:right w:w="15" w:type="dxa"/>
        </w:tblCellMar>
        <w:tblLook w:val="04A0" w:firstRow="1" w:lastRow="0" w:firstColumn="1" w:lastColumn="0" w:noHBand="0" w:noVBand="1"/>
      </w:tblPr>
      <w:tblGrid>
        <w:gridCol w:w="2303"/>
        <w:gridCol w:w="3652"/>
        <w:gridCol w:w="3045"/>
      </w:tblGrid>
      <w:tr w:rsidR="00B63A12" w:rsidRPr="00AB0B42" w14:paraId="26321FFB" w14:textId="77777777" w:rsidTr="00B63A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C2054"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b/>
                <w:bCs/>
                <w:color w:val="000000" w:themeColor="text1"/>
                <w:bdr w:val="none" w:sz="0" w:space="0" w:color="auto"/>
                <w14:textOutline w14:w="0" w14:cap="rnd" w14:cmpd="sng" w14:algn="ctr">
                  <w14:noFill/>
                  <w14:prstDash w14:val="solid"/>
                  <w14:bevel/>
                </w14:textOutline>
              </w:rPr>
              <w:t>Parameter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10EA37"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b/>
                <w:bCs/>
                <w:color w:val="000000" w:themeColor="text1"/>
                <w:bdr w:val="none" w:sz="0" w:space="0" w:color="auto"/>
                <w14:textOutline w14:w="0" w14:cap="rnd" w14:cmpd="sng" w14:algn="ctr">
                  <w14:noFill/>
                  <w14:prstDash w14:val="solid"/>
                  <w14:bevel/>
                </w14:textOutline>
              </w:rPr>
              <w:t>Absolute number of missing values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F6268F"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b/>
                <w:bCs/>
                <w:color w:val="000000" w:themeColor="text1"/>
                <w:bdr w:val="none" w:sz="0" w:space="0" w:color="auto"/>
                <w14:textOutline w14:w="0" w14:cap="rnd" w14:cmpd="sng" w14:algn="ctr">
                  <w14:noFill/>
                  <w14:prstDash w14:val="solid"/>
                  <w14:bevel/>
                </w14:textOutline>
              </w:rPr>
              <w:t>Percentage of missing values</w:t>
            </w:r>
          </w:p>
        </w:tc>
      </w:tr>
      <w:tr w:rsidR="00B63A12" w:rsidRPr="00AB0B42" w14:paraId="09B1A8AB" w14:textId="77777777" w:rsidTr="00B63A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01A677"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Temperature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C0B9C"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189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61432"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10.88</w:t>
            </w:r>
          </w:p>
        </w:tc>
      </w:tr>
      <w:tr w:rsidR="00B63A12" w:rsidRPr="00AB0B42" w14:paraId="78ECFF9D" w14:textId="77777777" w:rsidTr="00B63A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A06E2D"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Arterial O</w:t>
            </w:r>
            <w:r w:rsidRPr="00AB0B42">
              <w:rPr>
                <w:rFonts w:eastAsia="Times New Roman" w:cs="Times New Roman"/>
                <w:color w:val="000000" w:themeColor="text1"/>
                <w:bdr w:val="none" w:sz="0" w:space="0" w:color="auto"/>
                <w:vertAlign w:val="subscript"/>
                <w14:textOutline w14:w="0" w14:cap="rnd" w14:cmpd="sng" w14:algn="ctr">
                  <w14:noFill/>
                  <w14:prstDash w14:val="solid"/>
                  <w14:bevel/>
                </w14:textOutline>
              </w:rPr>
              <w:t>2</w:t>
            </w:r>
            <w:r w:rsidRPr="00AB0B42">
              <w:rPr>
                <w:rFonts w:eastAsia="Times New Roman" w:cs="Times New Roman"/>
                <w:color w:val="000000" w:themeColor="text1"/>
                <w:bdr w:val="none" w:sz="0" w:space="0" w:color="auto"/>
                <w14:textOutline w14:w="0" w14:cap="rnd" w14:cmpd="sng" w14:algn="ctr">
                  <w14:noFill/>
                  <w14:prstDash w14:val="solid"/>
                  <w14:bevel/>
                </w14:textOutline>
              </w:rPr>
              <w:t xml:space="preserve"> pressure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AFAE2E"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114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BA020A"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6.56</w:t>
            </w:r>
          </w:p>
        </w:tc>
      </w:tr>
      <w:tr w:rsidR="00B63A12" w:rsidRPr="00AB0B42" w14:paraId="521E5C97" w14:textId="77777777" w:rsidTr="00B63A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171CE7"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Arterial pH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BC8EEE"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111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C3FF1A"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6.39</w:t>
            </w:r>
          </w:p>
        </w:tc>
      </w:tr>
      <w:tr w:rsidR="00B63A12" w:rsidRPr="00AB0B42" w14:paraId="3290DB20" w14:textId="77777777" w:rsidTr="00B63A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D2E604"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Creatinine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CF2D80"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29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115FB1"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1.67</w:t>
            </w:r>
          </w:p>
        </w:tc>
      </w:tr>
      <w:tr w:rsidR="00B63A12" w:rsidRPr="00AB0B42" w14:paraId="454CF659" w14:textId="77777777" w:rsidTr="00B63A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331B96"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Mean arterial pressure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635D7"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28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3C45C3"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1.61</w:t>
            </w:r>
          </w:p>
        </w:tc>
      </w:tr>
      <w:tr w:rsidR="00B63A12" w:rsidRPr="00AB0B42" w14:paraId="304C7783" w14:textId="77777777" w:rsidTr="00B63A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938A20" w14:textId="37051038"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Hematocrit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26C6A4"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F5353"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0.92</w:t>
            </w:r>
          </w:p>
        </w:tc>
      </w:tr>
      <w:tr w:rsidR="00B63A12" w:rsidRPr="00AB0B42" w14:paraId="7F9BFCC7" w14:textId="77777777" w:rsidTr="00B63A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91A6B3"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White blood cells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B4C6CA"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3B2234"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0.75</w:t>
            </w:r>
          </w:p>
        </w:tc>
      </w:tr>
      <w:tr w:rsidR="00B63A12" w:rsidRPr="00AB0B42" w14:paraId="22B6A2C6" w14:textId="77777777" w:rsidTr="00B63A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3D60F8"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Sodium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DDB8B"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9C27FC"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0.69</w:t>
            </w:r>
          </w:p>
        </w:tc>
      </w:tr>
      <w:tr w:rsidR="00B63A12" w:rsidRPr="00AB0B42" w14:paraId="08A7694A" w14:textId="77777777" w:rsidTr="00B63A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8F508F"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Potassium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12547E"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4037BF"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0.69</w:t>
            </w:r>
          </w:p>
        </w:tc>
      </w:tr>
      <w:tr w:rsidR="00B63A12" w:rsidRPr="00AB0B42" w14:paraId="5D52B42D" w14:textId="77777777" w:rsidTr="00B63A12">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7EF9A0"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Respiratory rate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B3C60"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881320" w14:textId="77777777" w:rsidR="00B63A12" w:rsidRPr="00AB0B42" w:rsidRDefault="00B63A12" w:rsidP="00B63A1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rPr>
                <w:rFonts w:eastAsia="Times New Roman" w:cs="Times New Roman"/>
                <w:color w:val="000000" w:themeColor="text1"/>
                <w:bdr w:val="none" w:sz="0" w:space="0" w:color="auto"/>
                <w14:textOutline w14:w="0" w14:cap="rnd" w14:cmpd="sng" w14:algn="ctr">
                  <w14:noFill/>
                  <w14:prstDash w14:val="solid"/>
                  <w14:bevel/>
                </w14:textOutline>
              </w:rPr>
            </w:pPr>
            <w:r w:rsidRPr="00AB0B42">
              <w:rPr>
                <w:rFonts w:eastAsia="Times New Roman" w:cs="Times New Roman"/>
                <w:color w:val="000000" w:themeColor="text1"/>
                <w:bdr w:val="none" w:sz="0" w:space="0" w:color="auto"/>
                <w14:textOutline w14:w="0" w14:cap="rnd" w14:cmpd="sng" w14:algn="ctr">
                  <w14:noFill/>
                  <w14:prstDash w14:val="solid"/>
                  <w14:bevel/>
                </w14:textOutline>
              </w:rPr>
              <w:t>0.06</w:t>
            </w:r>
          </w:p>
        </w:tc>
      </w:tr>
    </w:tbl>
    <w:p w14:paraId="2B0EDA46" w14:textId="77777777" w:rsidR="00B656EE" w:rsidRPr="00AB0B42" w:rsidRDefault="00B656EE">
      <w:pPr>
        <w:spacing w:line="240" w:lineRule="auto"/>
      </w:pPr>
      <w:r w:rsidRPr="00AB0B42">
        <w:br w:type="page"/>
      </w:r>
    </w:p>
    <w:p w14:paraId="4FF42710" w14:textId="77777777" w:rsidR="00596F51" w:rsidRPr="00AB0B42" w:rsidRDefault="005D0E98">
      <w:pPr>
        <w:pStyle w:val="Heading1"/>
      </w:pPr>
      <w:r w:rsidRPr="00AB0B42">
        <w:t>REFERENCES</w:t>
      </w:r>
    </w:p>
    <w:p w14:paraId="171B9E78" w14:textId="77777777" w:rsidR="00437491" w:rsidRPr="00437491" w:rsidRDefault="001618CD" w:rsidP="00437491">
      <w:pPr>
        <w:widowControl w:val="0"/>
        <w:autoSpaceDE w:val="0"/>
        <w:autoSpaceDN w:val="0"/>
        <w:adjustRightInd w:val="0"/>
        <w:rPr>
          <w:rFonts w:cs="Times New Roman"/>
        </w:rPr>
      </w:pPr>
      <w:r>
        <w:fldChar w:fldCharType="begin"/>
      </w:r>
      <w:r w:rsidR="00437491">
        <w:rPr>
          <w:lang w:val="de-DE"/>
        </w:rPr>
        <w:instrText xml:space="preserve"> ADDIN ZOTERO_BIBL {"uncited":[],"omitted":[],"custom":[]} CSL_BIBLIOGRAPHY </w:instrText>
      </w:r>
      <w:r>
        <w:fldChar w:fldCharType="separate"/>
      </w:r>
      <w:r w:rsidR="00437491" w:rsidRPr="00437491">
        <w:rPr>
          <w:rFonts w:cs="Times New Roman"/>
          <w:lang w:val="de-DE"/>
        </w:rPr>
        <w:t xml:space="preserve">1. von Elm E, Altman DG, Egger M, Pocock SJ, Gøtzsche PC, Vandenbroucke JP, et al. </w:t>
      </w:r>
      <w:r w:rsidR="00437491" w:rsidRPr="00437491">
        <w:rPr>
          <w:rFonts w:cs="Times New Roman"/>
        </w:rPr>
        <w:t xml:space="preserve">The Strengthening the Reporting of Observational Studies in Epidemiology (STROBE) statement: guidelines for reporting observational studies. PLoS Med. 2007;4:e296. </w:t>
      </w:r>
    </w:p>
    <w:p w14:paraId="199B23E8"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2. Benchimol EI, Smeeth L, Guttmann A, Harron K, Moher D, Petersen I, et al. The REporting of studies Conducted using Observational Routinely-collected health Data (RECORD) statement. PLoS Med. 2015;12:e1001885. </w:t>
      </w:r>
    </w:p>
    <w:p w14:paraId="6FBD4B9A"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3. Marcoulides KM, Raykov T. Evaluation of Variance Inflation Factors in Regression Models Using Latent Variable Modeling Methods. Educ Psychol Meas. 2019;79:874–82. </w:t>
      </w:r>
    </w:p>
    <w:p w14:paraId="4C0A485C" w14:textId="77777777" w:rsidR="00437491" w:rsidRPr="00437491" w:rsidRDefault="00437491" w:rsidP="00437491">
      <w:pPr>
        <w:widowControl w:val="0"/>
        <w:autoSpaceDE w:val="0"/>
        <w:autoSpaceDN w:val="0"/>
        <w:adjustRightInd w:val="0"/>
        <w:rPr>
          <w:rFonts w:cs="Times New Roman"/>
        </w:rPr>
      </w:pPr>
      <w:r w:rsidRPr="00437491">
        <w:rPr>
          <w:rFonts w:cs="Times New Roman"/>
        </w:rPr>
        <w:t>4. Logistic Regression for Matched Case-Control Studies. Appl Logist Regres [Internet]. Hoboken, NJ, USA: John Wiley &amp; Sons, Inc.; 2005 [cited 2022 Jul 5]. p. 223–59. Available from: https://onlinelibrary.wiley.com/doi/10.1002/0471722146.ch7</w:t>
      </w:r>
    </w:p>
    <w:p w14:paraId="4186BD2D"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5. Serpa Neto A, Deliberato RO, Johnson AEW, Bos LD, Amorim P, Pereira SM, et al. Mechanical power of ventilation is associated with mortality in critically ill patients: an analysis of patients in two observational cohorts. Intensive Care Med. 2018;44:1914–22. </w:t>
      </w:r>
    </w:p>
    <w:p w14:paraId="69143353"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6. Faul F, Erdfelder E, Lang A-G, Buchner A. G*Power 3: a flexible statistical power analysis program for the social, behavioral, and biomedical sciences. Behav Res Methods. 2007;39:175–91. </w:t>
      </w:r>
    </w:p>
    <w:p w14:paraId="4701D809"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7. Chiumello D, Gotti M, Guanziroli M, Formenti P, Umbrello M, Pasticci I, et al. Bedside calculation of mechanical power during volume- and pressure-controlled mechanical ventilation. Crit Care Lond Engl. 2020;24:417. </w:t>
      </w:r>
    </w:p>
    <w:p w14:paraId="2CC9A5CA"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8. Santer P, Wachtendorf LJ, Suleiman A, Houle TT, Fassbender P, Costa EL, et al. Mechanical Power during General Anesthesia and Postoperative Respiratory Failure: A Multicenter Retrospective Cohort Study. Anesthesiology. 2022;137:41–54. </w:t>
      </w:r>
    </w:p>
    <w:p w14:paraId="4EEA0C06" w14:textId="77777777" w:rsidR="00437491" w:rsidRPr="00437491" w:rsidRDefault="00437491" w:rsidP="00437491">
      <w:pPr>
        <w:widowControl w:val="0"/>
        <w:autoSpaceDE w:val="0"/>
        <w:autoSpaceDN w:val="0"/>
        <w:adjustRightInd w:val="0"/>
        <w:rPr>
          <w:rFonts w:cs="Times New Roman"/>
        </w:rPr>
      </w:pPr>
      <w:r w:rsidRPr="00437491">
        <w:rPr>
          <w:rFonts w:cs="Times New Roman"/>
          <w:lang w:val="de-DE"/>
        </w:rPr>
        <w:t xml:space="preserve">9. Knaus WA, Draper EA, Wagner DP, Zimmerman JE. </w:t>
      </w:r>
      <w:r w:rsidRPr="00437491">
        <w:rPr>
          <w:rFonts w:cs="Times New Roman"/>
        </w:rPr>
        <w:t xml:space="preserve">APACHE II: a severity of disease classification system. Crit Care Med. 1985;13:818–29. </w:t>
      </w:r>
    </w:p>
    <w:p w14:paraId="03DC33A0"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10. Elixhauser A, Steiner C, Harris DR, Coffey RM. Comorbidity measures for use with administrative data. Med Care. 1998;36:8–27. </w:t>
      </w:r>
    </w:p>
    <w:p w14:paraId="31B534C0"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11. Januzzi JL, van Kimmenade R, Lainchbury J, Bayes-Genis A, Ordonez-Llanos J, Santalo-Bel M, et al. NT-proBNP testing for diagnosis and short-term prognosis in acute destabilized heart failure: an international pooled analysis of 1256 patients: the International Collaborative of NT-proBNP Study. Eur Heart J. 2006;27:330–7. </w:t>
      </w:r>
    </w:p>
    <w:p w14:paraId="0FB5895D"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12. Shah S, Shah K, Patel SB, Patel FS, Osman M, Velagapudi P, et al. Elevated D-Dimer Levels Are Associated With Increased Risk of Mortality in Coronavirus Disease 2019: A Systematic Review and Meta-Analysis. Cardiol Rev. 2020;28:295–302. </w:t>
      </w:r>
    </w:p>
    <w:p w14:paraId="42635F92"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13. VanderWeele TJ. On the distinction between interaction and effect modification. Epidemiol Camb Mass. 2009;20:863–71. </w:t>
      </w:r>
    </w:p>
    <w:p w14:paraId="79563303"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14. Semler MW, Casey JD, Lloyd BD, Hastings PG, Hays MA, Stollings JL, et al. Oxygen-Saturation Targets for Critically Ill Adults Receiving Mechanical Ventilation. N Engl J Med. 2022;387:1759–69. </w:t>
      </w:r>
    </w:p>
    <w:p w14:paraId="7AEFE529"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15. Yehya N, Hodgson CL, Amato MBP, Richard J-C, Brochard LJ, Mercat A, et al. Response to Ventilator Adjustments for Predicting Acute Respiratory Distress Syndrome Mortality. Driving Pressure versus Oxygenation. Ann Am Thorac Soc. 2021;18:857–64. </w:t>
      </w:r>
    </w:p>
    <w:p w14:paraId="60374576"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16. Liu D, Cui P, Zeng S, Wang S, Feng X, Xu S, et al. Risk factors for developing into critical COVID-19 patients in Wuhan, China: A multicenter, retrospective, cohort study. EClinicalMedicine. 2020;25:100471. </w:t>
      </w:r>
    </w:p>
    <w:p w14:paraId="4370AB8A"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17. Moschovis PP, Lu M, Hayden D, Yonker LM, Lombay J, Taveras E, et al. Effect modification by age of the association between obstructive lung diseases, smoking, and COVID-19 severity. BMJ Open Respir Res. 2021;8:e001038. </w:t>
      </w:r>
    </w:p>
    <w:p w14:paraId="5471A7A5"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18. Sunderraj A, Cho C, Cai X, Gupta S, Mehta R, Isakova T, et al. Modulation of the Association Between Age and Death by Risk Factor Burden in Critically Ill Patients With COVID-19. Crit Care Explor. 2022;4:e0755. </w:t>
      </w:r>
    </w:p>
    <w:p w14:paraId="27394EF7"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19. Corraini P, Olsen M, Pedersen L, Dekkers OM, Vandenbroucke JP. Effect modification, interaction and mediation: an overview of theoretical insights for clinical investigators. Clin Epidemiol. 2017;9:331–8. </w:t>
      </w:r>
    </w:p>
    <w:p w14:paraId="5C973464"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20. Schuijt MTU, Schultz MJ, Paulus F, Serpa Neto A, PRoVENT–COVID Collaborative Group. Association of intensity of ventilation with 28-day mortality in COVID-19 patients with acute respiratory failure: insights from the PRoVENT-COVID study. Crit Care Lond Engl. 2021;25:283. </w:t>
      </w:r>
    </w:p>
    <w:p w14:paraId="2FC1D84A"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21. Baedorf Kassis E, Loring SH, Talmor D. Recruitment maneuvers: using transpulmonary pressure to help Goldilocks. Intensive Care Med. 2017;43:1162–3. </w:t>
      </w:r>
    </w:p>
    <w:p w14:paraId="3A93614E" w14:textId="77777777" w:rsidR="00437491" w:rsidRPr="00437491" w:rsidRDefault="00437491" w:rsidP="00437491">
      <w:pPr>
        <w:widowControl w:val="0"/>
        <w:autoSpaceDE w:val="0"/>
        <w:autoSpaceDN w:val="0"/>
        <w:adjustRightInd w:val="0"/>
        <w:rPr>
          <w:rFonts w:cs="Times New Roman"/>
        </w:rPr>
      </w:pPr>
      <w:r w:rsidRPr="00437491">
        <w:rPr>
          <w:rFonts w:cs="Times New Roman"/>
        </w:rPr>
        <w:t xml:space="preserve">22. Zhang Z, Zheng B, Liu N, Ge H, Hong Y. Mechanical power normalized to predicted body weight as a predictor of mortality in patients with acute respiratory distress syndrome. Intensive Care Med. 2019;45:856–64. </w:t>
      </w:r>
    </w:p>
    <w:p w14:paraId="29AF26A2" w14:textId="38FCCE08" w:rsidR="001618CD" w:rsidRPr="00AB0B42" w:rsidRDefault="001618CD" w:rsidP="00EA012A">
      <w:pPr>
        <w:spacing w:before="240"/>
      </w:pPr>
      <w:r>
        <w:fldChar w:fldCharType="end"/>
      </w:r>
    </w:p>
    <w:sectPr w:rsidR="001618CD" w:rsidRPr="00AB0B42" w:rsidSect="00665DC5">
      <w:headerReference w:type="default" r:id="rId10"/>
      <w:footerReference w:type="even" r:id="rId11"/>
      <w:footerReference w:type="default" r:id="rId12"/>
      <w:pgSz w:w="11900" w:h="16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6083B" w14:textId="77777777" w:rsidR="00F635F8" w:rsidRDefault="00F635F8">
      <w:pPr>
        <w:spacing w:line="240" w:lineRule="auto"/>
      </w:pPr>
      <w:r>
        <w:separator/>
      </w:r>
    </w:p>
  </w:endnote>
  <w:endnote w:type="continuationSeparator" w:id="0">
    <w:p w14:paraId="2335E515" w14:textId="77777777" w:rsidR="00F635F8" w:rsidRDefault="00F635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E50002FF" w:usb1="500079DB" w:usb2="00000010" w:usb3="00000000" w:csb0="00000001" w:csb1="00000000"/>
  </w:font>
  <w:font w:name="TimesNewRomanPSMT">
    <w:altName w:val="Yu Gothic"/>
    <w:charset w:val="00"/>
    <w:family w:val="roman"/>
    <w:pitch w:val="default"/>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49075056"/>
      <w:docPartObj>
        <w:docPartGallery w:val="Page Numbers (Bottom of Page)"/>
        <w:docPartUnique/>
      </w:docPartObj>
    </w:sdtPr>
    <w:sdtContent>
      <w:p w14:paraId="046D7D76" w14:textId="0C3FE601" w:rsidR="00CF0C75" w:rsidRDefault="00CF0C75" w:rsidP="004A30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0B8155" w14:textId="77777777" w:rsidR="00CF0C75" w:rsidRDefault="00CF0C75" w:rsidP="00CF0C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568677"/>
      <w:docPartObj>
        <w:docPartGallery w:val="Page Numbers (Bottom of Page)"/>
        <w:docPartUnique/>
      </w:docPartObj>
    </w:sdtPr>
    <w:sdtContent>
      <w:p w14:paraId="6AAB03A8" w14:textId="00DB60C7" w:rsidR="00CF0C75" w:rsidRDefault="00CF0C75" w:rsidP="004A30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10AC34" w14:textId="77777777" w:rsidR="00CF0C75" w:rsidRDefault="00CF0C75" w:rsidP="00CF0C7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EF60C" w14:textId="77777777" w:rsidR="00F635F8" w:rsidRDefault="00F635F8">
      <w:pPr>
        <w:spacing w:line="240" w:lineRule="auto"/>
      </w:pPr>
      <w:r>
        <w:separator/>
      </w:r>
    </w:p>
  </w:footnote>
  <w:footnote w:type="continuationSeparator" w:id="0">
    <w:p w14:paraId="7D7BFEE3" w14:textId="77777777" w:rsidR="00F635F8" w:rsidRDefault="00F635F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ED0EE" w14:textId="6995B1AC" w:rsidR="00596F51" w:rsidRDefault="00596F51">
    <w:pPr>
      <w:tabs>
        <w:tab w:val="center" w:pos="4680"/>
        <w:tab w:val="right" w:pos="9000"/>
      </w:tabs>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046FCB"/>
    <w:multiLevelType w:val="multilevel"/>
    <w:tmpl w:val="FB92A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077766"/>
    <w:multiLevelType w:val="multilevel"/>
    <w:tmpl w:val="9912B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395817">
    <w:abstractNumId w:val="1"/>
  </w:num>
  <w:num w:numId="2" w16cid:durableId="164281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F51"/>
    <w:rsid w:val="0002236D"/>
    <w:rsid w:val="000916D6"/>
    <w:rsid w:val="0014132A"/>
    <w:rsid w:val="001618CD"/>
    <w:rsid w:val="00165280"/>
    <w:rsid w:val="001D16AB"/>
    <w:rsid w:val="00272929"/>
    <w:rsid w:val="00290B6A"/>
    <w:rsid w:val="003A74AF"/>
    <w:rsid w:val="003E2826"/>
    <w:rsid w:val="00437491"/>
    <w:rsid w:val="00490B59"/>
    <w:rsid w:val="004944EB"/>
    <w:rsid w:val="004E1AFF"/>
    <w:rsid w:val="00596F51"/>
    <w:rsid w:val="005A5701"/>
    <w:rsid w:val="005C5AD1"/>
    <w:rsid w:val="005D0E98"/>
    <w:rsid w:val="005E6A43"/>
    <w:rsid w:val="006150F5"/>
    <w:rsid w:val="00645E3F"/>
    <w:rsid w:val="00665DC5"/>
    <w:rsid w:val="00676540"/>
    <w:rsid w:val="00693B68"/>
    <w:rsid w:val="00743AC5"/>
    <w:rsid w:val="00760946"/>
    <w:rsid w:val="00801AF8"/>
    <w:rsid w:val="00875386"/>
    <w:rsid w:val="008B2B1B"/>
    <w:rsid w:val="008B2B31"/>
    <w:rsid w:val="0090481A"/>
    <w:rsid w:val="00945080"/>
    <w:rsid w:val="00980D19"/>
    <w:rsid w:val="00A3346C"/>
    <w:rsid w:val="00A367F4"/>
    <w:rsid w:val="00A41538"/>
    <w:rsid w:val="00AB0B42"/>
    <w:rsid w:val="00AD3A2C"/>
    <w:rsid w:val="00B21133"/>
    <w:rsid w:val="00B35EA6"/>
    <w:rsid w:val="00B45A17"/>
    <w:rsid w:val="00B63A12"/>
    <w:rsid w:val="00B656EE"/>
    <w:rsid w:val="00BA62E9"/>
    <w:rsid w:val="00C600EA"/>
    <w:rsid w:val="00CB32D2"/>
    <w:rsid w:val="00CC11C1"/>
    <w:rsid w:val="00CF0C75"/>
    <w:rsid w:val="00D30647"/>
    <w:rsid w:val="00DE66FF"/>
    <w:rsid w:val="00DF0122"/>
    <w:rsid w:val="00DF2E23"/>
    <w:rsid w:val="00E058EC"/>
    <w:rsid w:val="00E26A30"/>
    <w:rsid w:val="00E5206E"/>
    <w:rsid w:val="00EA012A"/>
    <w:rsid w:val="00F5323F"/>
    <w:rsid w:val="00F635F8"/>
    <w:rsid w:val="00F66E99"/>
    <w:rsid w:val="00F708E4"/>
    <w:rsid w:val="00FC2749"/>
    <w:rsid w:val="00FF6F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382DC"/>
  <w15:docId w15:val="{14BBD774-E164-0145-A8A7-F96DEB3F8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80" w:lineRule="auto"/>
    </w:pPr>
    <w:rPr>
      <w:rFonts w:cs="Arial Unicode MS"/>
      <w:color w:val="000000"/>
      <w:sz w:val="24"/>
      <w:szCs w:val="24"/>
      <w:u w:color="000000"/>
      <w:lang w:val="en-US"/>
      <w14:textOutline w14:w="0" w14:cap="flat" w14:cmpd="sng" w14:algn="ctr">
        <w14:noFill/>
        <w14:prstDash w14:val="solid"/>
        <w14:bevel/>
      </w14:textOutline>
    </w:rPr>
  </w:style>
  <w:style w:type="paragraph" w:styleId="Heading1">
    <w:name w:val="heading 1"/>
    <w:next w:val="Normal"/>
    <w:uiPriority w:val="9"/>
    <w:qFormat/>
    <w:pPr>
      <w:keepNext/>
      <w:keepLines/>
      <w:spacing w:before="240" w:after="240" w:line="480" w:lineRule="auto"/>
      <w:jc w:val="both"/>
      <w:outlineLvl w:val="0"/>
    </w:pPr>
    <w:rPr>
      <w:rFonts w:cs="Arial Unicode MS"/>
      <w:b/>
      <w:bCs/>
      <w:color w:val="000000"/>
      <w:sz w:val="24"/>
      <w:szCs w:val="24"/>
      <w:u w:color="000000"/>
      <w:lang w:val="en-US"/>
    </w:rPr>
  </w:style>
  <w:style w:type="paragraph" w:styleId="Heading2">
    <w:name w:val="heading 2"/>
    <w:next w:val="Normal"/>
    <w:link w:val="Heading2Char"/>
    <w:uiPriority w:val="9"/>
    <w:unhideWhenUsed/>
    <w:qFormat/>
    <w:pPr>
      <w:keepNext/>
      <w:keepLines/>
      <w:spacing w:before="200" w:line="480" w:lineRule="auto"/>
      <w:jc w:val="both"/>
      <w:outlineLvl w:val="1"/>
    </w:pPr>
    <w:rPr>
      <w:rFonts w:cs="Arial Unicode MS"/>
      <w:b/>
      <w:bCs/>
      <w:i/>
      <w:iCs/>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OC1">
    <w:name w:val="toc 1"/>
    <w:next w:val="Normal"/>
    <w:pPr>
      <w:spacing w:after="100" w:line="480" w:lineRule="auto"/>
    </w:pPr>
    <w:rPr>
      <w:rFonts w:cs="Arial Unicode MS"/>
      <w:color w:val="000000"/>
      <w:sz w:val="24"/>
      <w:szCs w:val="24"/>
      <w:u w:color="000000"/>
      <w:lang w:val="en-US"/>
    </w:rPr>
  </w:style>
  <w:style w:type="paragraph" w:styleId="TOC2">
    <w:name w:val="toc 2"/>
    <w:next w:val="Normal"/>
    <w:pPr>
      <w:tabs>
        <w:tab w:val="right" w:pos="9019"/>
      </w:tabs>
      <w:spacing w:after="100" w:line="480" w:lineRule="auto"/>
      <w:ind w:left="240"/>
    </w:pPr>
    <w:rPr>
      <w:rFonts w:cs="Arial Unicode MS"/>
      <w:color w:val="000000"/>
      <w:sz w:val="24"/>
      <w:szCs w:val="24"/>
      <w:u w:color="000000"/>
      <w:lang w:val="en-US"/>
    </w:rPr>
  </w:style>
  <w:style w:type="paragraph" w:styleId="Header">
    <w:name w:val="header"/>
    <w:basedOn w:val="Normal"/>
    <w:link w:val="HeaderChar"/>
    <w:uiPriority w:val="99"/>
    <w:unhideWhenUsed/>
    <w:rsid w:val="00CF0C75"/>
    <w:pPr>
      <w:tabs>
        <w:tab w:val="center" w:pos="4536"/>
        <w:tab w:val="right" w:pos="9072"/>
      </w:tabs>
      <w:spacing w:line="240" w:lineRule="auto"/>
    </w:pPr>
  </w:style>
  <w:style w:type="character" w:customStyle="1" w:styleId="HeaderChar">
    <w:name w:val="Header Char"/>
    <w:basedOn w:val="DefaultParagraphFont"/>
    <w:link w:val="Header"/>
    <w:uiPriority w:val="99"/>
    <w:rsid w:val="00CF0C75"/>
    <w:rPr>
      <w:rFonts w:cs="Arial Unicode MS"/>
      <w:color w:val="000000"/>
      <w:sz w:val="24"/>
      <w:szCs w:val="24"/>
      <w:u w:color="000000"/>
      <w:lang w:val="en-US"/>
      <w14:textOutline w14:w="0" w14:cap="flat" w14:cmpd="sng" w14:algn="ctr">
        <w14:noFill/>
        <w14:prstDash w14:val="solid"/>
        <w14:bevel/>
      </w14:textOutline>
    </w:rPr>
  </w:style>
  <w:style w:type="paragraph" w:styleId="Footer">
    <w:name w:val="footer"/>
    <w:basedOn w:val="Normal"/>
    <w:link w:val="FooterChar"/>
    <w:uiPriority w:val="99"/>
    <w:unhideWhenUsed/>
    <w:rsid w:val="00CF0C75"/>
    <w:pPr>
      <w:tabs>
        <w:tab w:val="center" w:pos="4536"/>
        <w:tab w:val="right" w:pos="9072"/>
      </w:tabs>
      <w:spacing w:line="240" w:lineRule="auto"/>
    </w:pPr>
  </w:style>
  <w:style w:type="character" w:customStyle="1" w:styleId="FooterChar">
    <w:name w:val="Footer Char"/>
    <w:basedOn w:val="DefaultParagraphFont"/>
    <w:link w:val="Footer"/>
    <w:uiPriority w:val="99"/>
    <w:rsid w:val="00CF0C75"/>
    <w:rPr>
      <w:rFonts w:cs="Arial Unicode MS"/>
      <w:color w:val="000000"/>
      <w:sz w:val="24"/>
      <w:szCs w:val="24"/>
      <w:u w:color="000000"/>
      <w:lang w:val="en-US"/>
      <w14:textOutline w14:w="0" w14:cap="flat" w14:cmpd="sng" w14:algn="ctr">
        <w14:noFill/>
        <w14:prstDash w14:val="solid"/>
        <w14:bevel/>
      </w14:textOutline>
    </w:rPr>
  </w:style>
  <w:style w:type="character" w:styleId="PageNumber">
    <w:name w:val="page number"/>
    <w:basedOn w:val="DefaultParagraphFont"/>
    <w:uiPriority w:val="99"/>
    <w:semiHidden/>
    <w:unhideWhenUsed/>
    <w:rsid w:val="00CF0C75"/>
  </w:style>
  <w:style w:type="character" w:styleId="LineNumber">
    <w:name w:val="line number"/>
    <w:basedOn w:val="DefaultParagraphFont"/>
    <w:uiPriority w:val="99"/>
    <w:semiHidden/>
    <w:unhideWhenUsed/>
    <w:rsid w:val="0014132A"/>
  </w:style>
  <w:style w:type="paragraph" w:styleId="NormalWeb">
    <w:name w:val="Normal (Web)"/>
    <w:basedOn w:val="Normal"/>
    <w:uiPriority w:val="99"/>
    <w:semiHidden/>
    <w:unhideWhenUsed/>
    <w:rsid w:val="00B63A1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eastAsia="Times New Roman" w:cs="Times New Roman"/>
      <w:color w:val="auto"/>
      <w:bdr w:val="none" w:sz="0" w:space="0" w:color="auto"/>
      <w:lang w:val="de-DE"/>
      <w14:textOutline w14:w="0" w14:cap="rnd" w14:cmpd="sng" w14:algn="ctr">
        <w14:noFill/>
        <w14:prstDash w14:val="solid"/>
        <w14:bevel/>
      </w14:textOutline>
    </w:rPr>
  </w:style>
  <w:style w:type="character" w:customStyle="1" w:styleId="Heading2Char">
    <w:name w:val="Heading 2 Char"/>
    <w:basedOn w:val="DefaultParagraphFont"/>
    <w:link w:val="Heading2"/>
    <w:uiPriority w:val="9"/>
    <w:rsid w:val="00290B6A"/>
    <w:rPr>
      <w:rFonts w:cs="Arial Unicode MS"/>
      <w:b/>
      <w:bCs/>
      <w:i/>
      <w:iCs/>
      <w:color w:val="000000"/>
      <w:sz w:val="24"/>
      <w:szCs w:val="24"/>
      <w:u w:color="000000"/>
      <w:lang w:val="en-US"/>
    </w:rPr>
  </w:style>
  <w:style w:type="table" w:styleId="TableGrid">
    <w:name w:val="Table Grid"/>
    <w:basedOn w:val="TableNormal"/>
    <w:uiPriority w:val="59"/>
    <w:rsid w:val="00743AC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iteraturverzeichnis1">
    <w:name w:val="Literaturverzeichnis1"/>
    <w:basedOn w:val="Normal"/>
    <w:link w:val="BibliographyZchn"/>
    <w:rsid w:val="001618CD"/>
    <w:pPr>
      <w:spacing w:before="240" w:after="240" w:line="240" w:lineRule="auto"/>
    </w:pPr>
  </w:style>
  <w:style w:type="character" w:customStyle="1" w:styleId="BibliographyZchn">
    <w:name w:val="Bibliography Zchn"/>
    <w:basedOn w:val="DefaultParagraphFont"/>
    <w:link w:val="Literaturverzeichnis1"/>
    <w:rsid w:val="001618CD"/>
    <w:rPr>
      <w:rFonts w:cs="Arial Unicode MS"/>
      <w:color w:val="000000"/>
      <w:sz w:val="24"/>
      <w:szCs w:val="24"/>
      <w:u w:color="000000"/>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64909">
      <w:bodyDiv w:val="1"/>
      <w:marLeft w:val="0"/>
      <w:marRight w:val="0"/>
      <w:marTop w:val="0"/>
      <w:marBottom w:val="0"/>
      <w:divBdr>
        <w:top w:val="none" w:sz="0" w:space="0" w:color="auto"/>
        <w:left w:val="none" w:sz="0" w:space="0" w:color="auto"/>
        <w:bottom w:val="none" w:sz="0" w:space="0" w:color="auto"/>
        <w:right w:val="none" w:sz="0" w:space="0" w:color="auto"/>
      </w:divBdr>
    </w:div>
    <w:div w:id="102311614">
      <w:bodyDiv w:val="1"/>
      <w:marLeft w:val="0"/>
      <w:marRight w:val="0"/>
      <w:marTop w:val="0"/>
      <w:marBottom w:val="0"/>
      <w:divBdr>
        <w:top w:val="none" w:sz="0" w:space="0" w:color="auto"/>
        <w:left w:val="none" w:sz="0" w:space="0" w:color="auto"/>
        <w:bottom w:val="none" w:sz="0" w:space="0" w:color="auto"/>
        <w:right w:val="none" w:sz="0" w:space="0" w:color="auto"/>
      </w:divBdr>
    </w:div>
    <w:div w:id="380442266">
      <w:bodyDiv w:val="1"/>
      <w:marLeft w:val="0"/>
      <w:marRight w:val="0"/>
      <w:marTop w:val="0"/>
      <w:marBottom w:val="0"/>
      <w:divBdr>
        <w:top w:val="none" w:sz="0" w:space="0" w:color="auto"/>
        <w:left w:val="none" w:sz="0" w:space="0" w:color="auto"/>
        <w:bottom w:val="none" w:sz="0" w:space="0" w:color="auto"/>
        <w:right w:val="none" w:sz="0" w:space="0" w:color="auto"/>
      </w:divBdr>
    </w:div>
    <w:div w:id="1073621431">
      <w:bodyDiv w:val="1"/>
      <w:marLeft w:val="0"/>
      <w:marRight w:val="0"/>
      <w:marTop w:val="0"/>
      <w:marBottom w:val="0"/>
      <w:divBdr>
        <w:top w:val="none" w:sz="0" w:space="0" w:color="auto"/>
        <w:left w:val="none" w:sz="0" w:space="0" w:color="auto"/>
        <w:bottom w:val="none" w:sz="0" w:space="0" w:color="auto"/>
        <w:right w:val="none" w:sz="0" w:space="0" w:color="auto"/>
      </w:divBdr>
      <w:divsChild>
        <w:div w:id="1689020308">
          <w:marLeft w:val="0"/>
          <w:marRight w:val="0"/>
          <w:marTop w:val="0"/>
          <w:marBottom w:val="0"/>
          <w:divBdr>
            <w:top w:val="none" w:sz="0" w:space="0" w:color="auto"/>
            <w:left w:val="none" w:sz="0" w:space="0" w:color="auto"/>
            <w:bottom w:val="none" w:sz="0" w:space="0" w:color="auto"/>
            <w:right w:val="none" w:sz="0" w:space="0" w:color="auto"/>
          </w:divBdr>
          <w:divsChild>
            <w:div w:id="473958229">
              <w:marLeft w:val="0"/>
              <w:marRight w:val="0"/>
              <w:marTop w:val="0"/>
              <w:marBottom w:val="0"/>
              <w:divBdr>
                <w:top w:val="none" w:sz="0" w:space="0" w:color="auto"/>
                <w:left w:val="none" w:sz="0" w:space="0" w:color="auto"/>
                <w:bottom w:val="none" w:sz="0" w:space="0" w:color="auto"/>
                <w:right w:val="none" w:sz="0" w:space="0" w:color="auto"/>
              </w:divBdr>
              <w:divsChild>
                <w:div w:id="100906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071325">
      <w:bodyDiv w:val="1"/>
      <w:marLeft w:val="0"/>
      <w:marRight w:val="0"/>
      <w:marTop w:val="0"/>
      <w:marBottom w:val="0"/>
      <w:divBdr>
        <w:top w:val="none" w:sz="0" w:space="0" w:color="auto"/>
        <w:left w:val="none" w:sz="0" w:space="0" w:color="auto"/>
        <w:bottom w:val="none" w:sz="0" w:space="0" w:color="auto"/>
        <w:right w:val="none" w:sz="0" w:space="0" w:color="auto"/>
      </w:divBdr>
      <w:divsChild>
        <w:div w:id="485246035">
          <w:marLeft w:val="0"/>
          <w:marRight w:val="0"/>
          <w:marTop w:val="0"/>
          <w:marBottom w:val="0"/>
          <w:divBdr>
            <w:top w:val="none" w:sz="0" w:space="0" w:color="auto"/>
            <w:left w:val="none" w:sz="0" w:space="0" w:color="auto"/>
            <w:bottom w:val="none" w:sz="0" w:space="0" w:color="auto"/>
            <w:right w:val="none" w:sz="0" w:space="0" w:color="auto"/>
          </w:divBdr>
          <w:divsChild>
            <w:div w:id="1109086534">
              <w:marLeft w:val="0"/>
              <w:marRight w:val="0"/>
              <w:marTop w:val="0"/>
              <w:marBottom w:val="0"/>
              <w:divBdr>
                <w:top w:val="none" w:sz="0" w:space="0" w:color="auto"/>
                <w:left w:val="none" w:sz="0" w:space="0" w:color="auto"/>
                <w:bottom w:val="none" w:sz="0" w:space="0" w:color="auto"/>
                <w:right w:val="none" w:sz="0" w:space="0" w:color="auto"/>
              </w:divBdr>
              <w:divsChild>
                <w:div w:id="10357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81246">
      <w:bodyDiv w:val="1"/>
      <w:marLeft w:val="0"/>
      <w:marRight w:val="0"/>
      <w:marTop w:val="0"/>
      <w:marBottom w:val="0"/>
      <w:divBdr>
        <w:top w:val="none" w:sz="0" w:space="0" w:color="auto"/>
        <w:left w:val="none" w:sz="0" w:space="0" w:color="auto"/>
        <w:bottom w:val="none" w:sz="0" w:space="0" w:color="auto"/>
        <w:right w:val="none" w:sz="0" w:space="0" w:color="auto"/>
      </w:divBdr>
    </w:div>
    <w:div w:id="2059619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1108A-3BAD-994E-B59D-C2636A925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12546</Words>
  <Characters>71513</Characters>
  <Application>Microsoft Office Word</Application>
  <DocSecurity>0</DocSecurity>
  <Lines>595</Lines>
  <Paragraphs>167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Indhumathi S Sukumar K</cp:lastModifiedBy>
  <cp:revision>3</cp:revision>
  <cp:lastPrinted>2023-01-04T21:21:00Z</cp:lastPrinted>
  <dcterms:created xsi:type="dcterms:W3CDTF">2023-03-19T19:05:00Z</dcterms:created>
  <dcterms:modified xsi:type="dcterms:W3CDTF">2023-03-31T07:21:00Z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zotero-version="6.0.23"&gt;&lt;session id="JiMW8Zju"/&gt;&lt;style id="http://www.zotero.org/styles/journal-of-intensive-care" hasBibliography="1" bibliographyStyleHasBeenSet="1"/&gt;&lt;prefs&gt;&lt;pref name="fieldType" value="Field"/&gt;&lt;pref name="automat</vt:lpwstr>
  </property>
  <property fmtid="{D5CDD505-2E9C-101B-9397-08002B2CF9AE}" pid="3" name="ZOTERO_PREF_2">
    <vt:lpwstr>icJournalAbbreviations" value="true"/&gt;&lt;/prefs&gt;&lt;/data&gt;</vt:lpwstr>
  </property>
</Properties>
</file>