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121" w:rsidRDefault="00EC7E26">
      <w:pPr>
        <w:pStyle w:val="Heading1"/>
        <w:widowControl/>
        <w:spacing w:line="480" w:lineRule="auto"/>
        <w:jc w:val="center"/>
        <w:rPr>
          <w:rFonts w:ascii="Times New Roman" w:hAnsi="Times New Roman" w:cs="Times New Roman"/>
          <w:sz w:val="32"/>
          <w:szCs w:val="32"/>
        </w:rPr>
      </w:pPr>
      <w:bookmarkStart w:id="0" w:name="_GoBack"/>
      <w:r>
        <w:rPr>
          <w:rFonts w:ascii="Times New Roman" w:hAnsi="Times New Roman" w:cs="Times New Roman"/>
          <w:sz w:val="32"/>
          <w:szCs w:val="32"/>
        </w:rPr>
        <w:t xml:space="preserve">Low Expression of CD39 </w:t>
      </w:r>
      <w:r>
        <w:rPr>
          <w:rFonts w:ascii="Times New Roman" w:hAnsi="Times New Roman" w:cs="Times New Roman" w:hint="eastAsia"/>
          <w:sz w:val="32"/>
          <w:szCs w:val="32"/>
        </w:rPr>
        <w:t>o</w:t>
      </w:r>
      <w:r>
        <w:rPr>
          <w:rFonts w:ascii="Times New Roman" w:hAnsi="Times New Roman" w:cs="Times New Roman"/>
          <w:sz w:val="32"/>
          <w:szCs w:val="32"/>
        </w:rPr>
        <w:t xml:space="preserve">n Monocytes Predicts Poor Survival </w:t>
      </w:r>
      <w:r>
        <w:rPr>
          <w:rFonts w:ascii="Times New Roman" w:hAnsi="Times New Roman" w:cs="Times New Roman" w:hint="eastAsia"/>
          <w:sz w:val="32"/>
          <w:szCs w:val="32"/>
        </w:rPr>
        <w:t>in</w:t>
      </w:r>
      <w:r>
        <w:rPr>
          <w:rFonts w:ascii="Times New Roman" w:hAnsi="Times New Roman" w:cs="Times New Roman"/>
          <w:sz w:val="32"/>
          <w:szCs w:val="32"/>
        </w:rPr>
        <w:t xml:space="preserve"> Sepsis Patients</w:t>
      </w:r>
    </w:p>
    <w:p w:rsidR="003C2121" w:rsidRDefault="00EC7E26">
      <w:pPr>
        <w:spacing w:line="480" w:lineRule="auto"/>
        <w:jc w:val="center"/>
        <w:rPr>
          <w:rFonts w:ascii="Times New Roman" w:hAnsi="Times New Roman" w:cs="Times New Roman"/>
          <w:sz w:val="24"/>
          <w:szCs w:val="24"/>
        </w:rPr>
      </w:pPr>
      <w:r>
        <w:rPr>
          <w:rFonts w:ascii="Times New Roman" w:hAnsi="Times New Roman" w:cs="Times New Roman"/>
          <w:sz w:val="24"/>
          <w:szCs w:val="24"/>
        </w:rPr>
        <w:t>Hangyang Li</w:t>
      </w:r>
      <w:r>
        <w:rPr>
          <w:rFonts w:ascii="Times New Roman" w:eastAsia="DengXian" w:hAnsi="Times New Roman" w:cs="Times New Roman"/>
          <w:sz w:val="24"/>
          <w:szCs w:val="24"/>
        </w:rPr>
        <w:t xml:space="preserve">, </w:t>
      </w:r>
      <w:r>
        <w:rPr>
          <w:rFonts w:ascii="Times New Roman" w:hAnsi="Times New Roman" w:cs="Times New Roman"/>
          <w:sz w:val="24"/>
          <w:szCs w:val="24"/>
        </w:rPr>
        <w:t>Peili Ding</w:t>
      </w:r>
      <w:r>
        <w:rPr>
          <w:rFonts w:ascii="Times New Roman" w:eastAsia="DengXian" w:hAnsi="Times New Roman" w:cs="Times New Roman"/>
          <w:sz w:val="24"/>
          <w:szCs w:val="24"/>
        </w:rPr>
        <w:t xml:space="preserve">, </w:t>
      </w:r>
      <w:r>
        <w:rPr>
          <w:rFonts w:ascii="Times New Roman" w:hAnsi="Times New Roman" w:cs="Times New Roman"/>
          <w:sz w:val="24"/>
          <w:szCs w:val="24"/>
        </w:rPr>
        <w:t>Yuyu Nan</w:t>
      </w:r>
      <w:r>
        <w:rPr>
          <w:rFonts w:ascii="Times New Roman" w:eastAsia="DengXian" w:hAnsi="Times New Roman" w:cs="Times New Roman"/>
          <w:sz w:val="24"/>
          <w:szCs w:val="24"/>
        </w:rPr>
        <w:t xml:space="preserve">, </w:t>
      </w:r>
      <w:r>
        <w:rPr>
          <w:rFonts w:ascii="Times New Roman" w:hAnsi="Times New Roman" w:cs="Times New Roman"/>
          <w:sz w:val="24"/>
          <w:szCs w:val="24"/>
        </w:rPr>
        <w:t>Zhenping Wu</w:t>
      </w:r>
      <w:r>
        <w:rPr>
          <w:rFonts w:ascii="Times New Roman" w:eastAsia="DengXian" w:hAnsi="Times New Roman" w:cs="Times New Roman"/>
          <w:sz w:val="24"/>
          <w:szCs w:val="24"/>
        </w:rPr>
        <w:t xml:space="preserve">, </w:t>
      </w:r>
      <w:r>
        <w:rPr>
          <w:rFonts w:ascii="Times New Roman" w:hAnsi="Times New Roman" w:cs="Times New Roman"/>
          <w:sz w:val="24"/>
          <w:szCs w:val="24"/>
        </w:rPr>
        <w:t>Ning Hua</w:t>
      </w:r>
      <w:r>
        <w:rPr>
          <w:rFonts w:ascii="Times New Roman" w:eastAsia="DengXian" w:hAnsi="Times New Roman" w:cs="Times New Roman"/>
          <w:sz w:val="24"/>
          <w:szCs w:val="24"/>
        </w:rPr>
        <w:t xml:space="preserve">, </w:t>
      </w:r>
      <w:r>
        <w:rPr>
          <w:rFonts w:ascii="Times New Roman" w:eastAsia="DengXian" w:hAnsi="Times New Roman" w:cs="Times New Roman" w:hint="eastAsia"/>
          <w:sz w:val="24"/>
          <w:szCs w:val="24"/>
        </w:rPr>
        <w:t xml:space="preserve">Lixi Luo, </w:t>
      </w:r>
      <w:r>
        <w:rPr>
          <w:rFonts w:ascii="Times New Roman" w:hAnsi="Times New Roman" w:cs="Times New Roman" w:hint="eastAsia"/>
          <w:sz w:val="24"/>
          <w:szCs w:val="24"/>
        </w:rPr>
        <w:t xml:space="preserve">Qinghua Ji, </w:t>
      </w:r>
      <w:r>
        <w:rPr>
          <w:rFonts w:ascii="Times New Roman" w:hAnsi="Times New Roman" w:cs="Times New Roman"/>
          <w:sz w:val="24"/>
          <w:szCs w:val="24"/>
        </w:rPr>
        <w:t>Fangfang Huang</w:t>
      </w:r>
      <w:r>
        <w:rPr>
          <w:rFonts w:ascii="Times New Roman" w:eastAsia="DengXian" w:hAnsi="Times New Roman" w:cs="Times New Roman"/>
          <w:sz w:val="24"/>
          <w:szCs w:val="24"/>
        </w:rPr>
        <w:t xml:space="preserve">, </w:t>
      </w:r>
      <w:r>
        <w:rPr>
          <w:rFonts w:ascii="Times New Roman" w:hAnsi="Times New Roman" w:cs="Times New Roman"/>
          <w:sz w:val="24"/>
          <w:szCs w:val="24"/>
        </w:rPr>
        <w:t>Guobin Wang</w:t>
      </w:r>
      <w:r>
        <w:rPr>
          <w:rFonts w:ascii="Times New Roman" w:eastAsia="DengXian" w:hAnsi="Times New Roman" w:cs="Times New Roman"/>
          <w:sz w:val="24"/>
          <w:szCs w:val="24"/>
        </w:rPr>
        <w:t xml:space="preserve">, </w:t>
      </w:r>
      <w:r>
        <w:rPr>
          <w:rFonts w:ascii="Times New Roman" w:hAnsi="Times New Roman" w:cs="Times New Roman"/>
          <w:sz w:val="24"/>
          <w:szCs w:val="24"/>
        </w:rPr>
        <w:t>Hongliu Cai</w:t>
      </w:r>
      <w:r>
        <w:rPr>
          <w:rFonts w:ascii="Times New Roman" w:eastAsia="DengXian" w:hAnsi="Times New Roman" w:cs="Times New Roman"/>
          <w:sz w:val="24"/>
          <w:szCs w:val="24"/>
        </w:rPr>
        <w:t xml:space="preserve">, </w:t>
      </w:r>
      <w:r>
        <w:rPr>
          <w:rFonts w:ascii="Times New Roman" w:hAnsi="Times New Roman" w:cs="Times New Roman"/>
          <w:sz w:val="24"/>
          <w:szCs w:val="24"/>
        </w:rPr>
        <w:t>Saiping Jiang</w:t>
      </w:r>
      <w:r>
        <w:rPr>
          <w:rFonts w:ascii="Times New Roman" w:eastAsia="DengXian" w:hAnsi="Times New Roman" w:cs="Times New Roman"/>
          <w:sz w:val="24"/>
          <w:szCs w:val="24"/>
        </w:rPr>
        <w:t>,</w:t>
      </w:r>
      <w:r>
        <w:rPr>
          <w:rFonts w:ascii="Times New Roman" w:eastAsia="DengXian" w:hAnsi="Times New Roman" w:cs="Times New Roman" w:hint="eastAsia"/>
          <w:sz w:val="24"/>
          <w:szCs w:val="24"/>
        </w:rPr>
        <w:t xml:space="preserve"> </w:t>
      </w:r>
      <w:r>
        <w:rPr>
          <w:rFonts w:ascii="Times New Roman" w:hAnsi="Times New Roman" w:cs="Times New Roman"/>
          <w:sz w:val="24"/>
          <w:szCs w:val="24"/>
        </w:rPr>
        <w:t>Wenqiao Yu</w:t>
      </w:r>
    </w:p>
    <w:p w:rsidR="003C2121" w:rsidRDefault="00EC7E2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Supplementary Materials</w:t>
      </w:r>
    </w:p>
    <w:p w:rsidR="003C2121" w:rsidRDefault="00EC7E26">
      <w:pPr>
        <w:widowControl/>
        <w:spacing w:line="480" w:lineRule="auto"/>
        <w:jc w:val="left"/>
        <w:rPr>
          <w:rFonts w:ascii="Times New Roman" w:eastAsia="TimesNewRomanPS-BoldMT" w:hAnsi="Times New Roman" w:cs="Times New Roman"/>
          <w:b/>
          <w:bCs/>
          <w:kern w:val="0"/>
          <w:sz w:val="24"/>
          <w:szCs w:val="24"/>
          <w:lang w:bidi="ar"/>
        </w:rPr>
      </w:pPr>
      <w:r>
        <w:rPr>
          <w:rFonts w:ascii="Times New Roman" w:eastAsia="TimesNewRomanPS-BoldMT" w:hAnsi="Times New Roman" w:cs="Times New Roman"/>
          <w:b/>
          <w:bCs/>
          <w:kern w:val="0"/>
          <w:sz w:val="24"/>
          <w:szCs w:val="24"/>
          <w:lang w:bidi="ar"/>
        </w:rPr>
        <w:t xml:space="preserve">Supplementary Methods: </w:t>
      </w:r>
    </w:p>
    <w:p w:rsidR="003C2121" w:rsidRDefault="00EC7E26">
      <w:pPr>
        <w:spacing w:line="480" w:lineRule="auto"/>
        <w:rPr>
          <w:rFonts w:ascii="Times New Roman" w:hAnsi="Times New Roman" w:cs="Times New Roman"/>
          <w:b/>
          <w:bCs/>
          <w:sz w:val="24"/>
          <w:szCs w:val="24"/>
        </w:rPr>
      </w:pPr>
      <w:r>
        <w:rPr>
          <w:rFonts w:ascii="Times New Roman" w:hAnsi="Times New Roman" w:cs="Times New Roman"/>
          <w:b/>
          <w:bCs/>
          <w:sz w:val="24"/>
          <w:szCs w:val="24"/>
        </w:rPr>
        <w:t>Cell isolation, cryopreservation and recovery</w:t>
      </w:r>
    </w:p>
    <w:p w:rsidR="003C2121" w:rsidRDefault="00EC7E26">
      <w:pPr>
        <w:spacing w:line="360" w:lineRule="auto"/>
        <w:rPr>
          <w:rFonts w:ascii="Times New Roman" w:hAnsi="Times New Roman" w:cs="Times New Roman"/>
          <w:sz w:val="24"/>
          <w:szCs w:val="24"/>
        </w:rPr>
      </w:pPr>
      <w:r>
        <w:rPr>
          <w:rFonts w:ascii="Times New Roman" w:hAnsi="Times New Roman" w:cs="Times New Roman"/>
          <w:sz w:val="24"/>
          <w:szCs w:val="24"/>
        </w:rPr>
        <w:t xml:space="preserve">Peripheral blood samples were collected from each participant (5mL per person). Peripheral Blood Mononuclear Cells (PBMCs) were isolated from whole blood using Ficoll density gradient </w:t>
      </w:r>
      <w:r>
        <w:rPr>
          <w:rFonts w:ascii="Times New Roman" w:hAnsi="Times New Roman" w:cs="Times New Roman"/>
          <w:sz w:val="24"/>
          <w:szCs w:val="24"/>
        </w:rPr>
        <w:t>centrifugation with Ethylenediaminetetraacetic Acid (EDTA) as an anticoagulant. Following the isolation, the cell pellet was washed with fluorescence-activated cell sorting (FACS</w:t>
      </w:r>
      <w:r>
        <w:rPr>
          <w:rFonts w:ascii="Times New Roman" w:hAnsi="Times New Roman" w:cs="Times New Roman" w:hint="eastAsia"/>
          <w:sz w:val="24"/>
          <w:szCs w:val="24"/>
        </w:rPr>
        <w:t>)</w:t>
      </w:r>
      <w:r>
        <w:rPr>
          <w:rFonts w:ascii="Times New Roman" w:hAnsi="Times New Roman" w:cs="Times New Roman"/>
          <w:sz w:val="24"/>
          <w:szCs w:val="24"/>
        </w:rPr>
        <w:t xml:space="preserve"> buffer</w:t>
      </w:r>
      <w:r>
        <w:rPr>
          <w:rFonts w:ascii="Times New Roman" w:hAnsi="Times New Roman" w:cs="Times New Roman" w:hint="eastAsia"/>
          <w:sz w:val="24"/>
          <w:szCs w:val="24"/>
        </w:rPr>
        <w:t xml:space="preserve"> </w:t>
      </w:r>
      <w:r>
        <w:rPr>
          <w:rFonts w:ascii="Times New Roman" w:hAnsi="Times New Roman" w:cs="Times New Roman"/>
          <w:sz w:val="24"/>
          <w:szCs w:val="24"/>
        </w:rPr>
        <w:t>(1×phosphate buffered saline (PBS) supplemented with 0.5% bovine seru</w:t>
      </w:r>
      <w:r>
        <w:rPr>
          <w:rFonts w:ascii="Times New Roman" w:hAnsi="Times New Roman" w:cs="Times New Roman"/>
          <w:sz w:val="24"/>
          <w:szCs w:val="24"/>
        </w:rPr>
        <w:t>m albumin (BSA)), and the supernatant was discarded before resuspending the cells for counting. Quality control for blood samples included a requirement of at least 3×10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viable cells with a minimum viability of 85%. Once isolated and counted, the cells we</w:t>
      </w:r>
      <w:r>
        <w:rPr>
          <w:rFonts w:ascii="Times New Roman" w:hAnsi="Times New Roman" w:cs="Times New Roman"/>
          <w:sz w:val="24"/>
          <w:szCs w:val="24"/>
        </w:rPr>
        <w:t>re resuspended in a pre-cooled cryopreservation solution (10% Fetal Bovine Serum (FBS) + 90% Dimethyl Sulfoxide (DMSO)) at a density of 1~5×10</w:t>
      </w:r>
      <w:r>
        <w:rPr>
          <w:rFonts w:ascii="Times New Roman" w:hAnsi="Times New Roman" w:cs="Times New Roman"/>
          <w:sz w:val="24"/>
          <w:szCs w:val="24"/>
          <w:vertAlign w:val="superscript"/>
        </w:rPr>
        <w:t>6</w:t>
      </w:r>
      <w:r>
        <w:rPr>
          <w:rFonts w:ascii="Times New Roman" w:hAnsi="Times New Roman" w:cs="Times New Roman"/>
          <w:sz w:val="24"/>
          <w:szCs w:val="24"/>
        </w:rPr>
        <w:t xml:space="preserve">/mL. Subsequently, the cells were gently mixed and aliquoted into cryovials. These cryovials were then placed in </w:t>
      </w:r>
      <w:r>
        <w:rPr>
          <w:rFonts w:ascii="Times New Roman" w:hAnsi="Times New Roman" w:cs="Times New Roman"/>
          <w:sz w:val="24"/>
          <w:szCs w:val="24"/>
        </w:rPr>
        <w:t>a programmable cooling box and stored at -80℃ for at least 4 hours and transferred to liquid nitrogen for long-term storage.</w:t>
      </w:r>
    </w:p>
    <w:p w:rsidR="003C2121" w:rsidRDefault="003C2121">
      <w:pPr>
        <w:spacing w:line="360" w:lineRule="auto"/>
        <w:rPr>
          <w:rFonts w:ascii="Times New Roman" w:hAnsi="Times New Roman" w:cs="Times New Roman"/>
          <w:sz w:val="24"/>
          <w:szCs w:val="24"/>
        </w:rPr>
      </w:pPr>
    </w:p>
    <w:p w:rsidR="003C2121" w:rsidRDefault="00EC7E26">
      <w:pPr>
        <w:spacing w:line="360" w:lineRule="auto"/>
        <w:rPr>
          <w:rFonts w:ascii="Times New Roman" w:hAnsi="Times New Roman" w:cs="Times New Roman"/>
          <w:sz w:val="24"/>
          <w:szCs w:val="24"/>
        </w:rPr>
      </w:pPr>
      <w:r>
        <w:rPr>
          <w:rFonts w:ascii="Times New Roman" w:hAnsi="Times New Roman" w:cs="Times New Roman"/>
          <w:sz w:val="24"/>
          <w:szCs w:val="24"/>
        </w:rPr>
        <w:t xml:space="preserve">To recover the cells, the cryovials were thawed in a 37°C water bath for 2-3 minutes. Once fully thawed, the cells were carefully </w:t>
      </w:r>
      <w:r>
        <w:rPr>
          <w:rFonts w:ascii="Times New Roman" w:hAnsi="Times New Roman" w:cs="Times New Roman"/>
          <w:sz w:val="24"/>
          <w:szCs w:val="24"/>
        </w:rPr>
        <w:t>transferred to a 15mL centrifuge tube within a biosafety cabinet. The cryovial was washed with 1mL of complete culture medium, and the remaining medium was transferred to the 15mL centrifuge tube. The volume was adjusted to 5mL, and the conical tube was ge</w:t>
      </w:r>
      <w:r>
        <w:rPr>
          <w:rFonts w:ascii="Times New Roman" w:hAnsi="Times New Roman" w:cs="Times New Roman"/>
          <w:sz w:val="24"/>
          <w:szCs w:val="24"/>
        </w:rPr>
        <w:t xml:space="preserve">ntly swirled. Subsequently, the cells were centrifuged at 400g at room </w:t>
      </w:r>
      <w:r>
        <w:rPr>
          <w:rFonts w:ascii="Times New Roman" w:hAnsi="Times New Roman" w:cs="Times New Roman"/>
          <w:sz w:val="24"/>
          <w:szCs w:val="24"/>
        </w:rPr>
        <w:lastRenderedPageBreak/>
        <w:t xml:space="preserve">temperature, washed, and resuspended using FACS. Cell counting and viability assessment were performed using Trypan Blue. Reagent information is shown in </w:t>
      </w:r>
      <w:r>
        <w:rPr>
          <w:rFonts w:ascii="Times New Roman" w:hAnsi="Times New Roman" w:cs="Times New Roman"/>
          <w:color w:val="000000" w:themeColor="text1"/>
          <w:sz w:val="24"/>
          <w:szCs w:val="24"/>
        </w:rPr>
        <w:t>Supplemental</w:t>
      </w:r>
      <w:r>
        <w:rPr>
          <w:rFonts w:ascii="Times New Roman" w:hAnsi="Times New Roman" w:cs="Times New Roman" w:hint="eastAsia"/>
          <w:color w:val="000000" w:themeColor="text1"/>
          <w:sz w:val="24"/>
          <w:szCs w:val="24"/>
        </w:rPr>
        <w:t xml:space="preserve"> </w:t>
      </w:r>
      <w:r>
        <w:rPr>
          <w:rFonts w:ascii="Times New Roman" w:hAnsi="Times New Roman" w:cs="Times New Roman"/>
          <w:sz w:val="24"/>
          <w:szCs w:val="24"/>
        </w:rPr>
        <w:t>Table 1.</w:t>
      </w:r>
    </w:p>
    <w:p w:rsidR="003C2121" w:rsidRDefault="003C2121">
      <w:pPr>
        <w:spacing w:line="360" w:lineRule="auto"/>
        <w:rPr>
          <w:rFonts w:ascii="Times New Roman" w:hAnsi="Times New Roman" w:cs="Times New Roman"/>
          <w:sz w:val="24"/>
          <w:szCs w:val="24"/>
        </w:rPr>
      </w:pPr>
    </w:p>
    <w:p w:rsidR="003C2121" w:rsidRDefault="00EC7E26">
      <w:pPr>
        <w:spacing w:line="480" w:lineRule="auto"/>
        <w:rPr>
          <w:rFonts w:ascii="Times New Roman" w:hAnsi="Times New Roman" w:cs="Times New Roman"/>
          <w:b/>
          <w:bCs/>
          <w:sz w:val="24"/>
          <w:szCs w:val="24"/>
        </w:rPr>
      </w:pPr>
      <w:r>
        <w:rPr>
          <w:rFonts w:ascii="Times New Roman" w:hAnsi="Times New Roman" w:cs="Times New Roman"/>
          <w:b/>
          <w:bCs/>
          <w:sz w:val="24"/>
          <w:szCs w:val="24"/>
        </w:rPr>
        <w:t>CyTOF st</w:t>
      </w:r>
      <w:r>
        <w:rPr>
          <w:rFonts w:ascii="Times New Roman" w:hAnsi="Times New Roman" w:cs="Times New Roman"/>
          <w:b/>
          <w:bCs/>
          <w:sz w:val="24"/>
          <w:szCs w:val="24"/>
        </w:rPr>
        <w:t>aining and data acquisition</w:t>
      </w:r>
    </w:p>
    <w:p w:rsidR="003C2121" w:rsidRDefault="00EC7E26">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hint="eastAsia"/>
          <w:sz w:val="24"/>
          <w:szCs w:val="24"/>
        </w:rPr>
        <w:t xml:space="preserve">mass </w:t>
      </w:r>
      <w:r>
        <w:rPr>
          <w:rFonts w:ascii="Times New Roman" w:hAnsi="Times New Roman" w:cs="Times New Roman"/>
          <w:sz w:val="24"/>
          <w:szCs w:val="24"/>
        </w:rPr>
        <w:t xml:space="preserve">cytometry time-of-flight (CyTOF) antibody panel in this study is shown in the </w:t>
      </w:r>
      <w:r>
        <w:rPr>
          <w:rFonts w:ascii="Times New Roman" w:hAnsi="Times New Roman" w:cs="Times New Roman"/>
          <w:color w:val="000000" w:themeColor="text1"/>
          <w:sz w:val="24"/>
          <w:szCs w:val="24"/>
        </w:rPr>
        <w:t>Supplemental</w:t>
      </w:r>
      <w:r>
        <w:rPr>
          <w:rFonts w:ascii="Times New Roman" w:hAnsi="Times New Roman" w:cs="Times New Roman" w:hint="eastAsia"/>
          <w:color w:val="000000" w:themeColor="text1"/>
          <w:sz w:val="24"/>
          <w:szCs w:val="24"/>
        </w:rPr>
        <w:t xml:space="preserve"> </w:t>
      </w:r>
      <w:r>
        <w:rPr>
          <w:rFonts w:ascii="Times New Roman" w:hAnsi="Times New Roman" w:cs="Times New Roman"/>
          <w:sz w:val="24"/>
          <w:szCs w:val="24"/>
        </w:rPr>
        <w:t>Table 2. Each sample was meticulously processed to collect a maximum of 3×10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cells, and cisplatin staining was employed to selectively exclude dead cells. After the FACS washing process, the cells were subjected to incubation with Fc receptor blocking solution with a cocktail of surface antibodies on ice for a duration of 30 minut</w:t>
      </w:r>
      <w:r>
        <w:rPr>
          <w:rFonts w:ascii="Times New Roman" w:hAnsi="Times New Roman" w:cs="Times New Roman"/>
          <w:sz w:val="24"/>
          <w:szCs w:val="24"/>
        </w:rPr>
        <w:t>es. Subsequently, a second round of FACS washing was conducted before fixing the cell membranes and staining intracellular antibody indicators. An additional FACS washing step was performed, followed by overnight fixation in a DeoxyriboNucleic Acid (DNA) s</w:t>
      </w:r>
      <w:r>
        <w:rPr>
          <w:rFonts w:ascii="Times New Roman" w:hAnsi="Times New Roman" w:cs="Times New Roman"/>
          <w:sz w:val="24"/>
          <w:szCs w:val="24"/>
        </w:rPr>
        <w:t>taining solution prepared using Fix and Perm buffer. Following an additional FACS washing step, the cells were suspended in deionized water, thereby preparing them for analysis on the CyTOF system (Helios, Fluidigm). In order to guarantee precise instrumen</w:t>
      </w:r>
      <w:r>
        <w:rPr>
          <w:rFonts w:ascii="Times New Roman" w:hAnsi="Times New Roman" w:cs="Times New Roman"/>
          <w:sz w:val="24"/>
          <w:szCs w:val="24"/>
        </w:rPr>
        <w:t>t functionality, the CyTOF system was activated and the sampling line was installed. The instrument underwent self-testing and calibration procedures using Tuning solution and EQ beads. The sample cells were then resuspended in deionized water containing 1</w:t>
      </w:r>
      <w:r>
        <w:rPr>
          <w:rFonts w:ascii="Times New Roman" w:hAnsi="Times New Roman" w:cs="Times New Roman"/>
          <w:sz w:val="24"/>
          <w:szCs w:val="24"/>
        </w:rPr>
        <w:t>0% EQ beads, and data acquisition was facilitated by employing a 40μm cell sieve for filtration.</w:t>
      </w:r>
    </w:p>
    <w:p w:rsidR="003C2121" w:rsidRDefault="003C2121">
      <w:pPr>
        <w:spacing w:line="360" w:lineRule="auto"/>
        <w:rPr>
          <w:rFonts w:ascii="Times New Roman" w:hAnsi="Times New Roman" w:cs="Times New Roman"/>
          <w:sz w:val="24"/>
          <w:szCs w:val="24"/>
        </w:rPr>
      </w:pPr>
    </w:p>
    <w:p w:rsidR="003C2121" w:rsidRDefault="00EC7E26">
      <w:pPr>
        <w:spacing w:line="480" w:lineRule="auto"/>
        <w:rPr>
          <w:rFonts w:ascii="Times New Roman" w:hAnsi="Times New Roman" w:cs="Times New Roman"/>
          <w:b/>
          <w:bCs/>
          <w:sz w:val="24"/>
          <w:szCs w:val="24"/>
        </w:rPr>
      </w:pPr>
      <w:r>
        <w:rPr>
          <w:rFonts w:ascii="Times New Roman" w:hAnsi="Times New Roman" w:cs="Times New Roman"/>
          <w:b/>
          <w:bCs/>
          <w:sz w:val="24"/>
          <w:szCs w:val="24"/>
        </w:rPr>
        <w:t>CyTOF analysis</w:t>
      </w:r>
    </w:p>
    <w:p w:rsidR="003C2121" w:rsidRDefault="00EC7E26">
      <w:pPr>
        <w:spacing w:line="360" w:lineRule="auto"/>
        <w:rPr>
          <w:rFonts w:ascii="Times New Roman" w:hAnsi="Times New Roman" w:cs="Times New Roman"/>
          <w:sz w:val="24"/>
          <w:szCs w:val="24"/>
        </w:rPr>
      </w:pPr>
      <w:r>
        <w:rPr>
          <w:rFonts w:ascii="Times New Roman" w:hAnsi="Times New Roman" w:cs="Times New Roman"/>
          <w:sz w:val="24"/>
          <w:szCs w:val="24"/>
        </w:rPr>
        <w:t xml:space="preserve">After a rigorous de-barcoding and standardization process, each sample was subjected to data cleaning using FlowJo V10 software, including the </w:t>
      </w:r>
      <w:r>
        <w:rPr>
          <w:rFonts w:ascii="Times New Roman" w:hAnsi="Times New Roman" w:cs="Times New Roman"/>
          <w:sz w:val="24"/>
          <w:szCs w:val="24"/>
        </w:rPr>
        <w:t>manual exclusion of debris and dead cells, thereby ensuring that only viable single immune cells remained. To decipher the underlying cellular heterogeneity, all immune cells were comprehensively analyzed using an unsupervised clustering algorithm in R v4.</w:t>
      </w:r>
      <w:r>
        <w:rPr>
          <w:rFonts w:ascii="Times New Roman" w:hAnsi="Times New Roman" w:cs="Times New Roman"/>
          <w:sz w:val="24"/>
          <w:szCs w:val="24"/>
        </w:rPr>
        <w:t>3.1. The resulting heatmap revealed distinct marker expression patterns, enabling precise annotation of cell subpopulations.</w:t>
      </w:r>
    </w:p>
    <w:p w:rsidR="003C2121" w:rsidRDefault="003C2121">
      <w:pPr>
        <w:spacing w:line="360" w:lineRule="auto"/>
        <w:rPr>
          <w:rFonts w:ascii="Times New Roman" w:hAnsi="Times New Roman" w:cs="Times New Roman"/>
          <w:sz w:val="24"/>
          <w:szCs w:val="24"/>
        </w:rPr>
      </w:pPr>
    </w:p>
    <w:p w:rsidR="003C2121" w:rsidRDefault="00EC7E26">
      <w:pPr>
        <w:spacing w:line="360" w:lineRule="auto"/>
        <w:rPr>
          <w:rFonts w:ascii="Times New Roman" w:hAnsi="Times New Roman" w:cs="Times New Roman"/>
          <w:sz w:val="24"/>
          <w:szCs w:val="24"/>
        </w:rPr>
      </w:pPr>
      <w:r>
        <w:rPr>
          <w:rFonts w:ascii="Times New Roman" w:hAnsi="Times New Roman" w:cs="Times New Roman"/>
          <w:sz w:val="24"/>
          <w:szCs w:val="24"/>
        </w:rPr>
        <w:t xml:space="preserve">To perform intuitive visualization, a t-distributed stochastic neighborhood embedding (t-SNE) </w:t>
      </w:r>
      <w:r>
        <w:rPr>
          <w:rFonts w:ascii="Times New Roman" w:hAnsi="Times New Roman" w:cs="Times New Roman"/>
          <w:sz w:val="24"/>
          <w:szCs w:val="24"/>
        </w:rPr>
        <w:lastRenderedPageBreak/>
        <w:t>data dimensionality reduction algori</w:t>
      </w:r>
      <w:r>
        <w:rPr>
          <w:rFonts w:ascii="Times New Roman" w:hAnsi="Times New Roman" w:cs="Times New Roman"/>
          <w:sz w:val="24"/>
          <w:szCs w:val="24"/>
        </w:rPr>
        <w:t>thm was utilized. Following this visualization, rigorous statistical analysis was performed, aiming to distinctively classify the different cell subgroups. The results revealed that the monocyte subpopulation exhibited the most substantial variances.</w:t>
      </w:r>
    </w:p>
    <w:p w:rsidR="003C2121" w:rsidRDefault="003C2121">
      <w:pPr>
        <w:spacing w:line="360" w:lineRule="auto"/>
        <w:rPr>
          <w:rFonts w:ascii="Times New Roman" w:hAnsi="Times New Roman" w:cs="Times New Roman"/>
          <w:sz w:val="24"/>
          <w:szCs w:val="24"/>
        </w:rPr>
      </w:pPr>
    </w:p>
    <w:p w:rsidR="003C2121" w:rsidRDefault="00EC7E26">
      <w:pPr>
        <w:spacing w:line="360" w:lineRule="auto"/>
        <w:rPr>
          <w:rFonts w:ascii="Times New Roman" w:hAnsi="Times New Roman" w:cs="Times New Roman"/>
          <w:sz w:val="24"/>
          <w:szCs w:val="24"/>
        </w:rPr>
      </w:pPr>
      <w:r>
        <w:rPr>
          <w:rFonts w:ascii="Times New Roman" w:hAnsi="Times New Roman" w:cs="Times New Roman"/>
          <w:sz w:val="24"/>
          <w:szCs w:val="24"/>
        </w:rPr>
        <w:t>Ther</w:t>
      </w:r>
      <w:r>
        <w:rPr>
          <w:rFonts w:ascii="Times New Roman" w:hAnsi="Times New Roman" w:cs="Times New Roman"/>
          <w:sz w:val="24"/>
          <w:szCs w:val="24"/>
        </w:rPr>
        <w:t>efore, using FlowJo V10 software, monocytes were accurately gated, and the same clustering and analysis methods were applied to reveal the differences among clusters and markers within the monocyte population.</w:t>
      </w:r>
    </w:p>
    <w:p w:rsidR="003C2121" w:rsidRDefault="003C2121">
      <w:pPr>
        <w:spacing w:line="480" w:lineRule="auto"/>
        <w:rPr>
          <w:rFonts w:ascii="Times New Roman" w:hAnsi="Times New Roman" w:cs="Times New Roman"/>
          <w:sz w:val="24"/>
          <w:szCs w:val="24"/>
        </w:rPr>
      </w:pPr>
    </w:p>
    <w:p w:rsidR="003C2121" w:rsidRDefault="00EC7E26">
      <w:pPr>
        <w:spacing w:line="480" w:lineRule="auto"/>
        <w:rPr>
          <w:rFonts w:ascii="Times New Roman" w:hAnsi="Times New Roman" w:cs="Times New Roman"/>
          <w:b/>
          <w:bCs/>
          <w:sz w:val="24"/>
          <w:szCs w:val="24"/>
        </w:rPr>
      </w:pPr>
      <w:r>
        <w:rPr>
          <w:rFonts w:ascii="Times New Roman" w:hAnsi="Times New Roman" w:cs="Times New Roman"/>
          <w:b/>
          <w:bCs/>
          <w:sz w:val="24"/>
          <w:szCs w:val="24"/>
        </w:rPr>
        <w:t>Flow cytometry</w:t>
      </w:r>
    </w:p>
    <w:p w:rsidR="003C2121" w:rsidRDefault="00EC7E26">
      <w:pPr>
        <w:spacing w:line="360" w:lineRule="auto"/>
        <w:rPr>
          <w:rFonts w:ascii="Times New Roman" w:hAnsi="Times New Roman" w:cs="Times New Roman"/>
          <w:sz w:val="24"/>
          <w:szCs w:val="24"/>
        </w:rPr>
      </w:pPr>
      <w:r>
        <w:rPr>
          <w:rFonts w:ascii="Times New Roman" w:hAnsi="Times New Roman" w:cs="Times New Roman"/>
          <w:sz w:val="24"/>
          <w:szCs w:val="24"/>
        </w:rPr>
        <w:t>A three-marker panel (</w:t>
      </w:r>
      <w:r>
        <w:rPr>
          <w:rFonts w:ascii="Times New Roman" w:hAnsi="Times New Roman" w:cs="Times New Roman"/>
          <w:color w:val="000000" w:themeColor="text1"/>
          <w:sz w:val="24"/>
          <w:szCs w:val="24"/>
        </w:rPr>
        <w:t>Suppleme</w:t>
      </w:r>
      <w:r>
        <w:rPr>
          <w:rFonts w:ascii="Times New Roman" w:hAnsi="Times New Roman" w:cs="Times New Roman"/>
          <w:color w:val="000000" w:themeColor="text1"/>
          <w:sz w:val="24"/>
          <w:szCs w:val="24"/>
        </w:rPr>
        <w:t>ntal</w:t>
      </w:r>
      <w:r>
        <w:rPr>
          <w:rFonts w:ascii="Times New Roman" w:hAnsi="Times New Roman" w:cs="Times New Roman" w:hint="eastAsia"/>
          <w:color w:val="000000" w:themeColor="text1"/>
          <w:sz w:val="24"/>
          <w:szCs w:val="24"/>
        </w:rPr>
        <w:t xml:space="preserve"> </w:t>
      </w:r>
      <w:r>
        <w:rPr>
          <w:rFonts w:ascii="Times New Roman" w:hAnsi="Times New Roman" w:cs="Times New Roman"/>
          <w:sz w:val="24"/>
          <w:szCs w:val="24"/>
        </w:rPr>
        <w:t>Table 3) was designed for conventional fluorescent flow cytometry. Each sample was processed with 1×10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cells collected individually. Fc receptor blocking was performed on ice for a duration of 20 minutes as part of the initial preparation to minimize</w:t>
      </w:r>
      <w:r>
        <w:rPr>
          <w:rFonts w:ascii="Times New Roman" w:hAnsi="Times New Roman" w:cs="Times New Roman"/>
          <w:sz w:val="24"/>
          <w:szCs w:val="24"/>
        </w:rPr>
        <w:t xml:space="preserve"> non-specific binding and ensure the accuracy of subsequent analyses. Adhering to the manufacturer's instructions, a carefully prepared antibody mix, consisting of specific targets and fluorochromes, was incubated with the cells on ice for 30 minutes. This</w:t>
      </w:r>
      <w:r>
        <w:rPr>
          <w:rFonts w:ascii="Times New Roman" w:hAnsi="Times New Roman" w:cs="Times New Roman"/>
          <w:sz w:val="24"/>
          <w:szCs w:val="24"/>
        </w:rPr>
        <w:t xml:space="preserve"> step allowed for accurate identification and characterization of cell populations based on surface markers. The cells were extensively washed with FACS buffer to remove any unbound antibodies and ensure a clean sample for analysis. The analysis was perfor</w:t>
      </w:r>
      <w:r>
        <w:rPr>
          <w:rFonts w:ascii="Times New Roman" w:hAnsi="Times New Roman" w:cs="Times New Roman"/>
          <w:sz w:val="24"/>
          <w:szCs w:val="24"/>
        </w:rPr>
        <w:t xml:space="preserve">med using the flow cytometer (Mindray), with data acquisition capturing a total of 200,000 events from the PBMCs. </w:t>
      </w:r>
      <w:r>
        <w:rPr>
          <w:rFonts w:ascii="Times New Roman" w:hAnsi="Times New Roman" w:cs="Times New Roman" w:hint="eastAsia"/>
          <w:sz w:val="24"/>
          <w:szCs w:val="24"/>
        </w:rPr>
        <w:t>The focus of the analysis was on CD14</w:t>
      </w:r>
      <w:r>
        <w:rPr>
          <w:rFonts w:ascii="Times New Roman" w:hAnsi="Times New Roman" w:cs="Times New Roman"/>
          <w:sz w:val="24"/>
          <w:szCs w:val="24"/>
        </w:rPr>
        <w:t xml:space="preserve"> positive cells which was a common marker for m</w:t>
      </w:r>
      <w:r>
        <w:rPr>
          <w:rFonts w:ascii="Times New Roman" w:hAnsi="Times New Roman" w:cs="Times New Roman" w:hint="eastAsia"/>
          <w:sz w:val="24"/>
          <w:szCs w:val="24"/>
        </w:rPr>
        <w:t>onocytes</w:t>
      </w:r>
      <w:r>
        <w:rPr>
          <w:rFonts w:ascii="Times New Roman" w:hAnsi="Times New Roman" w:cs="Times New Roman"/>
          <w:sz w:val="24"/>
          <w:szCs w:val="24"/>
        </w:rPr>
        <w:t>, and a predefined gating logic was applied to ens</w:t>
      </w:r>
      <w:r>
        <w:rPr>
          <w:rFonts w:ascii="Times New Roman" w:hAnsi="Times New Roman" w:cs="Times New Roman"/>
          <w:sz w:val="24"/>
          <w:szCs w:val="24"/>
        </w:rPr>
        <w:t>ure accurate identification and quantification of this cell population. This gating strategy was chosen based on its relevance to the research objectives and was applied consistently across all samples.</w:t>
      </w:r>
    </w:p>
    <w:p w:rsidR="003C2121" w:rsidRDefault="003C2121">
      <w:pPr>
        <w:spacing w:line="360" w:lineRule="auto"/>
        <w:rPr>
          <w:rFonts w:ascii="Times New Roman" w:hAnsi="Times New Roman" w:cs="Times New Roman"/>
          <w:sz w:val="24"/>
          <w:szCs w:val="24"/>
        </w:rPr>
      </w:pPr>
    </w:p>
    <w:p w:rsidR="003C2121" w:rsidRDefault="00EC7E26">
      <w:pPr>
        <w:widowControl/>
        <w:shd w:val="clear" w:color="auto" w:fill="FFFFFF"/>
        <w:spacing w:after="150" w:line="480" w:lineRule="auto"/>
        <w:jc w:val="left"/>
        <w:rPr>
          <w:rFonts w:ascii="Times New Roman" w:hAnsi="Times New Roman" w:cs="Times New Roman"/>
          <w:b/>
          <w:bCs/>
          <w:sz w:val="24"/>
          <w:szCs w:val="24"/>
        </w:rPr>
      </w:pPr>
      <w:r>
        <w:rPr>
          <w:rFonts w:ascii="Times New Roman" w:hAnsi="Times New Roman" w:cs="Times New Roman"/>
          <w:b/>
          <w:bCs/>
          <w:sz w:val="24"/>
          <w:szCs w:val="24"/>
        </w:rPr>
        <w:t>Data collection</w:t>
      </w:r>
    </w:p>
    <w:p w:rsidR="003C2121" w:rsidRDefault="00EC7E26">
      <w:pPr>
        <w:spacing w:line="360" w:lineRule="auto"/>
        <w:rPr>
          <w:rFonts w:ascii="Times New Roman" w:eastAsia="TimesNewRomanPS-BoldMT" w:hAnsi="Times New Roman" w:cs="Times New Roman"/>
          <w:b/>
          <w:bCs/>
          <w:kern w:val="0"/>
          <w:sz w:val="24"/>
          <w:szCs w:val="24"/>
          <w:lang w:bidi="ar"/>
        </w:rPr>
      </w:pPr>
      <w:r>
        <w:rPr>
          <w:rFonts w:ascii="Times New Roman" w:hAnsi="Times New Roman" w:cs="Times New Roman"/>
          <w:sz w:val="24"/>
          <w:szCs w:val="24"/>
        </w:rPr>
        <w:t xml:space="preserve">Patients' clinical data were systematically gathered on the initial day (day 1), encompassing vital status, components of the Acute Physiology and Chronic Health Evaluation II (APACHE </w:t>
      </w:r>
      <w:r>
        <w:rPr>
          <w:rFonts w:ascii="Times New Roman" w:hAnsi="Times New Roman" w:cs="Times New Roman"/>
          <w:sz w:val="24"/>
          <w:szCs w:val="24"/>
        </w:rPr>
        <w:lastRenderedPageBreak/>
        <w:t xml:space="preserve">II) and </w:t>
      </w:r>
      <w:r>
        <w:rPr>
          <w:rFonts w:ascii="Times New Roman" w:hAnsi="Times New Roman" w:cs="Times New Roman" w:hint="eastAsia"/>
          <w:sz w:val="24"/>
          <w:szCs w:val="24"/>
        </w:rPr>
        <w:t>Sequential Organ Failure Assessment (SOFA)</w:t>
      </w:r>
      <w:r>
        <w:rPr>
          <w:rFonts w:ascii="Times New Roman" w:hAnsi="Times New Roman" w:cs="Times New Roman"/>
          <w:sz w:val="24"/>
          <w:szCs w:val="24"/>
        </w:rPr>
        <w:t xml:space="preserve"> score, as well as var</w:t>
      </w:r>
      <w:r>
        <w:rPr>
          <w:rFonts w:ascii="Times New Roman" w:hAnsi="Times New Roman" w:cs="Times New Roman"/>
          <w:sz w:val="24"/>
          <w:szCs w:val="24"/>
        </w:rPr>
        <w:t>ious clinical and biological parameters, including blood counts. Subsequently, vital status assessments were conducted on days 7, 28, and 90. Comprehensive baseline characteristics such as demographics, clinical profiles, laboratory findings, treatment mod</w:t>
      </w:r>
      <w:r>
        <w:rPr>
          <w:rFonts w:ascii="Times New Roman" w:hAnsi="Times New Roman" w:cs="Times New Roman"/>
          <w:sz w:val="24"/>
          <w:szCs w:val="24"/>
        </w:rPr>
        <w:t>alities, and patient outcomes were meticulously extracted from electronic medical records.</w:t>
      </w: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3C2121">
      <w:pPr>
        <w:widowControl/>
        <w:spacing w:line="480" w:lineRule="auto"/>
        <w:jc w:val="left"/>
        <w:rPr>
          <w:rFonts w:ascii="Times New Roman" w:eastAsia="TimesNewRomanPS-BoldMT" w:hAnsi="Times New Roman" w:cs="Times New Roman"/>
          <w:b/>
          <w:bCs/>
          <w:color w:val="000000"/>
          <w:kern w:val="0"/>
          <w:sz w:val="24"/>
          <w:szCs w:val="24"/>
          <w:lang w:bidi="ar"/>
        </w:rPr>
      </w:pPr>
    </w:p>
    <w:p w:rsidR="003C2121" w:rsidRDefault="00EC7E26">
      <w:pPr>
        <w:widowControl/>
        <w:spacing w:line="480" w:lineRule="auto"/>
        <w:jc w:val="left"/>
        <w:rPr>
          <w:rFonts w:ascii="Times New Roman" w:eastAsia="TimesNewRomanPS-BoldMT" w:hAnsi="Times New Roman" w:cs="Times New Roman"/>
          <w:b/>
          <w:bCs/>
          <w:color w:val="000000"/>
          <w:kern w:val="0"/>
          <w:sz w:val="24"/>
          <w:szCs w:val="24"/>
          <w:lang w:bidi="ar"/>
        </w:rPr>
      </w:pPr>
      <w:r>
        <w:rPr>
          <w:rFonts w:ascii="Times New Roman" w:eastAsia="TimesNewRomanPS-BoldMT" w:hAnsi="Times New Roman" w:cs="Times New Roman"/>
          <w:b/>
          <w:bCs/>
          <w:color w:val="000000"/>
          <w:kern w:val="0"/>
          <w:sz w:val="24"/>
          <w:szCs w:val="24"/>
          <w:lang w:bidi="ar"/>
        </w:rPr>
        <w:lastRenderedPageBreak/>
        <w:t>Supplementary tables:</w:t>
      </w:r>
    </w:p>
    <w:p w:rsidR="003C2121" w:rsidRDefault="00EC7E26">
      <w:pPr>
        <w:widowControl/>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Table 1 </w:t>
      </w:r>
      <w:r>
        <w:rPr>
          <w:rFonts w:ascii="Times New Roman" w:hAnsi="Times New Roman" w:cs="Times New Roman"/>
          <w:sz w:val="24"/>
          <w:szCs w:val="24"/>
        </w:rPr>
        <w:t>Reagent information</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2"/>
        <w:gridCol w:w="1866"/>
        <w:gridCol w:w="1526"/>
      </w:tblGrid>
      <w:tr w:rsidR="003C2121">
        <w:trPr>
          <w:trHeight w:val="291"/>
        </w:trPr>
        <w:tc>
          <w:tcPr>
            <w:tcW w:w="3172" w:type="pct"/>
            <w:tcBorders>
              <w:top w:val="single" w:sz="12" w:space="0" w:color="000000"/>
              <w:left w:val="nil"/>
              <w:bottom w:val="single" w:sz="4" w:space="0" w:color="000000"/>
              <w:right w:val="nil"/>
              <w:tl2br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bCs/>
                <w:color w:val="000000"/>
                <w:kern w:val="0"/>
                <w:sz w:val="24"/>
                <w:szCs w:val="24"/>
                <w:lang w:bidi="ar"/>
              </w:rPr>
              <w:t>Reagent</w:t>
            </w:r>
          </w:p>
        </w:tc>
        <w:tc>
          <w:tcPr>
            <w:tcW w:w="1005"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bCs/>
                <w:color w:val="000000"/>
                <w:kern w:val="0"/>
                <w:sz w:val="24"/>
                <w:szCs w:val="24"/>
                <w:lang w:bidi="ar"/>
              </w:rPr>
              <w:t>Source</w:t>
            </w:r>
          </w:p>
        </w:tc>
        <w:tc>
          <w:tcPr>
            <w:tcW w:w="822"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Times" w:hAnsi="Times New Roman" w:cs="Times New Roman"/>
                <w:bCs/>
                <w:color w:val="000000"/>
                <w:kern w:val="0"/>
                <w:sz w:val="24"/>
                <w:szCs w:val="24"/>
                <w:lang w:bidi="ar"/>
              </w:rPr>
              <w:t>Catalog</w:t>
            </w:r>
          </w:p>
        </w:tc>
      </w:tr>
      <w:tr w:rsidR="003C2121">
        <w:trPr>
          <w:trHeight w:val="291"/>
        </w:trPr>
        <w:tc>
          <w:tcPr>
            <w:tcW w:w="3172"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Maxpar® Antibody Labeling Kit</w:t>
            </w:r>
          </w:p>
        </w:tc>
        <w:tc>
          <w:tcPr>
            <w:tcW w:w="1005"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FLUIDIGM</w:t>
            </w:r>
          </w:p>
        </w:tc>
        <w:tc>
          <w:tcPr>
            <w:tcW w:w="822"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201300</w:t>
            </w:r>
          </w:p>
        </w:tc>
      </w:tr>
      <w:tr w:rsidR="003C2121">
        <w:trPr>
          <w:trHeight w:val="279"/>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Percoll</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 xml:space="preserve">GE </w:t>
            </w:r>
            <w:r>
              <w:rPr>
                <w:rFonts w:ascii="Times New Roman" w:eastAsia="DengXian" w:hAnsi="Times New Roman" w:cs="Times New Roman"/>
                <w:color w:val="000000"/>
                <w:kern w:val="0"/>
                <w:sz w:val="24"/>
                <w:szCs w:val="24"/>
                <w:lang w:bidi="ar"/>
              </w:rPr>
              <w:t>Healthcare</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17-0891-09</w:t>
            </w:r>
          </w:p>
        </w:tc>
      </w:tr>
      <w:tr w:rsidR="003C2121">
        <w:trPr>
          <w:trHeight w:val="279"/>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Ficoll-Paque PLUS</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GE Healthcare</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17-1440-03</w:t>
            </w:r>
          </w:p>
        </w:tc>
      </w:tr>
      <w:tr w:rsidR="003C2121">
        <w:trPr>
          <w:trHeight w:val="291"/>
        </w:trPr>
        <w:tc>
          <w:tcPr>
            <w:tcW w:w="3172" w:type="pct"/>
            <w:tcBorders>
              <w:top w:val="nil"/>
              <w:left w:val="nil"/>
              <w:bottom w:val="nil"/>
              <w:right w:val="nil"/>
            </w:tcBorders>
            <w:shd w:val="clear" w:color="auto" w:fill="FFFFFF"/>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MACS® Tissue Storage Solution</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130-100-008</w:t>
            </w:r>
          </w:p>
        </w:tc>
        <w:tc>
          <w:tcPr>
            <w:tcW w:w="822" w:type="pct"/>
            <w:tcBorders>
              <w:top w:val="nil"/>
              <w:left w:val="nil"/>
              <w:bottom w:val="nil"/>
              <w:right w:val="nil"/>
            </w:tcBorders>
            <w:shd w:val="clear" w:color="auto" w:fill="FFFFFF"/>
            <w:noWrap/>
            <w:vAlign w:val="bottom"/>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Miltenyi</w:t>
            </w:r>
          </w:p>
        </w:tc>
      </w:tr>
      <w:tr w:rsidR="003C2121">
        <w:trPr>
          <w:trHeight w:val="291"/>
        </w:trPr>
        <w:tc>
          <w:tcPr>
            <w:tcW w:w="3172" w:type="pct"/>
            <w:tcBorders>
              <w:top w:val="nil"/>
              <w:left w:val="nil"/>
              <w:bottom w:val="nil"/>
              <w:right w:val="nil"/>
            </w:tcBorders>
            <w:shd w:val="clear" w:color="auto" w:fill="FFFFFF"/>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Tumor Dissociation Kit, human</w:t>
            </w:r>
          </w:p>
        </w:tc>
        <w:tc>
          <w:tcPr>
            <w:tcW w:w="1005" w:type="pct"/>
            <w:tcBorders>
              <w:top w:val="nil"/>
              <w:left w:val="nil"/>
              <w:bottom w:val="nil"/>
              <w:right w:val="nil"/>
            </w:tcBorders>
            <w:shd w:val="clear" w:color="auto" w:fill="FFFFFF"/>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130-095-929</w:t>
            </w:r>
          </w:p>
        </w:tc>
        <w:tc>
          <w:tcPr>
            <w:tcW w:w="822" w:type="pct"/>
            <w:tcBorders>
              <w:top w:val="nil"/>
              <w:left w:val="nil"/>
              <w:bottom w:val="nil"/>
              <w:right w:val="nil"/>
            </w:tcBorders>
            <w:shd w:val="clear" w:color="auto" w:fill="FFFFFF"/>
            <w:noWrap/>
            <w:vAlign w:val="bottom"/>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Miltenyi</w:t>
            </w:r>
          </w:p>
        </w:tc>
      </w:tr>
      <w:tr w:rsidR="003C2121">
        <w:trPr>
          <w:trHeight w:val="291"/>
        </w:trPr>
        <w:tc>
          <w:tcPr>
            <w:tcW w:w="3172" w:type="pct"/>
            <w:tcBorders>
              <w:top w:val="nil"/>
              <w:left w:val="nil"/>
              <w:bottom w:val="nil"/>
              <w:right w:val="nil"/>
            </w:tcBorders>
            <w:shd w:val="clear" w:color="auto" w:fill="FFFFFF"/>
            <w:noWrap/>
            <w:vAlign w:val="bottom"/>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gentleMACS™ C Tubes</w:t>
            </w:r>
          </w:p>
        </w:tc>
        <w:tc>
          <w:tcPr>
            <w:tcW w:w="1005" w:type="pct"/>
            <w:tcBorders>
              <w:top w:val="nil"/>
              <w:left w:val="nil"/>
              <w:bottom w:val="nil"/>
              <w:right w:val="nil"/>
            </w:tcBorders>
            <w:shd w:val="clear" w:color="auto" w:fill="FFFFFF"/>
            <w:noWrap/>
            <w:vAlign w:val="bottom"/>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130-093-237</w:t>
            </w:r>
          </w:p>
        </w:tc>
        <w:tc>
          <w:tcPr>
            <w:tcW w:w="822" w:type="pct"/>
            <w:tcBorders>
              <w:top w:val="nil"/>
              <w:left w:val="nil"/>
              <w:bottom w:val="nil"/>
              <w:right w:val="nil"/>
            </w:tcBorders>
            <w:shd w:val="clear" w:color="auto" w:fill="FFFFFF"/>
            <w:noWrap/>
            <w:vAlign w:val="bottom"/>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Miltenyi</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Phosphate-Buffered Saline</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GENOM</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GNM20012</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Bovine Serum Albumin</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Sigma-Aldrich</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V900933</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eBioscience™ Permeabilization Buffer (10X)</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Thermo Fisher</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00-8333-56</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eBioscience™ Fixation/Permeabilization Concentrate</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Thermo Fisher</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00-5123-43</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eBioscience™ Fixation/Permeabilization Diluent</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Thermo Fisher</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00-5223-56</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Maxpar® Fix and Perm Buffer</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FLUIDIGM</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201067</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Cell-ID™ Cisplatin-194Pt</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FLUIDIGM</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201194</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Cell-ID™ Intercalator-Ir</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FLUIDIGM</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201192B</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Tuning Solution</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FLUIDIGM</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201072</w:t>
            </w:r>
          </w:p>
        </w:tc>
      </w:tr>
      <w:tr w:rsidR="003C2121">
        <w:trPr>
          <w:trHeight w:val="291"/>
        </w:trPr>
        <w:tc>
          <w:tcPr>
            <w:tcW w:w="317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EQ™ Four Element Calibration Beads</w:t>
            </w:r>
          </w:p>
        </w:tc>
        <w:tc>
          <w:tcPr>
            <w:tcW w:w="100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FLUIDIGM</w:t>
            </w:r>
          </w:p>
        </w:tc>
        <w:tc>
          <w:tcPr>
            <w:tcW w:w="82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201078</w:t>
            </w:r>
          </w:p>
        </w:tc>
      </w:tr>
      <w:tr w:rsidR="003C2121">
        <w:trPr>
          <w:trHeight w:val="291"/>
        </w:trPr>
        <w:tc>
          <w:tcPr>
            <w:tcW w:w="3172"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Washing Solution</w:t>
            </w:r>
          </w:p>
        </w:tc>
        <w:tc>
          <w:tcPr>
            <w:tcW w:w="1005"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FLUIDIGM</w:t>
            </w:r>
          </w:p>
        </w:tc>
        <w:tc>
          <w:tcPr>
            <w:tcW w:w="822"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201070</w:t>
            </w:r>
          </w:p>
        </w:tc>
      </w:tr>
    </w:tbl>
    <w:p w:rsidR="003C2121" w:rsidRDefault="003C2121">
      <w:pPr>
        <w:rPr>
          <w:rFonts w:ascii="Times New Roman" w:hAnsi="Times New Roman" w:cs="Times New Roman"/>
          <w:b/>
          <w:bCs/>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rPr>
          <w:rFonts w:ascii="Times New Roman" w:hAnsi="Times New Roman" w:cs="Times New Roman"/>
          <w:sz w:val="24"/>
          <w:szCs w:val="24"/>
        </w:rPr>
      </w:pPr>
    </w:p>
    <w:p w:rsidR="003C2121" w:rsidRDefault="003C2121">
      <w:pPr>
        <w:spacing w:line="480" w:lineRule="auto"/>
        <w:rPr>
          <w:rFonts w:ascii="Times New Roman" w:hAnsi="Times New Roman" w:cs="Times New Roman"/>
          <w:b/>
          <w:bCs/>
          <w:sz w:val="24"/>
          <w:szCs w:val="24"/>
        </w:rPr>
      </w:pPr>
    </w:p>
    <w:p w:rsidR="003C2121" w:rsidRDefault="00EC7E26">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Table 2 </w:t>
      </w:r>
      <w:r>
        <w:rPr>
          <w:rFonts w:ascii="Times New Roman" w:hAnsi="Times New Roman" w:cs="Times New Roman"/>
          <w:sz w:val="24"/>
          <w:szCs w:val="24"/>
        </w:rPr>
        <w:t>CyTOF antibody panel</w:t>
      </w:r>
    </w:p>
    <w:tbl>
      <w:tblPr>
        <w:tblW w:w="4997" w:type="pct"/>
        <w:tblLook w:val="04A0" w:firstRow="1" w:lastRow="0" w:firstColumn="1" w:lastColumn="0" w:noHBand="0" w:noVBand="1"/>
      </w:tblPr>
      <w:tblGrid>
        <w:gridCol w:w="1098"/>
        <w:gridCol w:w="2167"/>
        <w:gridCol w:w="1558"/>
        <w:gridCol w:w="1635"/>
        <w:gridCol w:w="1619"/>
        <w:gridCol w:w="1205"/>
      </w:tblGrid>
      <w:tr w:rsidR="003C2121">
        <w:trPr>
          <w:trHeight w:val="277"/>
        </w:trPr>
        <w:tc>
          <w:tcPr>
            <w:tcW w:w="592" w:type="pct"/>
            <w:tcBorders>
              <w:top w:val="single" w:sz="12" w:space="0" w:color="000000"/>
              <w:left w:val="nil"/>
              <w:bottom w:val="single" w:sz="4" w:space="0" w:color="000000"/>
              <w:right w:val="nil"/>
              <w:tl2br w:val="nil"/>
            </w:tcBorders>
            <w:shd w:val="clear" w:color="auto" w:fill="FFFFFF"/>
            <w:noWrap/>
            <w:vAlign w:val="center"/>
          </w:tcPr>
          <w:p w:rsidR="003C2121" w:rsidRDefault="00EC7E26">
            <w:pPr>
              <w:widowControl/>
              <w:jc w:val="left"/>
              <w:textAlignment w:val="center"/>
              <w:rPr>
                <w:rFonts w:ascii="Times New Roman" w:eastAsia="SimHei" w:hAnsi="Times New Roman" w:cs="Times New Roman"/>
                <w:bCs/>
                <w:color w:val="000000"/>
                <w:sz w:val="24"/>
                <w:szCs w:val="24"/>
              </w:rPr>
            </w:pPr>
            <w:r>
              <w:rPr>
                <w:rFonts w:ascii="Times New Roman" w:eastAsia="SimHei" w:hAnsi="Times New Roman" w:cs="Times New Roman"/>
                <w:bCs/>
                <w:color w:val="000000"/>
                <w:kern w:val="0"/>
                <w:sz w:val="24"/>
                <w:szCs w:val="24"/>
                <w:lang w:bidi="ar"/>
              </w:rPr>
              <w:t>Label</w:t>
            </w:r>
          </w:p>
        </w:tc>
        <w:tc>
          <w:tcPr>
            <w:tcW w:w="1167"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Marker</w:t>
            </w:r>
          </w:p>
        </w:tc>
        <w:tc>
          <w:tcPr>
            <w:tcW w:w="838"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Clone</w:t>
            </w:r>
          </w:p>
        </w:tc>
        <w:tc>
          <w:tcPr>
            <w:tcW w:w="880"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Source</w:t>
            </w:r>
          </w:p>
        </w:tc>
        <w:tc>
          <w:tcPr>
            <w:tcW w:w="871"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textAlignment w:val="center"/>
              <w:rPr>
                <w:rFonts w:ascii="Times New Roman" w:eastAsia="Times" w:hAnsi="Times New Roman" w:cs="Times New Roman"/>
                <w:bCs/>
                <w:color w:val="000000"/>
                <w:sz w:val="24"/>
                <w:szCs w:val="24"/>
              </w:rPr>
            </w:pPr>
            <w:r>
              <w:rPr>
                <w:rFonts w:ascii="Times New Roman" w:eastAsia="Times" w:hAnsi="Times New Roman" w:cs="Times New Roman"/>
                <w:bCs/>
                <w:color w:val="000000"/>
                <w:kern w:val="0"/>
                <w:sz w:val="24"/>
                <w:szCs w:val="24"/>
                <w:lang w:bidi="ar"/>
              </w:rPr>
              <w:t>Catalog</w:t>
            </w:r>
          </w:p>
        </w:tc>
        <w:tc>
          <w:tcPr>
            <w:tcW w:w="648"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Staining</w:t>
            </w:r>
          </w:p>
        </w:tc>
      </w:tr>
      <w:tr w:rsidR="003C2121">
        <w:trPr>
          <w:trHeight w:val="270"/>
        </w:trPr>
        <w:tc>
          <w:tcPr>
            <w:tcW w:w="592"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89Y</w:t>
            </w:r>
          </w:p>
        </w:tc>
        <w:tc>
          <w:tcPr>
            <w:tcW w:w="1167"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CD45</w:t>
            </w:r>
          </w:p>
        </w:tc>
        <w:tc>
          <w:tcPr>
            <w:tcW w:w="838"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HI30</w:t>
            </w:r>
          </w:p>
        </w:tc>
        <w:tc>
          <w:tcPr>
            <w:tcW w:w="880"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304002</w:t>
            </w:r>
          </w:p>
        </w:tc>
        <w:tc>
          <w:tcPr>
            <w:tcW w:w="648"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115ln</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CD3</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UCHT1</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BioXcell</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BE0231</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141Pr</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CD56</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NCAM16.2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559043</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142Nd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TCRgd</w:t>
            </w:r>
            <w:r>
              <w:rPr>
                <w:rFonts w:ascii="Times New Roman" w:eastAsia="Times New Roman" w:hAnsi="Times New Roman" w:cs="Times New Roman"/>
                <w:color w:val="000000"/>
                <w:sz w:val="24"/>
                <w:szCs w:val="24"/>
                <w:vertAlign w:val="superscript"/>
              </w:rPr>
              <w:t>*</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5A6.E9</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Homemade</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NA</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142Nd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CD19</w:t>
            </w:r>
            <w:r>
              <w:rPr>
                <w:rFonts w:ascii="Times New Roman" w:eastAsia="Times New Roman" w:hAnsi="Times New Roman" w:cs="Times New Roman"/>
                <w:color w:val="000000"/>
                <w:sz w:val="24"/>
                <w:szCs w:val="24"/>
                <w:vertAlign w:val="superscript"/>
              </w:rPr>
              <w:t>*</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HIB19</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333802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143Nd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CD27</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O323</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302802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144Nd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CD14</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M5E2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301810</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145Nd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IgD</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IA6-2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348202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146Nd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CD123</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6H6</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306002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147Sm</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IL-4</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MP4-25D2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500802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Intracell</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148Nd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CD64</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10.1</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305016</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149Sm</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CD25</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24212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RD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MAB1020</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150Nd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CD192(CCR2)</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K036C2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357202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151Eu</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CD172a</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SE5A5</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323802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152Sm</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CD39</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A1</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328202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153Eu</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CD57</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HCD57</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322325</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154Sm</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Ki-67</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SolA15</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Thermo</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14-5698-82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Intracell</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155Gd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CD45RA</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HI100</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304102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156Gd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CD86</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Fun-1</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555655</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157Gd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CD28</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CD28.2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BioXcell</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BE0291</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158Gd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IFNγ</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B27</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506502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Intracell</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159Tb</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CD11c</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BU15</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337202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160Gd</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CD33</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WM53</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303419</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161Dy</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CX3CR1</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K0124E1</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355702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162Dy</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Foxp3</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PCH101</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Thermo</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14-4776-82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Intracell</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163Dy</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CD127</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A019D5</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351302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164Dy</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CD185(CXCR5)</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RF8B2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552032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165Ho</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CD66b</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G10F5</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305102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166Er</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CD69</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FN50</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310902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167Er</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CD197(CCR7)</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G043H7</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353222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168Er</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TREM2</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237920</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RD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MAB17291</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169Tm</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CD45RO</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UCHL1</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304202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170Er</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T-bet</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4B10</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644802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Intracell</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171Yb</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CD279(PD1)</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EH12.2H7</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329926</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172Yb</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CD38</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HIT2</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303502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173Yb</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IL-17A</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BL168</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512302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Intracell</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174Yb</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CD20</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2H7</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302302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175Lu</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CD16</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3G8</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302014</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176Yb</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HLA-DR</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L243</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307612</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197Au</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CD4</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RPA-T4</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300516</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198Pt</w:t>
            </w:r>
          </w:p>
        </w:tc>
        <w:tc>
          <w:tcPr>
            <w:tcW w:w="116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CD8a</w:t>
            </w:r>
          </w:p>
        </w:tc>
        <w:tc>
          <w:tcPr>
            <w:tcW w:w="83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RPA-T8</w:t>
            </w:r>
          </w:p>
        </w:tc>
        <w:tc>
          <w:tcPr>
            <w:tcW w:w="880"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301018</w:t>
            </w:r>
          </w:p>
        </w:tc>
        <w:tc>
          <w:tcPr>
            <w:tcW w:w="64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r w:rsidR="003C2121">
        <w:trPr>
          <w:trHeight w:val="270"/>
        </w:trPr>
        <w:tc>
          <w:tcPr>
            <w:tcW w:w="592" w:type="pct"/>
            <w:tcBorders>
              <w:top w:val="nil"/>
              <w:left w:val="nil"/>
              <w:bottom w:val="single" w:sz="12" w:space="0" w:color="000000"/>
              <w:right w:val="nil"/>
            </w:tcBorders>
            <w:shd w:val="clear" w:color="auto" w:fill="FFFFFF"/>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lastRenderedPageBreak/>
              <w:t>209Bi</w:t>
            </w:r>
          </w:p>
        </w:tc>
        <w:tc>
          <w:tcPr>
            <w:tcW w:w="1167" w:type="pct"/>
            <w:tcBorders>
              <w:top w:val="nil"/>
              <w:left w:val="nil"/>
              <w:bottom w:val="single" w:sz="12" w:space="0" w:color="000000"/>
              <w:right w:val="nil"/>
            </w:tcBorders>
            <w:shd w:val="clear" w:color="auto" w:fill="FFFFFF"/>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CD11b</w:t>
            </w:r>
          </w:p>
        </w:tc>
        <w:tc>
          <w:tcPr>
            <w:tcW w:w="838"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M1/70</w:t>
            </w:r>
          </w:p>
        </w:tc>
        <w:tc>
          <w:tcPr>
            <w:tcW w:w="880"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BioLegend</w:t>
            </w:r>
          </w:p>
        </w:tc>
        <w:tc>
          <w:tcPr>
            <w:tcW w:w="871"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101202</w:t>
            </w:r>
          </w:p>
        </w:tc>
        <w:tc>
          <w:tcPr>
            <w:tcW w:w="648"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Surface</w:t>
            </w:r>
          </w:p>
        </w:tc>
      </w:tr>
    </w:tbl>
    <w:p w:rsidR="003C2121" w:rsidRDefault="00EC7E26">
      <w:pPr>
        <w:spacing w:line="360" w:lineRule="auto"/>
        <w:rPr>
          <w:rFonts w:ascii="Times New Roman" w:eastAsia="sans-serif" w:hAnsi="Times New Roman" w:cs="Times New Roman"/>
          <w:color w:val="161719"/>
          <w:sz w:val="24"/>
          <w:szCs w:val="24"/>
          <w:shd w:val="clear" w:color="auto" w:fill="FFFFFF"/>
        </w:rPr>
      </w:pPr>
      <w:r>
        <w:rPr>
          <w:rFonts w:ascii="Times New Roman" w:eastAsia="Times New Roman" w:hAnsi="Times New Roman" w:cs="Times New Roman"/>
          <w:color w:val="000000"/>
          <w:sz w:val="24"/>
          <w:szCs w:val="24"/>
          <w:vertAlign w:val="superscript"/>
        </w:rPr>
        <w:t>*</w:t>
      </w:r>
      <w:r>
        <w:rPr>
          <w:rFonts w:ascii="Times New Roman" w:eastAsia="sans-serif" w:hAnsi="Times New Roman" w:cs="Times New Roman"/>
          <w:color w:val="161719"/>
          <w:sz w:val="24"/>
          <w:szCs w:val="24"/>
          <w:shd w:val="clear" w:color="auto" w:fill="FFFFFF"/>
        </w:rPr>
        <w:t>CD19 and TCRgd channels are the same. They require co</w:t>
      </w:r>
      <w:r>
        <w:rPr>
          <w:rFonts w:ascii="Times New Roman" w:eastAsia="SimSun" w:hAnsi="Times New Roman" w:cs="Times New Roman"/>
          <w:color w:val="161719"/>
          <w:sz w:val="24"/>
          <w:szCs w:val="24"/>
          <w:shd w:val="clear" w:color="auto" w:fill="FFFFFF"/>
        </w:rPr>
        <w:t>-</w:t>
      </w:r>
      <w:r>
        <w:rPr>
          <w:rFonts w:ascii="Times New Roman" w:eastAsia="sans-serif" w:hAnsi="Times New Roman" w:cs="Times New Roman"/>
          <w:color w:val="161719"/>
          <w:sz w:val="24"/>
          <w:szCs w:val="24"/>
          <w:shd w:val="clear" w:color="auto" w:fill="FFFFFF"/>
        </w:rPr>
        <w:t xml:space="preserve">expression with CD3 and either </w:t>
      </w:r>
      <w:r>
        <w:rPr>
          <w:rFonts w:ascii="Times New Roman" w:eastAsia="SimSun" w:hAnsi="Times New Roman" w:cs="Times New Roman"/>
          <w:color w:val="161719"/>
          <w:sz w:val="24"/>
          <w:szCs w:val="24"/>
          <w:shd w:val="clear" w:color="auto" w:fill="FFFFFF"/>
        </w:rPr>
        <w:t xml:space="preserve">Gamma-Delta </w:t>
      </w:r>
      <w:r>
        <w:rPr>
          <w:rFonts w:ascii="Times New Roman" w:eastAsia="sans-serif" w:hAnsi="Times New Roman" w:cs="Times New Roman"/>
          <w:color w:val="161719"/>
          <w:sz w:val="24"/>
          <w:szCs w:val="24"/>
          <w:shd w:val="clear" w:color="auto" w:fill="FFFFFF"/>
        </w:rPr>
        <w:t>T cells or B cells.</w:t>
      </w:r>
    </w:p>
    <w:p w:rsidR="003C2121" w:rsidRDefault="003C2121">
      <w:pPr>
        <w:rPr>
          <w:rFonts w:ascii="Times New Roman" w:eastAsia="sans-serif" w:hAnsi="Times New Roman" w:cs="Times New Roman"/>
          <w:color w:val="161719"/>
          <w:sz w:val="24"/>
          <w:szCs w:val="24"/>
          <w:shd w:val="clear" w:color="auto" w:fill="FFFFFF"/>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3C2121">
      <w:pPr>
        <w:widowControl/>
        <w:jc w:val="left"/>
        <w:rPr>
          <w:rFonts w:ascii="Times New Roman" w:hAnsi="Times New Roman" w:cs="Times New Roman"/>
          <w:sz w:val="24"/>
          <w:szCs w:val="24"/>
        </w:rPr>
      </w:pPr>
    </w:p>
    <w:p w:rsidR="003C2121" w:rsidRDefault="00EC7E26">
      <w:pPr>
        <w:widowControl/>
        <w:spacing w:line="480" w:lineRule="auto"/>
        <w:jc w:val="left"/>
        <w:rPr>
          <w:rFonts w:ascii="Times New Roman" w:hAnsi="Times New Roman" w:cs="Times New Roman"/>
          <w:sz w:val="24"/>
          <w:szCs w:val="24"/>
        </w:rPr>
      </w:pPr>
      <w:r>
        <w:rPr>
          <w:rFonts w:ascii="Times New Roman" w:hAnsi="Times New Roman" w:cs="Times New Roman"/>
          <w:b/>
          <w:bCs/>
          <w:sz w:val="24"/>
          <w:szCs w:val="24"/>
        </w:rPr>
        <w:lastRenderedPageBreak/>
        <w:t>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Table 3 </w:t>
      </w:r>
      <w:r>
        <w:rPr>
          <w:rFonts w:ascii="Times New Roman" w:hAnsi="Times New Roman" w:cs="Times New Roman"/>
          <w:sz w:val="24"/>
          <w:szCs w:val="24"/>
        </w:rPr>
        <w:t>Flow cytometry panel</w:t>
      </w:r>
    </w:p>
    <w:tbl>
      <w:tblPr>
        <w:tblW w:w="4997" w:type="pct"/>
        <w:tblLook w:val="04A0" w:firstRow="1" w:lastRow="0" w:firstColumn="1" w:lastColumn="0" w:noHBand="0" w:noVBand="1"/>
      </w:tblPr>
      <w:tblGrid>
        <w:gridCol w:w="2997"/>
        <w:gridCol w:w="1525"/>
        <w:gridCol w:w="1253"/>
        <w:gridCol w:w="1381"/>
        <w:gridCol w:w="1036"/>
        <w:gridCol w:w="1090"/>
      </w:tblGrid>
      <w:tr w:rsidR="003C2121">
        <w:trPr>
          <w:trHeight w:val="277"/>
        </w:trPr>
        <w:tc>
          <w:tcPr>
            <w:tcW w:w="1613" w:type="pct"/>
            <w:tcBorders>
              <w:top w:val="single" w:sz="12" w:space="0" w:color="000000"/>
              <w:left w:val="nil"/>
              <w:bottom w:val="single" w:sz="4" w:space="0" w:color="000000"/>
              <w:right w:val="nil"/>
              <w:tl2br w:val="nil"/>
            </w:tcBorders>
            <w:shd w:val="clear" w:color="auto" w:fill="FFFFFF"/>
            <w:noWrap/>
            <w:vAlign w:val="center"/>
          </w:tcPr>
          <w:p w:rsidR="003C2121" w:rsidRDefault="00EC7E26">
            <w:pPr>
              <w:widowControl/>
              <w:jc w:val="left"/>
              <w:textAlignment w:val="center"/>
              <w:rPr>
                <w:rFonts w:ascii="Times New Roman" w:eastAsia="SimHei" w:hAnsi="Times New Roman" w:cs="Times New Roman"/>
                <w:bCs/>
                <w:color w:val="000000"/>
                <w:sz w:val="24"/>
                <w:szCs w:val="24"/>
              </w:rPr>
            </w:pPr>
            <w:r>
              <w:rPr>
                <w:rFonts w:ascii="Times New Roman" w:eastAsia="SimHei" w:hAnsi="Times New Roman" w:cs="Times New Roman"/>
                <w:bCs/>
                <w:color w:val="000000"/>
                <w:kern w:val="0"/>
                <w:sz w:val="24"/>
                <w:szCs w:val="24"/>
                <w:lang w:bidi="ar"/>
              </w:rPr>
              <w:t>Label</w:t>
            </w:r>
          </w:p>
        </w:tc>
        <w:tc>
          <w:tcPr>
            <w:tcW w:w="821"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Marker</w:t>
            </w:r>
          </w:p>
        </w:tc>
        <w:tc>
          <w:tcPr>
            <w:tcW w:w="675"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Clone</w:t>
            </w:r>
          </w:p>
        </w:tc>
        <w:tc>
          <w:tcPr>
            <w:tcW w:w="744"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Source</w:t>
            </w:r>
          </w:p>
        </w:tc>
        <w:tc>
          <w:tcPr>
            <w:tcW w:w="558"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textAlignment w:val="center"/>
              <w:rPr>
                <w:rFonts w:ascii="Times New Roman" w:eastAsia="Times" w:hAnsi="Times New Roman" w:cs="Times New Roman"/>
                <w:bCs/>
                <w:color w:val="000000"/>
                <w:sz w:val="24"/>
                <w:szCs w:val="24"/>
              </w:rPr>
            </w:pPr>
            <w:r>
              <w:rPr>
                <w:rFonts w:ascii="Times New Roman" w:eastAsia="Times" w:hAnsi="Times New Roman" w:cs="Times New Roman"/>
                <w:bCs/>
                <w:color w:val="000000"/>
                <w:kern w:val="0"/>
                <w:sz w:val="24"/>
                <w:szCs w:val="24"/>
                <w:lang w:bidi="ar"/>
              </w:rPr>
              <w:t>Catalog</w:t>
            </w:r>
          </w:p>
        </w:tc>
        <w:tc>
          <w:tcPr>
            <w:tcW w:w="587" w:type="pct"/>
            <w:tcBorders>
              <w:top w:val="single" w:sz="12" w:space="0" w:color="000000"/>
              <w:left w:val="nil"/>
              <w:bottom w:val="single" w:sz="4"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bCs/>
                <w:color w:val="000000"/>
                <w:sz w:val="24"/>
                <w:szCs w:val="24"/>
              </w:rPr>
            </w:pPr>
            <w:r>
              <w:rPr>
                <w:rFonts w:ascii="Times New Roman" w:eastAsia="DengXian" w:hAnsi="Times New Roman" w:cs="Times New Roman"/>
                <w:bCs/>
                <w:color w:val="000000"/>
                <w:kern w:val="0"/>
                <w:sz w:val="24"/>
                <w:szCs w:val="24"/>
                <w:lang w:bidi="ar"/>
              </w:rPr>
              <w:t>Staining</w:t>
            </w:r>
          </w:p>
        </w:tc>
      </w:tr>
      <w:tr w:rsidR="003C2121">
        <w:trPr>
          <w:trHeight w:val="270"/>
        </w:trPr>
        <w:tc>
          <w:tcPr>
            <w:tcW w:w="1613"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 xml:space="preserve">PE  </w:t>
            </w:r>
          </w:p>
        </w:tc>
        <w:tc>
          <w:tcPr>
            <w:tcW w:w="821"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HLA-DR</w:t>
            </w:r>
          </w:p>
        </w:tc>
        <w:tc>
          <w:tcPr>
            <w:tcW w:w="675"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L243</w:t>
            </w:r>
          </w:p>
        </w:tc>
        <w:tc>
          <w:tcPr>
            <w:tcW w:w="744"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BioLegend</w:t>
            </w:r>
          </w:p>
        </w:tc>
        <w:tc>
          <w:tcPr>
            <w:tcW w:w="558"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307606</w:t>
            </w:r>
          </w:p>
        </w:tc>
        <w:tc>
          <w:tcPr>
            <w:tcW w:w="587" w:type="pct"/>
            <w:tcBorders>
              <w:top w:val="single" w:sz="4" w:space="0" w:color="000000"/>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Surface</w:t>
            </w:r>
          </w:p>
        </w:tc>
      </w:tr>
      <w:tr w:rsidR="003C2121">
        <w:trPr>
          <w:trHeight w:val="270"/>
        </w:trPr>
        <w:tc>
          <w:tcPr>
            <w:tcW w:w="1613"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APC</w:t>
            </w:r>
          </w:p>
        </w:tc>
        <w:tc>
          <w:tcPr>
            <w:tcW w:w="821"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CD39</w:t>
            </w:r>
          </w:p>
        </w:tc>
        <w:tc>
          <w:tcPr>
            <w:tcW w:w="675"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A1</w:t>
            </w:r>
          </w:p>
        </w:tc>
        <w:tc>
          <w:tcPr>
            <w:tcW w:w="744"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BioLegend</w:t>
            </w:r>
          </w:p>
        </w:tc>
        <w:tc>
          <w:tcPr>
            <w:tcW w:w="558"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328210</w:t>
            </w:r>
          </w:p>
        </w:tc>
        <w:tc>
          <w:tcPr>
            <w:tcW w:w="587" w:type="pct"/>
            <w:tcBorders>
              <w:top w:val="nil"/>
              <w:left w:val="nil"/>
              <w:bottom w:val="nil"/>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Surface</w:t>
            </w:r>
          </w:p>
        </w:tc>
      </w:tr>
      <w:tr w:rsidR="003C2121">
        <w:trPr>
          <w:trHeight w:val="270"/>
        </w:trPr>
        <w:tc>
          <w:tcPr>
            <w:tcW w:w="1613"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FITC</w:t>
            </w:r>
          </w:p>
        </w:tc>
        <w:tc>
          <w:tcPr>
            <w:tcW w:w="821"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CD14</w:t>
            </w:r>
          </w:p>
        </w:tc>
        <w:tc>
          <w:tcPr>
            <w:tcW w:w="675"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M5E2</w:t>
            </w:r>
          </w:p>
        </w:tc>
        <w:tc>
          <w:tcPr>
            <w:tcW w:w="744"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BioLegend</w:t>
            </w:r>
          </w:p>
        </w:tc>
        <w:tc>
          <w:tcPr>
            <w:tcW w:w="558"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301804</w:t>
            </w:r>
          </w:p>
        </w:tc>
        <w:tc>
          <w:tcPr>
            <w:tcW w:w="587" w:type="pct"/>
            <w:tcBorders>
              <w:top w:val="nil"/>
              <w:left w:val="nil"/>
              <w:bottom w:val="single" w:sz="12" w:space="0" w:color="000000"/>
              <w:right w:val="nil"/>
            </w:tcBorders>
            <w:shd w:val="clear" w:color="auto" w:fill="FFFFFF"/>
            <w:noWrap/>
            <w:vAlign w:val="center"/>
          </w:tcPr>
          <w:p w:rsidR="003C2121" w:rsidRDefault="00EC7E26">
            <w:pPr>
              <w:widowControl/>
              <w:jc w:val="left"/>
              <w:textAlignment w:val="center"/>
              <w:rPr>
                <w:rFonts w:ascii="Times New Roman" w:eastAsia="DengXian" w:hAnsi="Times New Roman" w:cs="Times New Roman"/>
                <w:color w:val="000000"/>
                <w:kern w:val="0"/>
                <w:sz w:val="24"/>
                <w:szCs w:val="24"/>
                <w:lang w:bidi="ar"/>
              </w:rPr>
            </w:pPr>
            <w:r>
              <w:rPr>
                <w:rFonts w:ascii="Times New Roman" w:eastAsia="DengXian" w:hAnsi="Times New Roman" w:cs="Times New Roman"/>
                <w:color w:val="000000"/>
                <w:kern w:val="0"/>
                <w:sz w:val="24"/>
                <w:szCs w:val="24"/>
                <w:lang w:bidi="ar"/>
              </w:rPr>
              <w:t>Surface</w:t>
            </w:r>
          </w:p>
        </w:tc>
      </w:tr>
    </w:tbl>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3C2121">
      <w:pPr>
        <w:widowControl/>
        <w:jc w:val="left"/>
        <w:rPr>
          <w:rFonts w:ascii="Times New Roman" w:hAnsi="Times New Roman" w:cs="Times New Roman"/>
          <w:b/>
          <w:bCs/>
          <w:sz w:val="24"/>
          <w:szCs w:val="24"/>
        </w:rPr>
      </w:pPr>
    </w:p>
    <w:p w:rsidR="003C2121" w:rsidRDefault="00EC7E26">
      <w:pPr>
        <w:widowControl/>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lastRenderedPageBreak/>
        <w:t>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Table 4 </w:t>
      </w:r>
      <w:r>
        <w:rPr>
          <w:rFonts w:ascii="Times New Roman" w:hAnsi="Times New Roman" w:cs="Times New Roman"/>
          <w:sz w:val="24"/>
          <w:szCs w:val="24"/>
        </w:rPr>
        <w:t>The subtype of immune cells within the CD45</w:t>
      </w:r>
      <w:r>
        <w:rPr>
          <w:rFonts w:ascii="Times New Roman" w:hAnsi="Times New Roman" w:cs="Times New Roman"/>
          <w:sz w:val="24"/>
          <w:szCs w:val="24"/>
          <w:vertAlign w:val="superscript"/>
        </w:rPr>
        <w:t>+</w:t>
      </w:r>
      <w:r>
        <w:rPr>
          <w:rFonts w:ascii="Times New Roman" w:hAnsi="Times New Roman" w:cs="Times New Roman"/>
          <w:sz w:val="24"/>
          <w:szCs w:val="24"/>
        </w:rPr>
        <w:t xml:space="preserve"> cell category</w:t>
      </w:r>
    </w:p>
    <w:tbl>
      <w:tblPr>
        <w:tblW w:w="4999" w:type="pct"/>
        <w:tblCellSpacing w:w="0" w:type="dxa"/>
        <w:tblInd w:w="-5" w:type="dxa"/>
        <w:tblCellMar>
          <w:left w:w="0" w:type="dxa"/>
          <w:right w:w="0" w:type="dxa"/>
        </w:tblCellMar>
        <w:tblLook w:val="04A0" w:firstRow="1" w:lastRow="0" w:firstColumn="1" w:lastColumn="0" w:noHBand="0" w:noVBand="1"/>
      </w:tblPr>
      <w:tblGrid>
        <w:gridCol w:w="1511"/>
        <w:gridCol w:w="2904"/>
        <w:gridCol w:w="4695"/>
      </w:tblGrid>
      <w:tr w:rsidR="003C2121">
        <w:trPr>
          <w:trHeight w:val="300"/>
          <w:tblCellSpacing w:w="0" w:type="dxa"/>
        </w:trPr>
        <w:tc>
          <w:tcPr>
            <w:tcW w:w="829" w:type="pct"/>
            <w:tcBorders>
              <w:top w:val="single" w:sz="12" w:space="0" w:color="000000"/>
              <w:left w:val="nil"/>
              <w:bottom w:val="single" w:sz="4" w:space="0" w:color="000000"/>
              <w:right w:val="nil"/>
              <w:tl2br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SimHei" w:hAnsi="Times New Roman"/>
                <w:bCs/>
                <w:color w:val="000000"/>
                <w:szCs w:val="24"/>
              </w:rPr>
            </w:pPr>
            <w:r>
              <w:rPr>
                <w:rFonts w:ascii="Times New Roman" w:eastAsia="SimHei" w:hAnsi="Times New Roman"/>
                <w:bCs/>
                <w:color w:val="000000"/>
                <w:szCs w:val="24"/>
                <w:lang w:bidi="ar"/>
              </w:rPr>
              <w:t>Cluster</w:t>
            </w:r>
          </w:p>
        </w:tc>
        <w:tc>
          <w:tcPr>
            <w:tcW w:w="1593" w:type="pct"/>
            <w:tcBorders>
              <w:top w:val="single" w:sz="12" w:space="0" w:color="000000"/>
              <w:left w:val="nil"/>
              <w:bottom w:val="single" w:sz="4" w:space="0" w:color="000000"/>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SimHei" w:hAnsi="Times New Roman"/>
                <w:bCs/>
                <w:color w:val="000000"/>
                <w:szCs w:val="24"/>
              </w:rPr>
            </w:pPr>
            <w:r>
              <w:rPr>
                <w:rFonts w:ascii="Times New Roman" w:eastAsia="SimHei" w:hAnsi="Times New Roman"/>
                <w:bCs/>
                <w:color w:val="000000"/>
                <w:szCs w:val="24"/>
                <w:lang w:bidi="ar"/>
              </w:rPr>
              <w:t>Cell type</w:t>
            </w:r>
          </w:p>
        </w:tc>
        <w:tc>
          <w:tcPr>
            <w:tcW w:w="2576" w:type="pct"/>
            <w:tcBorders>
              <w:top w:val="single" w:sz="12" w:space="0" w:color="000000"/>
              <w:left w:val="nil"/>
              <w:bottom w:val="single" w:sz="4" w:space="0" w:color="000000"/>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SimHei" w:hAnsi="Times New Roman"/>
                <w:bCs/>
                <w:color w:val="000000"/>
                <w:szCs w:val="24"/>
              </w:rPr>
            </w:pPr>
            <w:r>
              <w:rPr>
                <w:rFonts w:ascii="Times New Roman" w:eastAsia="SimHei" w:hAnsi="Times New Roman"/>
                <w:bCs/>
                <w:color w:val="000000"/>
                <w:szCs w:val="24"/>
                <w:lang w:bidi="ar"/>
              </w:rPr>
              <w:t>Subtype</w:t>
            </w:r>
          </w:p>
        </w:tc>
      </w:tr>
      <w:tr w:rsidR="003C2121">
        <w:trPr>
          <w:trHeight w:val="300"/>
          <w:tblCellSpacing w:w="0" w:type="dxa"/>
        </w:trPr>
        <w:tc>
          <w:tcPr>
            <w:tcW w:w="829" w:type="pct"/>
            <w:tcBorders>
              <w:top w:val="single" w:sz="4" w:space="0" w:color="000000"/>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C01</w:t>
            </w:r>
          </w:p>
        </w:tc>
        <w:tc>
          <w:tcPr>
            <w:tcW w:w="1593" w:type="pct"/>
            <w:tcBorders>
              <w:top w:val="single" w:sz="4" w:space="0" w:color="000000"/>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CD4 T cells</w:t>
            </w:r>
          </w:p>
        </w:tc>
        <w:tc>
          <w:tcPr>
            <w:tcW w:w="2576" w:type="pct"/>
            <w:tcBorders>
              <w:top w:val="single" w:sz="4" w:space="0" w:color="000000"/>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Memory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C02</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CD4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Naïve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C03</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CD4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Treg</w:t>
            </w:r>
          </w:p>
        </w:tc>
      </w:tr>
      <w:tr w:rsidR="003C2121">
        <w:trPr>
          <w:trHeight w:val="34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C04</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CD4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Memory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C05</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CD4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Treg</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C06</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CD4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Memory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C07</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CD4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Central Memory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C08</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CD8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Naïve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C09</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CD8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Memory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C10</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CD8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C11</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CD8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C12</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CD8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Memory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C13</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CD8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Naïve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C14</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CD8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Effector Memory T</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C15</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Gamma-Delta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3C2121">
            <w:pPr>
              <w:pStyle w:val="NormalWeb"/>
              <w:widowControl/>
              <w:rPr>
                <w:rFonts w:ascii="Times New Roman" w:eastAsia="DengXian" w:hAnsi="Times New Roman"/>
                <w:color w:val="000000"/>
                <w:szCs w:val="24"/>
              </w:rPr>
            </w:pP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C16</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DN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3C2121">
            <w:pPr>
              <w:pStyle w:val="NormalWeb"/>
              <w:widowControl/>
              <w:rPr>
                <w:rFonts w:ascii="Times New Roman" w:eastAsia="DengXian" w:hAnsi="Times New Roman"/>
                <w:color w:val="000000"/>
                <w:szCs w:val="24"/>
              </w:rPr>
            </w:pP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C17</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DP T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3C2121">
            <w:pPr>
              <w:pStyle w:val="NormalWeb"/>
              <w:widowControl/>
              <w:rPr>
                <w:rFonts w:ascii="Times New Roman" w:eastAsia="DengXian" w:hAnsi="Times New Roman"/>
                <w:color w:val="000000"/>
                <w:szCs w:val="24"/>
              </w:rPr>
            </w:pP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C18</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B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Naïve B</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C19</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B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Switched Memory</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C20</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B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Plasma </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C21</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NK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Cytotoxic NK</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C22</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NK cells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Cytotoxic NK</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C23</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Monocytes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Non-Classical</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C24</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Monocytes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Classical </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C25</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Monocytes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Classical </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C26</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Monocytes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Classical </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C27</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Monocytes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Classical </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C28</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Monocytes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Classical </w:t>
            </w:r>
          </w:p>
        </w:tc>
      </w:tr>
      <w:tr w:rsidR="003C2121">
        <w:trPr>
          <w:trHeight w:val="300"/>
          <w:tblCellSpacing w:w="0" w:type="dxa"/>
        </w:trPr>
        <w:tc>
          <w:tcPr>
            <w:tcW w:w="829"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C29</w:t>
            </w:r>
          </w:p>
        </w:tc>
        <w:tc>
          <w:tcPr>
            <w:tcW w:w="1593"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Monocytes</w:t>
            </w:r>
          </w:p>
        </w:tc>
        <w:tc>
          <w:tcPr>
            <w:tcW w:w="2576" w:type="pct"/>
            <w:tcBorders>
              <w:top w:val="nil"/>
              <w:left w:val="nil"/>
              <w:bottom w:val="nil"/>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Classical </w:t>
            </w:r>
          </w:p>
        </w:tc>
      </w:tr>
      <w:tr w:rsidR="003C2121">
        <w:trPr>
          <w:trHeight w:val="300"/>
          <w:tblCellSpacing w:w="0" w:type="dxa"/>
        </w:trPr>
        <w:tc>
          <w:tcPr>
            <w:tcW w:w="829" w:type="pct"/>
            <w:tcBorders>
              <w:top w:val="nil"/>
              <w:left w:val="nil"/>
              <w:bottom w:val="single" w:sz="12" w:space="0" w:color="000000"/>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C30</w:t>
            </w:r>
          </w:p>
        </w:tc>
        <w:tc>
          <w:tcPr>
            <w:tcW w:w="1593" w:type="pct"/>
            <w:tcBorders>
              <w:top w:val="nil"/>
              <w:left w:val="nil"/>
              <w:bottom w:val="single" w:sz="12" w:space="0" w:color="000000"/>
              <w:right w:val="nil"/>
            </w:tcBorders>
            <w:shd w:val="clear" w:color="auto" w:fill="FFFFFF"/>
            <w:tcMar>
              <w:top w:w="20" w:type="dxa"/>
              <w:left w:w="20" w:type="dxa"/>
              <w:bottom w:w="72" w:type="dxa"/>
              <w:right w:w="20" w:type="dxa"/>
            </w:tcMar>
            <w:vAlign w:val="center"/>
          </w:tcPr>
          <w:p w:rsidR="003C2121" w:rsidRDefault="00EC7E26">
            <w:pPr>
              <w:pStyle w:val="NormalWeb"/>
              <w:widowControl/>
              <w:rPr>
                <w:rFonts w:ascii="Times New Roman" w:eastAsia="DengXian" w:hAnsi="Times New Roman"/>
                <w:color w:val="000000"/>
                <w:szCs w:val="24"/>
              </w:rPr>
            </w:pPr>
            <w:r>
              <w:rPr>
                <w:rFonts w:ascii="Times New Roman" w:eastAsia="DengXian" w:hAnsi="Times New Roman"/>
                <w:color w:val="000000"/>
                <w:szCs w:val="24"/>
                <w:lang w:bidi="ar"/>
              </w:rPr>
              <w:t>Basophils</w:t>
            </w:r>
          </w:p>
        </w:tc>
        <w:tc>
          <w:tcPr>
            <w:tcW w:w="2576" w:type="pct"/>
            <w:tcBorders>
              <w:top w:val="nil"/>
              <w:left w:val="nil"/>
              <w:bottom w:val="single" w:sz="12" w:space="0" w:color="000000"/>
              <w:right w:val="nil"/>
            </w:tcBorders>
            <w:shd w:val="clear" w:color="auto" w:fill="FFFFFF"/>
            <w:tcMar>
              <w:top w:w="20" w:type="dxa"/>
              <w:left w:w="20" w:type="dxa"/>
              <w:bottom w:w="72" w:type="dxa"/>
              <w:right w:w="20" w:type="dxa"/>
            </w:tcMar>
            <w:vAlign w:val="center"/>
          </w:tcPr>
          <w:p w:rsidR="003C2121" w:rsidRDefault="003C2121">
            <w:pPr>
              <w:pStyle w:val="NormalWeb"/>
              <w:widowControl/>
              <w:rPr>
                <w:rFonts w:ascii="Times New Roman" w:eastAsia="DengXian" w:hAnsi="Times New Roman"/>
                <w:color w:val="000000"/>
                <w:szCs w:val="24"/>
              </w:rPr>
            </w:pPr>
          </w:p>
        </w:tc>
      </w:tr>
    </w:tbl>
    <w:p w:rsidR="003C2121" w:rsidRDefault="003C2121">
      <w:pPr>
        <w:rPr>
          <w:rFonts w:ascii="Times New Roman" w:eastAsia="sans-serif" w:hAnsi="Times New Roman" w:cs="Times New Roman"/>
          <w:color w:val="161719"/>
          <w:sz w:val="18"/>
          <w:szCs w:val="18"/>
          <w:shd w:val="clear" w:color="auto" w:fill="FFFFFF"/>
        </w:rPr>
      </w:pPr>
    </w:p>
    <w:p w:rsidR="003C2121" w:rsidRDefault="00EC7E26">
      <w:pPr>
        <w:widowControl/>
        <w:spacing w:line="480" w:lineRule="auto"/>
        <w:jc w:val="left"/>
        <w:rPr>
          <w:rFonts w:ascii="Times New Roman" w:hAnsi="Times New Roman" w:cs="Times New Roman"/>
          <w:b/>
          <w:bCs/>
          <w:color w:val="000000"/>
          <w:kern w:val="0"/>
          <w:sz w:val="24"/>
          <w:szCs w:val="24"/>
          <w:lang w:bidi="ar"/>
        </w:rPr>
      </w:pPr>
      <w:r>
        <w:rPr>
          <w:rFonts w:ascii="Times New Roman" w:eastAsia="TimesNewRomanPS-BoldMT" w:hAnsi="Times New Roman" w:cs="Times New Roman"/>
          <w:b/>
          <w:bCs/>
          <w:color w:val="000000"/>
          <w:kern w:val="0"/>
          <w:sz w:val="24"/>
          <w:szCs w:val="24"/>
          <w:lang w:bidi="ar"/>
        </w:rPr>
        <w:lastRenderedPageBreak/>
        <w:t>Supplementary figures:</w:t>
      </w:r>
    </w:p>
    <w:p w:rsidR="003C2121" w:rsidRDefault="00EC7E26">
      <w:pPr>
        <w:jc w:val="center"/>
        <w:rPr>
          <w:rFonts w:ascii="Times New Roman" w:hAnsi="Times New Roman" w:cs="Times New Roman"/>
          <w:b/>
          <w:bCs/>
          <w:sz w:val="24"/>
          <w:szCs w:val="24"/>
        </w:rPr>
      </w:pPr>
      <w:r>
        <w:rPr>
          <w:rFonts w:ascii="Times New Roman" w:eastAsia="SimSun" w:hAnsi="Times New Roman" w:cs="Times New Roman"/>
          <w:b/>
          <w:bCs/>
          <w:noProof/>
          <w:color w:val="000000"/>
          <w:kern w:val="0"/>
          <w:sz w:val="24"/>
          <w:szCs w:val="24"/>
          <w:lang w:val="en-IN" w:eastAsia="en-IN"/>
        </w:rPr>
        <w:drawing>
          <wp:inline distT="0" distB="0" distL="114300" distR="114300">
            <wp:extent cx="5760720" cy="7256780"/>
            <wp:effectExtent l="0" t="0" r="1905" b="1270"/>
            <wp:docPr id="5" name="图片 5" descr="FigureE1_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E1_ss"/>
                    <pic:cNvPicPr>
                      <a:picLocks noChangeAspect="1"/>
                    </pic:cNvPicPr>
                  </pic:nvPicPr>
                  <pic:blipFill>
                    <a:blip r:embed="rId4"/>
                    <a:stretch>
                      <a:fillRect/>
                    </a:stretch>
                  </pic:blipFill>
                  <pic:spPr>
                    <a:xfrm>
                      <a:off x="0" y="0"/>
                      <a:ext cx="5760720" cy="7256780"/>
                    </a:xfrm>
                    <a:prstGeom prst="rect">
                      <a:avLst/>
                    </a:prstGeom>
                  </pic:spPr>
                </pic:pic>
              </a:graphicData>
            </a:graphic>
          </wp:inline>
        </w:drawing>
      </w:r>
    </w:p>
    <w:p w:rsidR="003C2121" w:rsidRDefault="00EC7E26">
      <w:pPr>
        <w:rPr>
          <w:rFonts w:ascii="Times New Roman" w:hAnsi="Times New Roman" w:cs="Times New Roman"/>
          <w:sz w:val="24"/>
          <w:szCs w:val="24"/>
        </w:rPr>
      </w:pPr>
      <w:r>
        <w:rPr>
          <w:rFonts w:ascii="Times New Roman" w:hAnsi="Times New Roman" w:cs="Times New Roman"/>
          <w:b/>
          <w:bCs/>
          <w:sz w:val="24"/>
          <w:szCs w:val="24"/>
        </w:rPr>
        <w:t>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1</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CyTOF analysis of peripheral blood mononuclear cells</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A</w:t>
      </w:r>
      <w:r>
        <w:rPr>
          <w:rFonts w:ascii="Times New Roman" w:hAnsi="Times New Roman" w:cs="Times New Roman"/>
          <w:sz w:val="24"/>
          <w:szCs w:val="24"/>
        </w:rPr>
        <w:t xml:space="preserve"> The t-SNE maps were utilized to visually represent the PBMCs that were analyzed with distinct immune cell subsets across various groups. The analysis encompassed a total of 30 clusters within t</w:t>
      </w:r>
      <w:r>
        <w:rPr>
          <w:rFonts w:ascii="Times New Roman" w:hAnsi="Times New Roman" w:cs="Times New Roman"/>
          <w:sz w:val="24"/>
          <w:szCs w:val="24"/>
        </w:rPr>
        <w:t>he immune cell population.</w:t>
      </w:r>
      <w:r>
        <w:rPr>
          <w:rFonts w:ascii="Times New Roman" w:hAnsi="Times New Roman" w:cs="Times New Roman" w:hint="eastAsia"/>
          <w:sz w:val="24"/>
          <w:szCs w:val="24"/>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A heatmap was constructed to illustrate the normalized expressions of markers present in the peripheral immune cells. Types of various immune cell subsets were </w:t>
      </w:r>
      <w:r>
        <w:rPr>
          <w:rFonts w:ascii="Times New Roman" w:hAnsi="Times New Roman" w:cs="Times New Roman"/>
          <w:sz w:val="24"/>
          <w:szCs w:val="24"/>
        </w:rPr>
        <w:lastRenderedPageBreak/>
        <w:t>presented in Supplemental</w:t>
      </w:r>
      <w:r>
        <w:rPr>
          <w:rFonts w:ascii="Times New Roman" w:hAnsi="Times New Roman" w:cs="Times New Roman" w:hint="eastAsia"/>
          <w:sz w:val="24"/>
          <w:szCs w:val="24"/>
        </w:rPr>
        <w:t xml:space="preserve"> </w:t>
      </w:r>
      <w:r>
        <w:rPr>
          <w:rFonts w:ascii="Times New Roman" w:hAnsi="Times New Roman" w:cs="Times New Roman"/>
          <w:sz w:val="24"/>
          <w:szCs w:val="24"/>
        </w:rPr>
        <w:t>Table 4.</w:t>
      </w:r>
      <w:r>
        <w:rPr>
          <w:rFonts w:ascii="Times New Roman" w:hAnsi="Times New Roman" w:cs="Times New Roman" w:hint="eastAsia"/>
          <w:sz w:val="24"/>
          <w:szCs w:val="24"/>
        </w:rPr>
        <w:t xml:space="preserve"> </w:t>
      </w:r>
      <w:r>
        <w:rPr>
          <w:rFonts w:ascii="Times New Roman" w:hAnsi="Times New Roman" w:cs="Times New Roman"/>
          <w:b/>
          <w:bCs/>
          <w:sz w:val="24"/>
          <w:szCs w:val="24"/>
        </w:rPr>
        <w:t>C</w:t>
      </w:r>
      <w:r>
        <w:rPr>
          <w:rFonts w:ascii="Times New Roman" w:hAnsi="Times New Roman" w:cs="Times New Roman"/>
          <w:sz w:val="24"/>
          <w:szCs w:val="24"/>
        </w:rPr>
        <w:t xml:space="preserve"> The distribution of immune cel</w:t>
      </w:r>
      <w:r>
        <w:rPr>
          <w:rFonts w:ascii="Times New Roman" w:hAnsi="Times New Roman" w:cs="Times New Roman"/>
          <w:sz w:val="24"/>
          <w:szCs w:val="24"/>
        </w:rPr>
        <w:t>l subsets among the different groups was graphically presented using box plots (* for p &lt; 0.05, ** for p &lt; 0.01, and *** for p &lt; 0.001).</w:t>
      </w:r>
      <w:r>
        <w:rPr>
          <w:rFonts w:ascii="Times New Roman" w:hAnsi="Times New Roman" w:cs="Times New Roman" w:hint="eastAsia"/>
          <w:sz w:val="24"/>
          <w:szCs w:val="24"/>
        </w:rPr>
        <w:t xml:space="preserve"> </w:t>
      </w:r>
      <w:r>
        <w:rPr>
          <w:rFonts w:ascii="Times New Roman" w:hAnsi="Times New Roman" w:cs="Times New Roman"/>
          <w:b/>
          <w:bCs/>
          <w:sz w:val="24"/>
          <w:szCs w:val="24"/>
        </w:rPr>
        <w:t>D</w:t>
      </w:r>
      <w:r>
        <w:rPr>
          <w:rFonts w:ascii="Times New Roman" w:hAnsi="Times New Roman" w:cs="Times New Roman"/>
          <w:sz w:val="24"/>
          <w:szCs w:val="24"/>
        </w:rPr>
        <w:t xml:space="preserve"> The t-SNE heatmap provided a visual representation of cell markers that exhibit high expression levels on monocytes.</w:t>
      </w:r>
    </w:p>
    <w:p w:rsidR="003C2121" w:rsidRDefault="00EC7E26">
      <w:pPr>
        <w:rPr>
          <w:rFonts w:ascii="Times New Roman" w:hAnsi="Times New Roman" w:cs="Times New Roman"/>
          <w:sz w:val="24"/>
          <w:szCs w:val="24"/>
        </w:rPr>
      </w:pPr>
      <w:r>
        <w:rPr>
          <w:rFonts w:ascii="Times New Roman" w:hAnsi="Times New Roman" w:cs="Times New Roman"/>
          <w:sz w:val="24"/>
          <w:szCs w:val="24"/>
        </w:rPr>
        <w:t>CyTOF: mass cytometry time-of-flight. t-SNE: t-distributed stochastic neighbor embedding.  PBMCs: peripheral blood mononuclear cells.</w:t>
      </w:r>
    </w:p>
    <w:p w:rsidR="003C2121" w:rsidRDefault="003C2121">
      <w:pPr>
        <w:spacing w:line="480" w:lineRule="auto"/>
        <w:jc w:val="left"/>
        <w:rPr>
          <w:rFonts w:ascii="Times New Roman" w:hAnsi="Times New Roman" w:cs="Times New Roman"/>
          <w:b/>
          <w:bCs/>
          <w:sz w:val="24"/>
          <w:szCs w:val="24"/>
        </w:rPr>
      </w:pPr>
    </w:p>
    <w:p w:rsidR="003C2121" w:rsidRDefault="00EC7E26">
      <w:pPr>
        <w:rPr>
          <w:rFonts w:ascii="Times New Roman" w:hAnsi="Times New Roman" w:cs="Times New Roman"/>
          <w:sz w:val="24"/>
          <w:szCs w:val="24"/>
        </w:rPr>
      </w:pPr>
      <w:r>
        <w:rPr>
          <w:rFonts w:ascii="Times New Roman" w:eastAsia="SimSun" w:hAnsi="Times New Roman" w:cs="Times New Roman"/>
          <w:b/>
          <w:bCs/>
          <w:noProof/>
          <w:color w:val="000000"/>
          <w:kern w:val="0"/>
          <w:sz w:val="24"/>
          <w:szCs w:val="24"/>
          <w:lang w:val="en-IN" w:eastAsia="en-IN"/>
        </w:rPr>
        <w:drawing>
          <wp:inline distT="0" distB="0" distL="114300" distR="114300">
            <wp:extent cx="5748655" cy="3397885"/>
            <wp:effectExtent l="0" t="0" r="4445" b="2540"/>
            <wp:docPr id="4" name="图片 4" descr="FigureE2_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E2_ss"/>
                    <pic:cNvPicPr>
                      <a:picLocks noChangeAspect="1"/>
                    </pic:cNvPicPr>
                  </pic:nvPicPr>
                  <pic:blipFill>
                    <a:blip r:embed="rId5"/>
                    <a:stretch>
                      <a:fillRect/>
                    </a:stretch>
                  </pic:blipFill>
                  <pic:spPr>
                    <a:xfrm>
                      <a:off x="0" y="0"/>
                      <a:ext cx="5748655" cy="3397885"/>
                    </a:xfrm>
                    <a:prstGeom prst="rect">
                      <a:avLst/>
                    </a:prstGeom>
                  </pic:spPr>
                </pic:pic>
              </a:graphicData>
            </a:graphic>
          </wp:inline>
        </w:drawing>
      </w:r>
      <w:r>
        <w:rPr>
          <w:rFonts w:ascii="Times New Roman" w:hAnsi="Times New Roman" w:cs="Times New Roman"/>
          <w:b/>
          <w:bCs/>
          <w:sz w:val="24"/>
          <w:szCs w:val="24"/>
        </w:rPr>
        <w:t xml:space="preserve"> 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2</w:t>
      </w:r>
      <w:r>
        <w:rPr>
          <w:rFonts w:ascii="Times New Roman" w:hAnsi="Times New Roman" w:cs="Times New Roman"/>
          <w:sz w:val="24"/>
          <w:szCs w:val="24"/>
        </w:rPr>
        <w:t xml:space="preserve"> The distribution of monocyte subsets among the different groups was visually represented through bo</w:t>
      </w:r>
      <w:r>
        <w:rPr>
          <w:rFonts w:ascii="Times New Roman" w:hAnsi="Times New Roman" w:cs="Times New Roman"/>
          <w:sz w:val="24"/>
          <w:szCs w:val="24"/>
        </w:rPr>
        <w:t>x plots (* for p &lt; 0.05, ** for p &lt; 0.01, and *** for p &lt; 0.001).</w:t>
      </w:r>
    </w:p>
    <w:p w:rsidR="003C2121" w:rsidRDefault="003C2121">
      <w:pPr>
        <w:widowControl/>
        <w:spacing w:line="480" w:lineRule="auto"/>
        <w:jc w:val="left"/>
        <w:rPr>
          <w:rFonts w:ascii="Times New Roman" w:hAnsi="Times New Roman" w:cs="Times New Roman"/>
          <w:sz w:val="24"/>
          <w:szCs w:val="24"/>
        </w:rPr>
      </w:pPr>
    </w:p>
    <w:p w:rsidR="003C2121" w:rsidRDefault="003C2121">
      <w:pPr>
        <w:jc w:val="center"/>
        <w:rPr>
          <w:rFonts w:ascii="Times New Roman" w:eastAsia="SimSun" w:hAnsi="Times New Roman" w:cs="Times New Roman"/>
          <w:b/>
          <w:bCs/>
          <w:color w:val="000000"/>
          <w:kern w:val="0"/>
          <w:sz w:val="24"/>
          <w:szCs w:val="24"/>
          <w:lang w:bidi="ar"/>
        </w:rPr>
      </w:pPr>
    </w:p>
    <w:p w:rsidR="003C2121" w:rsidRDefault="00EC7E26">
      <w:pPr>
        <w:spacing w:line="480" w:lineRule="auto"/>
        <w:rPr>
          <w:rFonts w:ascii="Times New Roman" w:eastAsia="SimSun" w:hAnsi="Times New Roman" w:cs="Times New Roman"/>
          <w:b/>
          <w:bCs/>
          <w:color w:val="000000"/>
          <w:kern w:val="0"/>
          <w:sz w:val="24"/>
          <w:szCs w:val="24"/>
          <w:lang w:bidi="ar"/>
        </w:rPr>
      </w:pPr>
      <w:r>
        <w:rPr>
          <w:rFonts w:ascii="Times New Roman" w:eastAsia="SimSun" w:hAnsi="Times New Roman" w:cs="Times New Roman"/>
          <w:b/>
          <w:bCs/>
          <w:noProof/>
          <w:color w:val="000000"/>
          <w:kern w:val="0"/>
          <w:sz w:val="24"/>
          <w:szCs w:val="24"/>
          <w:lang w:val="en-IN" w:eastAsia="en-IN"/>
        </w:rPr>
        <w:lastRenderedPageBreak/>
        <w:drawing>
          <wp:inline distT="0" distB="0" distL="114300" distR="114300">
            <wp:extent cx="4821555" cy="8881745"/>
            <wp:effectExtent l="0" t="0" r="7620" b="5080"/>
            <wp:docPr id="3" name="图片 3" descr="FigureE3_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E3_ss"/>
                    <pic:cNvPicPr>
                      <a:picLocks noChangeAspect="1"/>
                    </pic:cNvPicPr>
                  </pic:nvPicPr>
                  <pic:blipFill>
                    <a:blip r:embed="rId6"/>
                    <a:stretch>
                      <a:fillRect/>
                    </a:stretch>
                  </pic:blipFill>
                  <pic:spPr>
                    <a:xfrm>
                      <a:off x="0" y="0"/>
                      <a:ext cx="4821555" cy="8881745"/>
                    </a:xfrm>
                    <a:prstGeom prst="rect">
                      <a:avLst/>
                    </a:prstGeom>
                  </pic:spPr>
                </pic:pic>
              </a:graphicData>
            </a:graphic>
          </wp:inline>
        </w:drawing>
      </w:r>
    </w:p>
    <w:p w:rsidR="003C2121" w:rsidRDefault="00EC7E26">
      <w:pPr>
        <w:rPr>
          <w:rFonts w:ascii="Times New Roman" w:hAnsi="Times New Roman" w:cs="Times New Roman"/>
          <w:sz w:val="24"/>
          <w:szCs w:val="24"/>
        </w:rPr>
      </w:pPr>
      <w:r>
        <w:rPr>
          <w:rFonts w:ascii="Times New Roman" w:hAnsi="Times New Roman" w:cs="Times New Roman"/>
          <w:b/>
          <w:bCs/>
          <w:sz w:val="24"/>
          <w:szCs w:val="24"/>
        </w:rPr>
        <w:lastRenderedPageBreak/>
        <w:t>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3 The ROC curves displaying the capability of CD39 and commonly used biomarkers in diagnosis of sepsis patients stratified by age and gender</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After stratification by ag</w:t>
      </w:r>
      <w:r>
        <w:rPr>
          <w:rFonts w:ascii="Times New Roman" w:hAnsi="Times New Roman" w:cs="Times New Roman"/>
          <w:sz w:val="24"/>
          <w:szCs w:val="24"/>
        </w:rPr>
        <w:t xml:space="preserve">e and gender, ROC curves for WBC, CRP, PCT, mCD39, and mHLA-DR were utilized to examine their ability to distinguish patients between: </w:t>
      </w:r>
      <w:r>
        <w:rPr>
          <w:rFonts w:ascii="Times New Roman" w:hAnsi="Times New Roman" w:cs="Times New Roman"/>
          <w:b/>
          <w:bCs/>
          <w:sz w:val="24"/>
          <w:szCs w:val="24"/>
        </w:rPr>
        <w:t>A</w:t>
      </w:r>
      <w:r>
        <w:rPr>
          <w:rFonts w:ascii="Times New Roman" w:hAnsi="Times New Roman" w:cs="Times New Roman"/>
          <w:sz w:val="24"/>
          <w:szCs w:val="24"/>
        </w:rPr>
        <w:t xml:space="preserve"> sepsis group and mild infection group; </w:t>
      </w:r>
      <w:r>
        <w:rPr>
          <w:rFonts w:ascii="Times New Roman" w:hAnsi="Times New Roman" w:cs="Times New Roman"/>
          <w:b/>
          <w:bCs/>
          <w:sz w:val="24"/>
          <w:szCs w:val="24"/>
        </w:rPr>
        <w:t>B</w:t>
      </w:r>
      <w:r>
        <w:rPr>
          <w:rFonts w:ascii="Times New Roman" w:hAnsi="Times New Roman" w:cs="Times New Roman" w:hint="eastAsia"/>
          <w:sz w:val="24"/>
          <w:szCs w:val="24"/>
        </w:rPr>
        <w:t xml:space="preserve"> </w:t>
      </w:r>
      <w:r>
        <w:rPr>
          <w:rFonts w:ascii="Times New Roman" w:hAnsi="Times New Roman" w:cs="Times New Roman"/>
          <w:sz w:val="24"/>
          <w:szCs w:val="24"/>
        </w:rPr>
        <w:t>sepsis group and surgery group.</w:t>
      </w:r>
    </w:p>
    <w:p w:rsidR="003C2121" w:rsidRDefault="00EC7E26">
      <w:pPr>
        <w:rPr>
          <w:rFonts w:ascii="Times New Roman" w:hAnsi="Times New Roman" w:cs="Times New Roman"/>
          <w:sz w:val="24"/>
          <w:szCs w:val="24"/>
        </w:rPr>
      </w:pPr>
      <w:r>
        <w:rPr>
          <w:rFonts w:ascii="Times New Roman" w:hAnsi="Times New Roman" w:cs="Times New Roman"/>
          <w:sz w:val="24"/>
          <w:szCs w:val="24"/>
        </w:rPr>
        <w:t xml:space="preserve">ROC: receiver operating characteristic. WBC: </w:t>
      </w:r>
      <w:r>
        <w:rPr>
          <w:rFonts w:ascii="Times New Roman" w:hAnsi="Times New Roman" w:cs="Times New Roman"/>
          <w:sz w:val="24"/>
          <w:szCs w:val="24"/>
        </w:rPr>
        <w:t>white blood cell count. CRP: C-reactive protein. PCT: procalcitonin. mCD39: monocytic CD39. mHLA-DR: monocytic human leukocyte antigen-DR. AUC: area under the curve.</w:t>
      </w:r>
    </w:p>
    <w:p w:rsidR="003C2121" w:rsidRDefault="003C2121">
      <w:pPr>
        <w:spacing w:line="480" w:lineRule="auto"/>
        <w:jc w:val="left"/>
        <w:rPr>
          <w:rFonts w:ascii="Times New Roman" w:hAnsi="Times New Roman" w:cs="Times New Roman"/>
          <w:b/>
          <w:bCs/>
          <w:sz w:val="24"/>
          <w:szCs w:val="24"/>
        </w:rPr>
      </w:pPr>
    </w:p>
    <w:p w:rsidR="003C2121" w:rsidRDefault="00EC7E26">
      <w:pPr>
        <w:jc w:val="center"/>
        <w:rPr>
          <w:rFonts w:ascii="Times New Roman" w:eastAsia="SimSun" w:hAnsi="Times New Roman" w:cs="Times New Roman"/>
          <w:b/>
          <w:bCs/>
          <w:color w:val="000000"/>
          <w:kern w:val="0"/>
          <w:sz w:val="24"/>
          <w:szCs w:val="24"/>
          <w:lang w:bidi="ar"/>
        </w:rPr>
      </w:pPr>
      <w:r>
        <w:rPr>
          <w:rFonts w:ascii="Times New Roman" w:eastAsia="SimSun" w:hAnsi="Times New Roman" w:cs="Times New Roman" w:hint="eastAsia"/>
          <w:b/>
          <w:bCs/>
          <w:noProof/>
          <w:color w:val="000000"/>
          <w:kern w:val="0"/>
          <w:sz w:val="24"/>
          <w:szCs w:val="24"/>
          <w:lang w:val="en-IN" w:eastAsia="en-IN"/>
        </w:rPr>
        <w:drawing>
          <wp:inline distT="0" distB="0" distL="114300" distR="114300">
            <wp:extent cx="4572000" cy="4572000"/>
            <wp:effectExtent l="0" t="0" r="0" b="0"/>
            <wp:docPr id="1" name="图片 1" descr="Supplemental 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l Fig. 4"/>
                    <pic:cNvPicPr>
                      <a:picLocks noChangeAspect="1"/>
                    </pic:cNvPicPr>
                  </pic:nvPicPr>
                  <pic:blipFill>
                    <a:blip r:embed="rId7"/>
                    <a:stretch>
                      <a:fillRect/>
                    </a:stretch>
                  </pic:blipFill>
                  <pic:spPr>
                    <a:xfrm>
                      <a:off x="0" y="0"/>
                      <a:ext cx="4572000" cy="4572000"/>
                    </a:xfrm>
                    <a:prstGeom prst="rect">
                      <a:avLst/>
                    </a:prstGeom>
                  </pic:spPr>
                </pic:pic>
              </a:graphicData>
            </a:graphic>
          </wp:inline>
        </w:drawing>
      </w:r>
    </w:p>
    <w:p w:rsidR="003C2121" w:rsidRDefault="00EC7E26">
      <w:pPr>
        <w:jc w:val="left"/>
        <w:rPr>
          <w:rFonts w:ascii="Times New Roman" w:hAnsi="Times New Roman" w:cs="Times New Roman"/>
          <w:sz w:val="24"/>
          <w:szCs w:val="24"/>
        </w:rPr>
      </w:pPr>
      <w:r>
        <w:rPr>
          <w:rFonts w:ascii="Times New Roman" w:hAnsi="Times New Roman" w:cs="Times New Roman"/>
          <w:b/>
          <w:bCs/>
          <w:sz w:val="24"/>
          <w:szCs w:val="24"/>
        </w:rPr>
        <w:t>Supplemental</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Fig</w:t>
      </w:r>
      <w:r>
        <w:rPr>
          <w:rFonts w:ascii="Times New Roman" w:hAnsi="Times New Roman" w:cs="Times New Roman" w:hint="eastAsia"/>
          <w:b/>
          <w:bCs/>
          <w:sz w:val="24"/>
          <w:szCs w:val="24"/>
        </w:rPr>
        <w:t xml:space="preserve">. </w:t>
      </w:r>
      <w:r>
        <w:rPr>
          <w:rFonts w:ascii="Times New Roman" w:hAnsi="Times New Roman" w:cs="Times New Roman" w:hint="eastAsia"/>
          <w:b/>
          <w:bCs/>
          <w:sz w:val="24"/>
          <w:szCs w:val="24"/>
        </w:rPr>
        <w:t>4</w:t>
      </w:r>
      <w:r>
        <w:rPr>
          <w:rFonts w:ascii="Times New Roman" w:hAnsi="Times New Roman" w:cs="Times New Roman"/>
          <w:b/>
          <w:bCs/>
          <w:sz w:val="24"/>
          <w:szCs w:val="24"/>
        </w:rPr>
        <w:t xml:space="preserve"> </w:t>
      </w:r>
      <w:r>
        <w:rPr>
          <w:rFonts w:ascii="Times New Roman" w:hAnsi="Times New Roman" w:cs="Times New Roman" w:hint="eastAsia"/>
          <w:sz w:val="24"/>
          <w:szCs w:val="24"/>
        </w:rPr>
        <w:t xml:space="preserve">Scatterplot of mCD39 vs. SOFA </w:t>
      </w:r>
      <w:r>
        <w:rPr>
          <w:rFonts w:ascii="Times New Roman" w:hAnsi="Times New Roman" w:cs="Times New Roman" w:hint="eastAsia"/>
          <w:sz w:val="24"/>
          <w:szCs w:val="24"/>
        </w:rPr>
        <w:t>s</w:t>
      </w:r>
      <w:r>
        <w:rPr>
          <w:rFonts w:ascii="Times New Roman" w:hAnsi="Times New Roman" w:cs="Times New Roman" w:hint="eastAsia"/>
          <w:sz w:val="24"/>
          <w:szCs w:val="24"/>
        </w:rPr>
        <w:t>cores of</w:t>
      </w:r>
      <w:r>
        <w:rPr>
          <w:rFonts w:ascii="Times New Roman" w:hAnsi="Times New Roman" w:cs="Times New Roman" w:hint="eastAsia"/>
          <w:sz w:val="24"/>
          <w:szCs w:val="24"/>
        </w:rPr>
        <w:t xml:space="preserve"> s</w:t>
      </w:r>
      <w:r>
        <w:rPr>
          <w:rFonts w:ascii="Times New Roman" w:hAnsi="Times New Roman" w:cs="Times New Roman" w:hint="eastAsia"/>
          <w:sz w:val="24"/>
          <w:szCs w:val="24"/>
        </w:rPr>
        <w:t xml:space="preserve">epsis </w:t>
      </w:r>
      <w:r>
        <w:rPr>
          <w:rFonts w:ascii="Times New Roman" w:hAnsi="Times New Roman" w:cs="Times New Roman" w:hint="eastAsia"/>
          <w:sz w:val="24"/>
          <w:szCs w:val="24"/>
        </w:rPr>
        <w:t>g</w:t>
      </w:r>
      <w:r>
        <w:rPr>
          <w:rFonts w:ascii="Times New Roman" w:hAnsi="Times New Roman" w:cs="Times New Roman" w:hint="eastAsia"/>
          <w:sz w:val="24"/>
          <w:szCs w:val="24"/>
        </w:rPr>
        <w:t xml:space="preserve">roup in the </w:t>
      </w:r>
      <w:r>
        <w:rPr>
          <w:rFonts w:ascii="Times New Roman" w:hAnsi="Times New Roman" w:cs="Times New Roman" w:hint="eastAsia"/>
          <w:sz w:val="24"/>
          <w:szCs w:val="24"/>
        </w:rPr>
        <w:t>v</w:t>
      </w:r>
      <w:r>
        <w:rPr>
          <w:rFonts w:ascii="Times New Roman" w:hAnsi="Times New Roman" w:cs="Times New Roman" w:hint="eastAsia"/>
          <w:sz w:val="24"/>
          <w:szCs w:val="24"/>
        </w:rPr>
        <w:t xml:space="preserve">alidation </w:t>
      </w:r>
      <w:r>
        <w:rPr>
          <w:rFonts w:ascii="Times New Roman" w:hAnsi="Times New Roman" w:cs="Times New Roman" w:hint="eastAsia"/>
          <w:sz w:val="24"/>
          <w:szCs w:val="24"/>
        </w:rPr>
        <w:t>c</w:t>
      </w:r>
      <w:r>
        <w:rPr>
          <w:rFonts w:ascii="Times New Roman" w:hAnsi="Times New Roman" w:cs="Times New Roman" w:hint="eastAsia"/>
          <w:sz w:val="24"/>
          <w:szCs w:val="24"/>
        </w:rPr>
        <w:t>ohort</w:t>
      </w:r>
      <w:r>
        <w:rPr>
          <w:rFonts w:ascii="Times New Roman" w:hAnsi="Times New Roman" w:cs="Times New Roman" w:hint="eastAsia"/>
          <w:sz w:val="24"/>
          <w:szCs w:val="24"/>
        </w:rPr>
        <w:t>.</w:t>
      </w:r>
    </w:p>
    <w:p w:rsidR="003C2121" w:rsidRDefault="00EC7E26">
      <w:pPr>
        <w:jc w:val="left"/>
        <w:rPr>
          <w:rFonts w:ascii="Times New Roman" w:hAnsi="Times New Roman" w:cs="Times New Roman"/>
          <w:b/>
          <w:bCs/>
          <w:sz w:val="24"/>
          <w:szCs w:val="24"/>
        </w:rPr>
      </w:pPr>
      <w:r>
        <w:rPr>
          <w:rFonts w:ascii="Times New Roman" w:hAnsi="Times New Roman" w:cs="Times New Roman"/>
          <w:sz w:val="24"/>
          <w:szCs w:val="24"/>
        </w:rPr>
        <w:t>mCD39: monocytic CD39</w:t>
      </w:r>
      <w:r>
        <w:rPr>
          <w:rFonts w:ascii="Times New Roman" w:hAnsi="Times New Roman" w:cs="Times New Roman" w:hint="eastAsia"/>
          <w:sz w:val="24"/>
          <w:szCs w:val="24"/>
        </w:rPr>
        <w:t xml:space="preserve">. </w:t>
      </w:r>
      <w:r>
        <w:rPr>
          <w:rFonts w:ascii="Times New Roman" w:hAnsi="Times New Roman" w:cs="Times New Roman" w:hint="eastAsia"/>
          <w:sz w:val="24"/>
          <w:szCs w:val="24"/>
        </w:rPr>
        <w:t>SOFA</w:t>
      </w:r>
      <w:r>
        <w:rPr>
          <w:rFonts w:ascii="Times New Roman" w:hAnsi="Times New Roman" w:cs="Times New Roman" w:hint="eastAsia"/>
          <w:sz w:val="24"/>
          <w:szCs w:val="24"/>
        </w:rPr>
        <w:t xml:space="preserve">: </w:t>
      </w:r>
      <w:r>
        <w:rPr>
          <w:rFonts w:ascii="Times New Roman" w:hAnsi="Times New Roman" w:cs="Times New Roman" w:hint="eastAsia"/>
          <w:sz w:val="24"/>
          <w:szCs w:val="24"/>
        </w:rPr>
        <w:t>Sequential Organ Failure Assessment</w:t>
      </w:r>
      <w:r>
        <w:rPr>
          <w:rFonts w:ascii="Times New Roman" w:hAnsi="Times New Roman" w:cs="Times New Roman" w:hint="eastAsia"/>
          <w:sz w:val="24"/>
          <w:szCs w:val="24"/>
        </w:rPr>
        <w:t>.</w:t>
      </w:r>
      <w:bookmarkEnd w:id="0"/>
    </w:p>
    <w:sectPr w:rsidR="003C2121" w:rsidSect="00EC7E26">
      <w:pgSz w:w="11906" w:h="16838"/>
      <w:pgMar w:top="1417" w:right="1417" w:bottom="1417"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DengXian">
    <w:altName w:val="Arial Unicode MS"/>
    <w:charset w:val="86"/>
    <w:family w:val="auto"/>
    <w:pitch w:val="default"/>
    <w:sig w:usb0="00000000" w:usb1="38CF7CFA" w:usb2="00000016" w:usb3="00000000" w:csb0="0004000F" w:csb1="00000000"/>
  </w:font>
  <w:font w:name="TimesNewRomanPS-BoldMT">
    <w:altName w:val="Segoe Print"/>
    <w:charset w:val="00"/>
    <w:family w:val="auto"/>
    <w:pitch w:val="default"/>
  </w:font>
  <w:font w:name="Times">
    <w:altName w:val="Times New Roman"/>
    <w:panose1 w:val="02020603050405020304"/>
    <w:charset w:val="00"/>
    <w:family w:val="auto"/>
    <w:pitch w:val="default"/>
    <w:sig w:usb0="00000000" w:usb1="00000000" w:usb2="00000000" w:usb3="00000000" w:csb0="0000019F" w:csb1="00000000"/>
  </w:font>
  <w:font w:name="SimHei">
    <w:altName w:val="Arial Unicode MS"/>
    <w:panose1 w:val="02010600030101010101"/>
    <w:charset w:val="86"/>
    <w:family w:val="modern"/>
    <w:notTrueType/>
    <w:pitch w:val="fixed"/>
    <w:sig w:usb0="00000000" w:usb1="080E0000" w:usb2="00000010" w:usb3="00000000" w:csb0="00040000" w:csb1="00000000"/>
  </w:font>
  <w:font w:name="sans-serif">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embedSystemFont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ODQwNThiYTg4YTBlNDhkZDRmNGNiNWM5NWE1YzAifQ=="/>
  </w:docVars>
  <w:rsids>
    <w:rsidRoot w:val="001C30A3"/>
    <w:rsid w:val="001C30A3"/>
    <w:rsid w:val="003C2121"/>
    <w:rsid w:val="00562099"/>
    <w:rsid w:val="005F16D9"/>
    <w:rsid w:val="00804957"/>
    <w:rsid w:val="00EC7E26"/>
    <w:rsid w:val="0E8D7953"/>
    <w:rsid w:val="102668B8"/>
    <w:rsid w:val="117C78CF"/>
    <w:rsid w:val="1EB41AA2"/>
    <w:rsid w:val="25A77F4A"/>
    <w:rsid w:val="25C40AFC"/>
    <w:rsid w:val="3CE964B2"/>
    <w:rsid w:val="3D5350D7"/>
    <w:rsid w:val="41360CDF"/>
    <w:rsid w:val="45815C6A"/>
    <w:rsid w:val="473F77AF"/>
    <w:rsid w:val="477A2EAE"/>
    <w:rsid w:val="4DD11948"/>
    <w:rsid w:val="56A45C5C"/>
    <w:rsid w:val="665C20B0"/>
    <w:rsid w:val="69B269AF"/>
    <w:rsid w:val="77702A42"/>
    <w:rsid w:val="7FBE0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7F50D6-2ADF-42BD-9275-5C1816EA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rPr>
  </w:style>
  <w:style w:type="paragraph" w:styleId="Heading1">
    <w:name w:val="heading 1"/>
    <w:basedOn w:val="Normal"/>
    <w:next w:val="Normal"/>
    <w:link w:val="Heading1Char"/>
    <w:autoRedefine/>
    <w:qFormat/>
    <w:pPr>
      <w:keepNext/>
      <w:keepLines/>
      <w:spacing w:before="340" w:after="330" w:line="576" w:lineRule="auto"/>
      <w:outlineLvl w:val="0"/>
    </w:pPr>
    <w:rPr>
      <w:b/>
      <w:kern w:val="44"/>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autoRedefine/>
    <w:qFormat/>
    <w:pPr>
      <w:spacing w:beforeAutospacing="1" w:afterAutospacing="1"/>
      <w:jc w:val="left"/>
    </w:pPr>
    <w:rPr>
      <w:rFonts w:cs="Times New Roman"/>
      <w:kern w:val="0"/>
      <w:sz w:val="24"/>
    </w:rPr>
  </w:style>
  <w:style w:type="character" w:customStyle="1" w:styleId="Heading1Char">
    <w:name w:val="Heading 1 Char"/>
    <w:basedOn w:val="DefaultParagraphFont"/>
    <w:link w:val="Heading1"/>
    <w:qFormat/>
    <w:rPr>
      <w:rFonts w:ascii="Calibri" w:eastAsia="SimSun" w:hAnsi="Calibri" w:cs="Times New Roman" w:hint="default"/>
      <w:b/>
      <w:kern w:val="44"/>
      <w:sz w:val="4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1863</Words>
  <Characters>10622</Characters>
  <Application>Microsoft Office Word</Application>
  <DocSecurity>0</DocSecurity>
  <Lines>88</Lines>
  <Paragraphs>24</Paragraphs>
  <ScaleCrop>false</ScaleCrop>
  <Company/>
  <LinksUpToDate>false</LinksUpToDate>
  <CharactersWithSpaces>12461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dc:creator>
  <cp:lastModifiedBy>Indhumathi S Sukumar K</cp:lastModifiedBy>
  <cp:revision>3</cp:revision>
  <dcterms:created xsi:type="dcterms:W3CDTF">2024-01-09T08:45:00Z</dcterms:created>
  <dcterms:modified xsi:type="dcterms:W3CDTF">2025-02-22T14:34:00Z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30F71AE823F541539609DCED08B700FF_12</vt:lpwstr>
  </property>
  <property fmtid="{D5CDD505-2E9C-101B-9397-08002B2CF9AE}" pid="4" name="KSOTemplateDocerSaveRecord">
    <vt:lpwstr>eyJoZGlkIjoiZTQ4ODQwNThiYTg4YTBlNDhkZDRmNGNiNWM5NWE1YzAiLCJ1c2VySWQiOiI0NDU3ODI2NTUifQ==</vt:lpwstr>
  </property>
</Properties>
</file>