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27A86" w14:textId="3AD8AF2F" w:rsidR="005819D7" w:rsidRPr="00FF4F5A" w:rsidRDefault="000044B1" w:rsidP="005819D7">
      <w:pPr>
        <w:spacing w:before="195"/>
        <w:ind w:right="2264"/>
        <w:rPr>
          <w:rFonts w:ascii="Arial" w:hAnsi="Arial" w:cs="Arial"/>
          <w:b/>
          <w:bCs/>
        </w:rPr>
      </w:pPr>
      <w:bookmarkStart w:id="0" w:name="_GoBack"/>
      <w:r w:rsidRPr="00FF4F5A">
        <w:rPr>
          <w:rFonts w:ascii="Arial" w:hAnsi="Arial" w:cs="Arial" w:hint="eastAsia"/>
          <w:b/>
          <w:bCs/>
          <w:sz w:val="22"/>
          <w:szCs w:val="28"/>
        </w:rPr>
        <w:t>C</w:t>
      </w:r>
      <w:r w:rsidR="005819D7" w:rsidRPr="00FF4F5A">
        <w:rPr>
          <w:rFonts w:ascii="Arial" w:hAnsi="Arial" w:cs="Arial"/>
          <w:b/>
          <w:bCs/>
          <w:sz w:val="22"/>
          <w:szCs w:val="28"/>
        </w:rPr>
        <w:t xml:space="preserve">Q3-1: Is a nutritional assessment necessary before </w:t>
      </w:r>
      <w:r w:rsidR="006571F2" w:rsidRPr="00FF4F5A">
        <w:rPr>
          <w:rFonts w:ascii="Arial" w:hAnsi="Arial" w:cs="Arial" w:hint="eastAsia"/>
          <w:b/>
          <w:bCs/>
          <w:sz w:val="22"/>
          <w:szCs w:val="28"/>
        </w:rPr>
        <w:t>providing</w:t>
      </w:r>
      <w:r w:rsidR="005819D7" w:rsidRPr="00FF4F5A">
        <w:rPr>
          <w:rFonts w:ascii="Arial" w:hAnsi="Arial" w:cs="Arial"/>
          <w:b/>
          <w:bCs/>
          <w:sz w:val="22"/>
          <w:szCs w:val="28"/>
        </w:rPr>
        <w:t xml:space="preserve"> nutrition therapy to critically ill patients?</w:t>
      </w:r>
    </w:p>
    <w:p w14:paraId="4EA51EC6" w14:textId="038BFFE8" w:rsidR="0012397E" w:rsidRPr="00FF4F5A" w:rsidRDefault="0012397E" w:rsidP="0012397E">
      <w:pPr>
        <w:spacing w:line="480" w:lineRule="auto"/>
        <w:rPr>
          <w:rFonts w:ascii="Times New Roman" w:hAnsi="Times New Roman" w:cs="Times New Roman"/>
        </w:rPr>
      </w:pPr>
      <w:r w:rsidRPr="00FF4F5A">
        <w:rPr>
          <w:rFonts w:ascii="Times New Roman" w:hAnsi="Times New Roman" w:cs="Times New Roman" w:hint="eastAsia"/>
        </w:rPr>
        <w:t>Supplemental table 1.</w:t>
      </w:r>
      <w:r w:rsidRPr="00FF4F5A">
        <w:rPr>
          <w:rFonts w:ascii="Times New Roman" w:hAnsi="Times New Roman" w:cs="Times New Roman"/>
        </w:rPr>
        <w:t xml:space="preserve"> Nutritional Assessment</w:t>
      </w:r>
    </w:p>
    <w:tbl>
      <w:tblPr>
        <w:tblStyle w:val="TableGrid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08"/>
        <w:gridCol w:w="909"/>
        <w:gridCol w:w="909"/>
        <w:gridCol w:w="909"/>
        <w:gridCol w:w="909"/>
        <w:gridCol w:w="909"/>
        <w:gridCol w:w="909"/>
        <w:gridCol w:w="909"/>
        <w:gridCol w:w="908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 w:rsidR="0012397E" w:rsidRPr="00FF4F5A" w14:paraId="1C17433A" w14:textId="77777777" w:rsidTr="00733B7C">
        <w:trPr>
          <w:trHeight w:val="1176"/>
        </w:trPr>
        <w:tc>
          <w:tcPr>
            <w:tcW w:w="908" w:type="dxa"/>
            <w:hideMark/>
          </w:tcPr>
          <w:p w14:paraId="2F9A7C4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Tool</w:t>
            </w:r>
          </w:p>
        </w:tc>
        <w:tc>
          <w:tcPr>
            <w:tcW w:w="909" w:type="dxa"/>
            <w:hideMark/>
          </w:tcPr>
          <w:p w14:paraId="549D99C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hideMark/>
          </w:tcPr>
          <w:p w14:paraId="3D219B7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MST; malnutrition screening tool</w:t>
            </w:r>
          </w:p>
        </w:tc>
        <w:tc>
          <w:tcPr>
            <w:tcW w:w="909" w:type="dxa"/>
            <w:hideMark/>
          </w:tcPr>
          <w:p w14:paraId="4D572B0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MUST; malnutrition universal screening tool</w:t>
            </w:r>
          </w:p>
        </w:tc>
        <w:tc>
          <w:tcPr>
            <w:tcW w:w="909" w:type="dxa"/>
            <w:hideMark/>
          </w:tcPr>
          <w:p w14:paraId="241BA2B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PONS; perioperative nutrition screening</w:t>
            </w:r>
          </w:p>
        </w:tc>
        <w:tc>
          <w:tcPr>
            <w:tcW w:w="909" w:type="dxa"/>
            <w:hideMark/>
          </w:tcPr>
          <w:p w14:paraId="533DE5C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NRS 2002;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 xml:space="preserve"> 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Nutrition Risk Screening</w:t>
            </w:r>
          </w:p>
        </w:tc>
        <w:tc>
          <w:tcPr>
            <w:tcW w:w="909" w:type="dxa"/>
            <w:hideMark/>
          </w:tcPr>
          <w:p w14:paraId="08A5C078" w14:textId="533A2E3A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PNI; prognostic </w:t>
            </w:r>
            <w:r w:rsidR="00F709A2" w:rsidRPr="00FF4F5A">
              <w:rPr>
                <w:rFonts w:ascii="Times New Roman" w:hAnsi="Times New Roman" w:cs="Times New Roman"/>
                <w:sz w:val="8"/>
                <w:szCs w:val="8"/>
              </w:rPr>
              <w:t>nutritional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 index</w:t>
            </w:r>
          </w:p>
        </w:tc>
        <w:tc>
          <w:tcPr>
            <w:tcW w:w="909" w:type="dxa"/>
            <w:hideMark/>
          </w:tcPr>
          <w:p w14:paraId="59D56AA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NRI; nutritional risk index</w:t>
            </w:r>
          </w:p>
        </w:tc>
        <w:tc>
          <w:tcPr>
            <w:tcW w:w="908" w:type="dxa"/>
            <w:hideMark/>
          </w:tcPr>
          <w:p w14:paraId="6B693ED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GNRI;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 xml:space="preserve"> 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Geriatric Nutritional Risk Index</w:t>
            </w:r>
          </w:p>
        </w:tc>
        <w:tc>
          <w:tcPr>
            <w:tcW w:w="909" w:type="dxa"/>
            <w:hideMark/>
          </w:tcPr>
          <w:p w14:paraId="3F9CA47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CONUT; Controlling Nutrition Status</w:t>
            </w:r>
          </w:p>
        </w:tc>
        <w:tc>
          <w:tcPr>
            <w:tcW w:w="909" w:type="dxa"/>
            <w:hideMark/>
          </w:tcPr>
          <w:p w14:paraId="775DFAFC" w14:textId="565CE3CD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GLIM; Global Leadership Initiative on </w:t>
            </w:r>
            <w:r w:rsidR="00F709A2" w:rsidRPr="00FF4F5A">
              <w:rPr>
                <w:rFonts w:ascii="Times New Roman" w:hAnsi="Times New Roman" w:cs="Times New Roman" w:hint="eastAsia"/>
                <w:sz w:val="8"/>
                <w:szCs w:val="8"/>
              </w:rPr>
              <w:t>Malnu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trition</w:t>
            </w:r>
          </w:p>
        </w:tc>
        <w:tc>
          <w:tcPr>
            <w:tcW w:w="909" w:type="dxa"/>
            <w:hideMark/>
          </w:tcPr>
          <w:p w14:paraId="6B72979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NUTRIC; Nutrition Risk in the Critically Ill</w:t>
            </w:r>
          </w:p>
        </w:tc>
        <w:tc>
          <w:tcPr>
            <w:tcW w:w="909" w:type="dxa"/>
            <w:hideMark/>
          </w:tcPr>
          <w:p w14:paraId="262F953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mNUTRIC; modified NUTRIC</w:t>
            </w:r>
          </w:p>
        </w:tc>
        <w:tc>
          <w:tcPr>
            <w:tcW w:w="909" w:type="dxa"/>
            <w:hideMark/>
          </w:tcPr>
          <w:p w14:paraId="0A7B37F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SCREENIC; Screening of Nutritional Risk in Intensive Care</w:t>
            </w:r>
          </w:p>
        </w:tc>
        <w:tc>
          <w:tcPr>
            <w:tcW w:w="909" w:type="dxa"/>
            <w:hideMark/>
          </w:tcPr>
          <w:p w14:paraId="341EDD4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MNA; mini-nutritional assessment</w:t>
            </w:r>
          </w:p>
        </w:tc>
        <w:tc>
          <w:tcPr>
            <w:tcW w:w="909" w:type="dxa"/>
            <w:hideMark/>
          </w:tcPr>
          <w:p w14:paraId="1F1C429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MNA-SF (mini nutritional assessment short form)</w:t>
            </w:r>
          </w:p>
        </w:tc>
        <w:tc>
          <w:tcPr>
            <w:tcW w:w="909" w:type="dxa"/>
            <w:hideMark/>
          </w:tcPr>
          <w:p w14:paraId="1A32709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SGA; Subjective Global Assessment</w:t>
            </w:r>
          </w:p>
        </w:tc>
      </w:tr>
      <w:tr w:rsidR="0012397E" w:rsidRPr="00FF4F5A" w14:paraId="6C5E08A8" w14:textId="77777777" w:rsidTr="00733B7C">
        <w:trPr>
          <w:trHeight w:val="696"/>
        </w:trPr>
        <w:tc>
          <w:tcPr>
            <w:tcW w:w="908" w:type="dxa"/>
          </w:tcPr>
          <w:p w14:paraId="437ADC2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5B5C234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78C2183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49288D8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33CAB59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02A4F5C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0D76060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03D0E9A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</w:tcPr>
          <w:p w14:paraId="00A03FE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1EC0360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4EE6158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6BD4664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4E644A3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7880286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679BAE8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5A8304B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</w:tcPr>
          <w:p w14:paraId="6F5A0AD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59555434" w14:textId="77777777" w:rsidTr="00733B7C">
        <w:trPr>
          <w:trHeight w:val="706"/>
        </w:trPr>
        <w:tc>
          <w:tcPr>
            <w:tcW w:w="908" w:type="dxa"/>
            <w:vMerge w:val="restart"/>
            <w:hideMark/>
          </w:tcPr>
          <w:p w14:paraId="6E7F044C" w14:textId="5288CDC9" w:rsidR="0012397E" w:rsidRPr="00FF4F5A" w:rsidRDefault="00F709A2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Assessment</w:t>
            </w:r>
            <w:r w:rsidR="0012397E"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 items</w:t>
            </w:r>
          </w:p>
        </w:tc>
        <w:tc>
          <w:tcPr>
            <w:tcW w:w="909" w:type="dxa"/>
            <w:noWrap/>
            <w:hideMark/>
          </w:tcPr>
          <w:p w14:paraId="19D4CDC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weight loss</w:t>
            </w:r>
          </w:p>
        </w:tc>
        <w:tc>
          <w:tcPr>
            <w:tcW w:w="909" w:type="dxa"/>
            <w:noWrap/>
            <w:hideMark/>
          </w:tcPr>
          <w:p w14:paraId="13E6E9A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C9E01B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4B4616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708C44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65E527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B8EC9C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8" w:type="dxa"/>
            <w:noWrap/>
            <w:hideMark/>
          </w:tcPr>
          <w:p w14:paraId="0FDF4DE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4BD624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06F135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04574C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39EBCE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BC1E16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7F207F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B2746E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CD7AEA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</w:tr>
      <w:tr w:rsidR="0012397E" w:rsidRPr="00FF4F5A" w14:paraId="6A84C5FF" w14:textId="77777777" w:rsidTr="00733B7C">
        <w:trPr>
          <w:trHeight w:val="568"/>
        </w:trPr>
        <w:tc>
          <w:tcPr>
            <w:tcW w:w="908" w:type="dxa"/>
            <w:vMerge/>
            <w:hideMark/>
          </w:tcPr>
          <w:p w14:paraId="398C268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0B0035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BMI</w:t>
            </w:r>
          </w:p>
        </w:tc>
        <w:tc>
          <w:tcPr>
            <w:tcW w:w="909" w:type="dxa"/>
            <w:noWrap/>
            <w:hideMark/>
          </w:tcPr>
          <w:p w14:paraId="0B7D97D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C38095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CCC66A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88B69D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7682E0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2BAA2F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6D0B21E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F20163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D006B6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426510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D001D6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8744B9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085880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DC10F2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26FEA8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1898B59D" w14:textId="77777777" w:rsidTr="00733B7C">
        <w:trPr>
          <w:trHeight w:val="691"/>
        </w:trPr>
        <w:tc>
          <w:tcPr>
            <w:tcW w:w="908" w:type="dxa"/>
            <w:vMerge/>
            <w:hideMark/>
          </w:tcPr>
          <w:p w14:paraId="02ACA96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4EAD96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severity/acute phase</w:t>
            </w:r>
          </w:p>
        </w:tc>
        <w:tc>
          <w:tcPr>
            <w:tcW w:w="909" w:type="dxa"/>
            <w:noWrap/>
            <w:hideMark/>
          </w:tcPr>
          <w:p w14:paraId="30A27B1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4580C5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20DD9B2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09505B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20086D2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E507C2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70B8088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F2D43B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68BC7B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B7A1B4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674BA5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71EB0F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〇</w:t>
            </w:r>
          </w:p>
        </w:tc>
        <w:tc>
          <w:tcPr>
            <w:tcW w:w="909" w:type="dxa"/>
            <w:noWrap/>
            <w:hideMark/>
          </w:tcPr>
          <w:p w14:paraId="2F77E77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25F8BEF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2C2DCA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43325658" w14:textId="77777777" w:rsidTr="00733B7C">
        <w:trPr>
          <w:trHeight w:val="693"/>
        </w:trPr>
        <w:tc>
          <w:tcPr>
            <w:tcW w:w="908" w:type="dxa"/>
            <w:vMerge/>
            <w:hideMark/>
          </w:tcPr>
          <w:p w14:paraId="357BF69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FAEEAC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Gastrointestinal symptoms</w:t>
            </w:r>
          </w:p>
        </w:tc>
        <w:tc>
          <w:tcPr>
            <w:tcW w:w="909" w:type="dxa"/>
            <w:noWrap/>
            <w:hideMark/>
          </w:tcPr>
          <w:p w14:paraId="247270F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563CFD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129B32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7CB2B5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84ACE1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8D25E7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697EE7F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495449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D765E7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112680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A2E816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5264B1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91B9DE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3866E8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74A29C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</w:tr>
      <w:tr w:rsidR="0012397E" w:rsidRPr="00FF4F5A" w14:paraId="6F58E3E2" w14:textId="77777777" w:rsidTr="00733B7C">
        <w:trPr>
          <w:trHeight w:val="709"/>
        </w:trPr>
        <w:tc>
          <w:tcPr>
            <w:tcW w:w="908" w:type="dxa"/>
            <w:vMerge/>
            <w:hideMark/>
          </w:tcPr>
          <w:p w14:paraId="7D2742A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6344AC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physical assessment</w:t>
            </w:r>
          </w:p>
        </w:tc>
        <w:tc>
          <w:tcPr>
            <w:tcW w:w="909" w:type="dxa"/>
            <w:noWrap/>
            <w:hideMark/>
          </w:tcPr>
          <w:p w14:paraId="7F26370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8199C8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996952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0E3BB5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B98280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745037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3DA3B5F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C89941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503D0E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〇</w:t>
            </w:r>
          </w:p>
          <w:p w14:paraId="0E72533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(muscle)</w:t>
            </w:r>
          </w:p>
        </w:tc>
        <w:tc>
          <w:tcPr>
            <w:tcW w:w="909" w:type="dxa"/>
            <w:noWrap/>
            <w:hideMark/>
          </w:tcPr>
          <w:p w14:paraId="52EF0CE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7CF661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A8C6E9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〇</w:t>
            </w:r>
          </w:p>
        </w:tc>
        <w:tc>
          <w:tcPr>
            <w:tcW w:w="909" w:type="dxa"/>
            <w:noWrap/>
            <w:hideMark/>
          </w:tcPr>
          <w:p w14:paraId="687ADEA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CBCCA6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1AD45B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</w:tr>
      <w:tr w:rsidR="0012397E" w:rsidRPr="00FF4F5A" w14:paraId="0EE43442" w14:textId="77777777" w:rsidTr="00733B7C">
        <w:trPr>
          <w:trHeight w:val="637"/>
        </w:trPr>
        <w:tc>
          <w:tcPr>
            <w:tcW w:w="908" w:type="dxa"/>
            <w:vMerge/>
            <w:hideMark/>
          </w:tcPr>
          <w:p w14:paraId="402B43D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6D6B81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mobility, functional assessment</w:t>
            </w:r>
          </w:p>
        </w:tc>
        <w:tc>
          <w:tcPr>
            <w:tcW w:w="909" w:type="dxa"/>
            <w:noWrap/>
            <w:hideMark/>
          </w:tcPr>
          <w:p w14:paraId="06605506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8AA696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C9B2E7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851BFE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33CD25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F5D6AD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6DD92FF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0112F6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E54702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860BF4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295BD9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597EED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0B1F6B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26535B4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6E233A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</w:tr>
      <w:tr w:rsidR="0012397E" w:rsidRPr="00FF4F5A" w14:paraId="6F439FEA" w14:textId="77777777" w:rsidTr="00733B7C">
        <w:trPr>
          <w:trHeight w:val="703"/>
        </w:trPr>
        <w:tc>
          <w:tcPr>
            <w:tcW w:w="908" w:type="dxa"/>
            <w:vMerge/>
            <w:hideMark/>
          </w:tcPr>
          <w:p w14:paraId="63B5905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76FDEB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cognitive function</w:t>
            </w:r>
          </w:p>
        </w:tc>
        <w:tc>
          <w:tcPr>
            <w:tcW w:w="909" w:type="dxa"/>
            <w:noWrap/>
            <w:hideMark/>
          </w:tcPr>
          <w:p w14:paraId="29C0867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9F2AD7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DF47C5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7535A4B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3BBC1A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5018F7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47E9B9F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C9054F4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8180A20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D4966A2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3F33C2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55876B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DCE572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FF2D1A1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160F27E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7DCEDC54" w14:textId="77777777" w:rsidTr="00733B7C">
        <w:trPr>
          <w:trHeight w:val="744"/>
        </w:trPr>
        <w:tc>
          <w:tcPr>
            <w:tcW w:w="908" w:type="dxa"/>
            <w:vMerge/>
            <w:hideMark/>
          </w:tcPr>
          <w:p w14:paraId="105AD38A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07720E75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considered age</w:t>
            </w:r>
          </w:p>
        </w:tc>
        <w:tc>
          <w:tcPr>
            <w:tcW w:w="909" w:type="dxa"/>
            <w:noWrap/>
            <w:hideMark/>
          </w:tcPr>
          <w:p w14:paraId="3DA1504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090BED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BF5B67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C65B8D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570E03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6560B6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8" w:type="dxa"/>
            <w:noWrap/>
            <w:hideMark/>
          </w:tcPr>
          <w:p w14:paraId="3E00201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25DC22F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9364D4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340483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41EECC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16F3C4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〇</w:t>
            </w:r>
          </w:p>
        </w:tc>
        <w:tc>
          <w:tcPr>
            <w:tcW w:w="909" w:type="dxa"/>
            <w:noWrap/>
            <w:hideMark/>
          </w:tcPr>
          <w:p w14:paraId="63677AE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3E2E25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211BEB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174A86FC" w14:textId="77777777" w:rsidTr="00733B7C">
        <w:trPr>
          <w:trHeight w:val="738"/>
        </w:trPr>
        <w:tc>
          <w:tcPr>
            <w:tcW w:w="908" w:type="dxa"/>
            <w:vMerge/>
            <w:hideMark/>
          </w:tcPr>
          <w:p w14:paraId="03E77EE7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62FC1C0A" w14:textId="0EA22BEA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serum </w:t>
            </w:r>
            <w:r w:rsidR="00733B7C" w:rsidRPr="00FF4F5A">
              <w:rPr>
                <w:rFonts w:ascii="Times New Roman" w:hAnsi="Times New Roman" w:cs="Times New Roman"/>
                <w:sz w:val="8"/>
                <w:szCs w:val="8"/>
              </w:rPr>
              <w:t>albumin</w:t>
            </w:r>
          </w:p>
        </w:tc>
        <w:tc>
          <w:tcPr>
            <w:tcW w:w="909" w:type="dxa"/>
            <w:noWrap/>
            <w:hideMark/>
          </w:tcPr>
          <w:p w14:paraId="7CCC875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D71216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81B053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FA413E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49C679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F3F3AE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8" w:type="dxa"/>
            <w:noWrap/>
            <w:hideMark/>
          </w:tcPr>
          <w:p w14:paraId="57C2FC4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E559D5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580FE9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0B4FDA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A735B4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681F02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1E648C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A82E0D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9F9980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20180D38" w14:textId="77777777" w:rsidTr="00733B7C">
        <w:trPr>
          <w:trHeight w:val="593"/>
        </w:trPr>
        <w:tc>
          <w:tcPr>
            <w:tcW w:w="908" w:type="dxa"/>
            <w:vMerge/>
            <w:hideMark/>
          </w:tcPr>
          <w:p w14:paraId="212932BD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448C312F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nutritional intake</w:t>
            </w:r>
          </w:p>
        </w:tc>
        <w:tc>
          <w:tcPr>
            <w:tcW w:w="909" w:type="dxa"/>
            <w:noWrap/>
            <w:hideMark/>
          </w:tcPr>
          <w:p w14:paraId="5147BE9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866F9D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18AE72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8D1777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6DFE21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5F1ADD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03A6623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112239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FECCC6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〇</w:t>
            </w:r>
          </w:p>
        </w:tc>
        <w:tc>
          <w:tcPr>
            <w:tcW w:w="909" w:type="dxa"/>
            <w:noWrap/>
            <w:hideMark/>
          </w:tcPr>
          <w:p w14:paraId="4A6B204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AC223D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4E636C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ED0BFF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962609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E20819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</w:tr>
      <w:tr w:rsidR="0012397E" w:rsidRPr="00FF4F5A" w14:paraId="4BB90E5F" w14:textId="77777777" w:rsidTr="00733B7C">
        <w:trPr>
          <w:trHeight w:val="613"/>
        </w:trPr>
        <w:tc>
          <w:tcPr>
            <w:tcW w:w="908" w:type="dxa"/>
            <w:vMerge/>
            <w:hideMark/>
          </w:tcPr>
          <w:p w14:paraId="55BFD9E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3C16AA50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Total lymphocyte count</w:t>
            </w:r>
          </w:p>
        </w:tc>
        <w:tc>
          <w:tcPr>
            <w:tcW w:w="909" w:type="dxa"/>
            <w:noWrap/>
            <w:hideMark/>
          </w:tcPr>
          <w:p w14:paraId="4C90988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238483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43813C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65C1F1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721DF7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1985D85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  <w:u w:val="single"/>
              </w:rPr>
            </w:pPr>
          </w:p>
        </w:tc>
        <w:tc>
          <w:tcPr>
            <w:tcW w:w="908" w:type="dxa"/>
            <w:noWrap/>
            <w:hideMark/>
          </w:tcPr>
          <w:p w14:paraId="3EC8E60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C2DA0B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D7C58B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664271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B3C898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C75CB2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DFF645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9B9614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7D4D9E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223F2A4B" w14:textId="77777777" w:rsidTr="00733B7C">
        <w:trPr>
          <w:trHeight w:val="774"/>
        </w:trPr>
        <w:tc>
          <w:tcPr>
            <w:tcW w:w="908" w:type="dxa"/>
            <w:vMerge w:val="restart"/>
            <w:hideMark/>
          </w:tcPr>
          <w:p w14:paraId="156931F9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subjects</w:t>
            </w:r>
          </w:p>
        </w:tc>
        <w:tc>
          <w:tcPr>
            <w:tcW w:w="909" w:type="dxa"/>
            <w:noWrap/>
            <w:vAlign w:val="center"/>
            <w:hideMark/>
          </w:tcPr>
          <w:p w14:paraId="7FAEE0AA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can be used for critically ill</w:t>
            </w:r>
          </w:p>
        </w:tc>
        <w:tc>
          <w:tcPr>
            <w:tcW w:w="909" w:type="dxa"/>
            <w:noWrap/>
            <w:hideMark/>
          </w:tcPr>
          <w:p w14:paraId="72EDD75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96AE89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568D2E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170962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73E328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824903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  <w:u w:val="single"/>
              </w:rPr>
            </w:pPr>
          </w:p>
        </w:tc>
        <w:tc>
          <w:tcPr>
            <w:tcW w:w="908" w:type="dxa"/>
            <w:noWrap/>
            <w:hideMark/>
          </w:tcPr>
          <w:p w14:paraId="1DBDC33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3F7973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C6FBD5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05C08A1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67DED5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806244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EAA883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F3795D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27B60D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48AFA8FB" w14:textId="77777777" w:rsidTr="00733B7C">
        <w:trPr>
          <w:trHeight w:val="842"/>
        </w:trPr>
        <w:tc>
          <w:tcPr>
            <w:tcW w:w="908" w:type="dxa"/>
            <w:vMerge/>
            <w:hideMark/>
          </w:tcPr>
          <w:p w14:paraId="6C464155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5E453BA9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originally developed for critically ill</w:t>
            </w:r>
          </w:p>
        </w:tc>
        <w:tc>
          <w:tcPr>
            <w:tcW w:w="909" w:type="dxa"/>
            <w:noWrap/>
            <w:hideMark/>
          </w:tcPr>
          <w:p w14:paraId="210E9DE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8CBB8A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A769D9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3880D3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57081C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830687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  <w:u w:val="single"/>
              </w:rPr>
            </w:pPr>
          </w:p>
        </w:tc>
        <w:tc>
          <w:tcPr>
            <w:tcW w:w="908" w:type="dxa"/>
            <w:noWrap/>
            <w:hideMark/>
          </w:tcPr>
          <w:p w14:paraId="54258D8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FB25EA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8E565B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37BD06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FF7F99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72E990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51B086F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C36963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52D5F5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7FA76599" w14:textId="77777777" w:rsidTr="00733B7C">
        <w:trPr>
          <w:trHeight w:val="748"/>
        </w:trPr>
        <w:tc>
          <w:tcPr>
            <w:tcW w:w="908" w:type="dxa"/>
            <w:vMerge/>
            <w:hideMark/>
          </w:tcPr>
          <w:p w14:paraId="15F2823F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137B754B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originally developed for elderly</w:t>
            </w:r>
          </w:p>
        </w:tc>
        <w:tc>
          <w:tcPr>
            <w:tcW w:w="909" w:type="dxa"/>
            <w:noWrap/>
            <w:hideMark/>
          </w:tcPr>
          <w:p w14:paraId="024F7FE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EE9DF7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D2D997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965498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DC30EC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F1A7B0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8" w:type="dxa"/>
            <w:noWrap/>
            <w:hideMark/>
          </w:tcPr>
          <w:p w14:paraId="45EE7EC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981895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297E45D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C4A194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1B8A04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2E94B0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AF1701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7B66F76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382F0A3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603D97F0" w14:textId="77777777" w:rsidTr="00733B7C">
        <w:trPr>
          <w:trHeight w:val="695"/>
        </w:trPr>
        <w:tc>
          <w:tcPr>
            <w:tcW w:w="908" w:type="dxa"/>
            <w:vMerge/>
            <w:hideMark/>
          </w:tcPr>
          <w:p w14:paraId="53F1905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753A8FA6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can be used for pediatric</w:t>
            </w:r>
          </w:p>
        </w:tc>
        <w:tc>
          <w:tcPr>
            <w:tcW w:w="909" w:type="dxa"/>
            <w:noWrap/>
            <w:hideMark/>
          </w:tcPr>
          <w:p w14:paraId="62A5C8C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D14E66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5D7719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652D202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0F36FC2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9" w:type="dxa"/>
            <w:noWrap/>
            <w:hideMark/>
          </w:tcPr>
          <w:p w14:paraId="4B73BC9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○</w:t>
            </w:r>
          </w:p>
        </w:tc>
        <w:tc>
          <w:tcPr>
            <w:tcW w:w="908" w:type="dxa"/>
            <w:noWrap/>
            <w:hideMark/>
          </w:tcPr>
          <w:p w14:paraId="321763B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65A5D4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13B8F37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3960D61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301796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7A9C6BB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5DDC535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687736E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hideMark/>
          </w:tcPr>
          <w:p w14:paraId="4082427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2397E" w:rsidRPr="00FF4F5A" w14:paraId="79FBE1FB" w14:textId="77777777" w:rsidTr="00733B7C">
        <w:trPr>
          <w:trHeight w:val="990"/>
        </w:trPr>
        <w:tc>
          <w:tcPr>
            <w:tcW w:w="908" w:type="dxa"/>
            <w:vMerge w:val="restart"/>
            <w:noWrap/>
            <w:hideMark/>
          </w:tcPr>
          <w:p w14:paraId="35FACCEC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Characteristics</w:t>
            </w:r>
          </w:p>
        </w:tc>
        <w:tc>
          <w:tcPr>
            <w:tcW w:w="909" w:type="dxa"/>
            <w:noWrap/>
            <w:vAlign w:val="center"/>
            <w:hideMark/>
          </w:tcPr>
          <w:p w14:paraId="71944170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Evaluation Contents</w:t>
            </w:r>
          </w:p>
        </w:tc>
        <w:tc>
          <w:tcPr>
            <w:tcW w:w="909" w:type="dxa"/>
            <w:hideMark/>
          </w:tcPr>
          <w:p w14:paraId="5F9F5F5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Screening tool consisting by only weight loss and food intake</w:t>
            </w:r>
          </w:p>
        </w:tc>
        <w:tc>
          <w:tcPr>
            <w:tcW w:w="909" w:type="dxa"/>
            <w:hideMark/>
          </w:tcPr>
          <w:p w14:paraId="001A98C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Screening tool consisting of BMI, weight loss, acute illness and nutritional deficiencies</w:t>
            </w:r>
          </w:p>
        </w:tc>
        <w:tc>
          <w:tcPr>
            <w:tcW w:w="909" w:type="dxa"/>
            <w:hideMark/>
          </w:tcPr>
          <w:p w14:paraId="1762E46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Perioperative nutritional assessment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 xml:space="preserve"> 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add ed serum Alb levels to assess risk</w:t>
            </w:r>
          </w:p>
        </w:tc>
        <w:tc>
          <w:tcPr>
            <w:tcW w:w="909" w:type="dxa"/>
            <w:hideMark/>
          </w:tcPr>
          <w:p w14:paraId="47E1176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initial screening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（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BMI, weight loss, nutritional intake, severity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)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 and final screening</w:t>
            </w:r>
          </w:p>
        </w:tc>
        <w:tc>
          <w:tcPr>
            <w:tcW w:w="909" w:type="dxa"/>
            <w:hideMark/>
          </w:tcPr>
          <w:p w14:paraId="214C171B" w14:textId="5CC7A8B5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PNI=[10</w:t>
            </w:r>
            <w:r w:rsidRPr="00FF4F5A">
              <w:rPr>
                <w:rFonts w:ascii="Segoe UI Symbol" w:hAnsi="Segoe UI Symbol" w:cs="Segoe UI Symbol"/>
                <w:sz w:val="8"/>
                <w:szCs w:val="8"/>
              </w:rPr>
              <w:t>x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serum alb 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(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g/</w:t>
            </w:r>
            <w:r w:rsidR="00733B7C" w:rsidRPr="00FF4F5A">
              <w:rPr>
                <w:rFonts w:ascii="Times New Roman" w:hAnsi="Times New Roman" w:cs="Times New Roman" w:hint="eastAsia"/>
                <w:sz w:val="8"/>
                <w:szCs w:val="8"/>
              </w:rPr>
              <w:t>dl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)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] + [0.005</w:t>
            </w:r>
            <w:r w:rsidRPr="00FF4F5A">
              <w:rPr>
                <w:rFonts w:ascii="Segoe UI Symbol" w:hAnsi="Segoe UI Symbol" w:cs="Segoe UI Symbol"/>
                <w:sz w:val="8"/>
                <w:szCs w:val="8"/>
              </w:rPr>
              <w:t>x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TLC (/mm3)]</w:t>
            </w:r>
          </w:p>
        </w:tc>
        <w:tc>
          <w:tcPr>
            <w:tcW w:w="909" w:type="dxa"/>
            <w:hideMark/>
          </w:tcPr>
          <w:p w14:paraId="7F1F2B70" w14:textId="24351CA2" w:rsidR="0012397E" w:rsidRPr="00FF4F5A" w:rsidRDefault="00F709A2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Calculated</w:t>
            </w:r>
            <w:r w:rsidR="0012397E"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 by serum weight loss and serum albumin</w:t>
            </w:r>
          </w:p>
        </w:tc>
        <w:tc>
          <w:tcPr>
            <w:tcW w:w="908" w:type="dxa"/>
            <w:hideMark/>
          </w:tcPr>
          <w:p w14:paraId="69D2769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weight, height, and serum albumin levels</w:t>
            </w:r>
          </w:p>
        </w:tc>
        <w:tc>
          <w:tcPr>
            <w:tcW w:w="909" w:type="dxa"/>
            <w:hideMark/>
          </w:tcPr>
          <w:p w14:paraId="4A1BCE3A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only assessed by blood and biochemistry test; serum albumin, cholesterol, TLC</w:t>
            </w:r>
          </w:p>
        </w:tc>
        <w:tc>
          <w:tcPr>
            <w:tcW w:w="909" w:type="dxa"/>
            <w:hideMark/>
          </w:tcPr>
          <w:p w14:paraId="27C3655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Phenotypic criteria 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>(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weight loss, BMI, muscle loss) and Etiologic criteria (nutritional intake, severity/acute phase)</w:t>
            </w:r>
          </w:p>
        </w:tc>
        <w:tc>
          <w:tcPr>
            <w:tcW w:w="909" w:type="dxa"/>
            <w:hideMark/>
          </w:tcPr>
          <w:p w14:paraId="0E1334B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age, APACHE II, SOFA, number of co-mobilities, days from hospital to ICU admission, IL-6</w:t>
            </w:r>
          </w:p>
        </w:tc>
        <w:tc>
          <w:tcPr>
            <w:tcW w:w="909" w:type="dxa"/>
            <w:hideMark/>
          </w:tcPr>
          <w:p w14:paraId="11D9105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Calculated excluding IL-6 from NUTRIC</w:t>
            </w:r>
          </w:p>
        </w:tc>
        <w:tc>
          <w:tcPr>
            <w:tcW w:w="909" w:type="dxa"/>
            <w:hideMark/>
          </w:tcPr>
          <w:p w14:paraId="4F55A41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comorbidities, hospitalized days before ICU, sepsis, ventilation upon ICU admission, aged &gt;65 years, signs of moderate/severe muscle mass loss</w:t>
            </w:r>
          </w:p>
        </w:tc>
        <w:tc>
          <w:tcPr>
            <w:tcW w:w="909" w:type="dxa"/>
            <w:hideMark/>
          </w:tcPr>
          <w:p w14:paraId="2385CEB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18 questions (option of using CC; Calf circumference when BMI cannot be calculated.)</w:t>
            </w:r>
          </w:p>
        </w:tc>
        <w:tc>
          <w:tcPr>
            <w:tcW w:w="909" w:type="dxa"/>
            <w:hideMark/>
          </w:tcPr>
          <w:p w14:paraId="5F573431" w14:textId="00612AC6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6 questions (food intake, weight loss, morbidity, psychological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 xml:space="preserve"> </w:t>
            </w:r>
            <w:r w:rsidR="00733B7C" w:rsidRPr="00FF4F5A">
              <w:rPr>
                <w:rFonts w:ascii="Times New Roman" w:hAnsi="Times New Roman" w:cs="Times New Roman"/>
                <w:sz w:val="8"/>
                <w:szCs w:val="8"/>
              </w:rPr>
              <w:t>stress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,</w:t>
            </w:r>
            <w:r w:rsidRPr="00FF4F5A">
              <w:rPr>
                <w:rFonts w:ascii="Times New Roman" w:hAnsi="Times New Roman" w:cs="Times New Roman" w:hint="eastAsia"/>
                <w:sz w:val="8"/>
                <w:szCs w:val="8"/>
              </w:rPr>
              <w:t xml:space="preserve"> </w:t>
            </w: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neuropsychological stress, MI/CC)</w:t>
            </w:r>
          </w:p>
        </w:tc>
        <w:tc>
          <w:tcPr>
            <w:tcW w:w="909" w:type="dxa"/>
            <w:hideMark/>
          </w:tcPr>
          <w:p w14:paraId="2F7A181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disease history and physical examination</w:t>
            </w:r>
          </w:p>
        </w:tc>
      </w:tr>
      <w:tr w:rsidR="0012397E" w:rsidRPr="00FF4F5A" w14:paraId="79195361" w14:textId="77777777" w:rsidTr="00733B7C">
        <w:trPr>
          <w:trHeight w:val="825"/>
        </w:trPr>
        <w:tc>
          <w:tcPr>
            <w:tcW w:w="908" w:type="dxa"/>
            <w:vMerge/>
            <w:hideMark/>
          </w:tcPr>
          <w:p w14:paraId="4F194508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177A1E7F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Characteristics</w:t>
            </w:r>
          </w:p>
        </w:tc>
        <w:tc>
          <w:tcPr>
            <w:tcW w:w="909" w:type="dxa"/>
            <w:hideMark/>
          </w:tcPr>
          <w:p w14:paraId="42F0B8C4" w14:textId="6A6445B7" w:rsidR="0012397E" w:rsidRPr="00FF4F5A" w:rsidRDefault="00F709A2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Scouring</w:t>
            </w:r>
            <w:r w:rsidR="0012397E" w:rsidRPr="00FF4F5A">
              <w:rPr>
                <w:rFonts w:ascii="Times New Roman" w:hAnsi="Times New Roman" w:cs="Times New Roman"/>
                <w:sz w:val="8"/>
                <w:szCs w:val="8"/>
              </w:rPr>
              <w:t>, but specify as screening tool</w:t>
            </w:r>
          </w:p>
        </w:tc>
        <w:tc>
          <w:tcPr>
            <w:tcW w:w="909" w:type="dxa"/>
            <w:hideMark/>
          </w:tcPr>
          <w:p w14:paraId="27ED0DBF" w14:textId="3428CDF7" w:rsidR="0012397E" w:rsidRPr="00FF4F5A" w:rsidRDefault="00F709A2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Scouring</w:t>
            </w:r>
            <w:r w:rsidR="0012397E" w:rsidRPr="00FF4F5A">
              <w:rPr>
                <w:rFonts w:ascii="Times New Roman" w:hAnsi="Times New Roman" w:cs="Times New Roman"/>
                <w:sz w:val="8"/>
                <w:szCs w:val="8"/>
              </w:rPr>
              <w:t>, but specify as screening tool</w:t>
            </w:r>
          </w:p>
        </w:tc>
        <w:tc>
          <w:tcPr>
            <w:tcW w:w="909" w:type="dxa"/>
            <w:hideMark/>
          </w:tcPr>
          <w:p w14:paraId="4C352A5C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Tools to Screen Surgical Patients for Nutritional Risk</w:t>
            </w:r>
          </w:p>
        </w:tc>
        <w:tc>
          <w:tcPr>
            <w:tcW w:w="909" w:type="dxa"/>
            <w:hideMark/>
          </w:tcPr>
          <w:p w14:paraId="2EA6DA5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Screening method proposed by ESPEN, Two-step screening</w:t>
            </w:r>
          </w:p>
        </w:tc>
        <w:tc>
          <w:tcPr>
            <w:tcW w:w="909" w:type="dxa"/>
            <w:hideMark/>
          </w:tcPr>
          <w:p w14:paraId="52125FE4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Original score calculation formula. Prognostic indicators such as risk of postoperative suture failure</w:t>
            </w:r>
          </w:p>
        </w:tc>
        <w:tc>
          <w:tcPr>
            <w:tcW w:w="909" w:type="dxa"/>
            <w:hideMark/>
          </w:tcPr>
          <w:p w14:paraId="25F5A17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Original score calculation formula. Classical nutritional risk formula used to detect risk in the elderly</w:t>
            </w:r>
          </w:p>
        </w:tc>
        <w:tc>
          <w:tcPr>
            <w:tcW w:w="908" w:type="dxa"/>
            <w:hideMark/>
          </w:tcPr>
          <w:p w14:paraId="5B3F504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assess malnutritional risk in hospitalized adults over 65 years</w:t>
            </w:r>
          </w:p>
        </w:tc>
        <w:tc>
          <w:tcPr>
            <w:tcW w:w="909" w:type="dxa"/>
            <w:hideMark/>
          </w:tcPr>
          <w:p w14:paraId="26F89B87" w14:textId="3B577EF2" w:rsidR="0012397E" w:rsidRPr="00FF4F5A" w:rsidRDefault="00F709A2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Scouring</w:t>
            </w:r>
            <w:r w:rsidR="0012397E" w:rsidRPr="00FF4F5A">
              <w:rPr>
                <w:rFonts w:ascii="Times New Roman" w:hAnsi="Times New Roman" w:cs="Times New Roman"/>
                <w:sz w:val="8"/>
                <w:szCs w:val="8"/>
              </w:rPr>
              <w:t xml:space="preserve"> to diagnosis severity of malnutrition</w:t>
            </w:r>
          </w:p>
        </w:tc>
        <w:tc>
          <w:tcPr>
            <w:tcW w:w="909" w:type="dxa"/>
            <w:hideMark/>
          </w:tcPr>
          <w:p w14:paraId="2A733FB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global consensus around core diagnostic criteria for malnutrition in adults in clinical settings.</w:t>
            </w:r>
          </w:p>
        </w:tc>
        <w:tc>
          <w:tcPr>
            <w:tcW w:w="909" w:type="dxa"/>
            <w:hideMark/>
          </w:tcPr>
          <w:p w14:paraId="225F453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first nutritional risk assessment tool developed specifically for ICU</w:t>
            </w:r>
          </w:p>
        </w:tc>
        <w:tc>
          <w:tcPr>
            <w:tcW w:w="909" w:type="dxa"/>
            <w:hideMark/>
          </w:tcPr>
          <w:p w14:paraId="3BF00A2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modified NUTRIC</w:t>
            </w:r>
          </w:p>
        </w:tc>
        <w:tc>
          <w:tcPr>
            <w:tcW w:w="909" w:type="dxa"/>
            <w:hideMark/>
          </w:tcPr>
          <w:p w14:paraId="02C16D1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For ICU patients, can be assessed even without a detailed history.</w:t>
            </w:r>
          </w:p>
        </w:tc>
        <w:tc>
          <w:tcPr>
            <w:tcW w:w="909" w:type="dxa"/>
            <w:hideMark/>
          </w:tcPr>
          <w:p w14:paraId="518270F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nutrition screening and assessment tool that can identify geriatric patients who are malnourished or at risk of malnutrition.</w:t>
            </w:r>
          </w:p>
        </w:tc>
        <w:tc>
          <w:tcPr>
            <w:tcW w:w="909" w:type="dxa"/>
            <w:hideMark/>
          </w:tcPr>
          <w:p w14:paraId="1435296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Simplified version of NMA, used primarily for screening</w:t>
            </w:r>
          </w:p>
        </w:tc>
        <w:tc>
          <w:tcPr>
            <w:tcW w:w="909" w:type="dxa"/>
            <w:hideMark/>
          </w:tcPr>
          <w:p w14:paraId="5682F5B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Can be evaluated by history and physical examination alone.</w:t>
            </w:r>
          </w:p>
        </w:tc>
      </w:tr>
      <w:tr w:rsidR="0012397E" w:rsidRPr="00FF4F5A" w14:paraId="6EBC0201" w14:textId="77777777" w:rsidTr="00733B7C">
        <w:trPr>
          <w:trHeight w:val="710"/>
        </w:trPr>
        <w:tc>
          <w:tcPr>
            <w:tcW w:w="908" w:type="dxa"/>
            <w:vMerge w:val="restart"/>
            <w:noWrap/>
            <w:hideMark/>
          </w:tcPr>
          <w:p w14:paraId="5BA0B1A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Reference</w:t>
            </w:r>
          </w:p>
        </w:tc>
        <w:tc>
          <w:tcPr>
            <w:tcW w:w="909" w:type="dxa"/>
            <w:noWrap/>
            <w:vAlign w:val="center"/>
            <w:hideMark/>
          </w:tcPr>
          <w:p w14:paraId="3ECBAEBB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Original</w:t>
            </w:r>
          </w:p>
        </w:tc>
        <w:tc>
          <w:tcPr>
            <w:tcW w:w="909" w:type="dxa"/>
            <w:hideMark/>
          </w:tcPr>
          <w:p w14:paraId="26FB00B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909" w:type="dxa"/>
            <w:hideMark/>
          </w:tcPr>
          <w:p w14:paraId="065762F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909" w:type="dxa"/>
            <w:hideMark/>
          </w:tcPr>
          <w:p w14:paraId="617B980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909" w:type="dxa"/>
            <w:hideMark/>
          </w:tcPr>
          <w:p w14:paraId="5D854F7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909" w:type="dxa"/>
            <w:hideMark/>
          </w:tcPr>
          <w:p w14:paraId="5E4758A8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909" w:type="dxa"/>
            <w:hideMark/>
          </w:tcPr>
          <w:p w14:paraId="7221149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908" w:type="dxa"/>
            <w:hideMark/>
          </w:tcPr>
          <w:p w14:paraId="7A201D2D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909" w:type="dxa"/>
            <w:hideMark/>
          </w:tcPr>
          <w:p w14:paraId="3D0C414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909" w:type="dxa"/>
            <w:hideMark/>
          </w:tcPr>
          <w:p w14:paraId="1A3048D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909" w:type="dxa"/>
            <w:hideMark/>
          </w:tcPr>
          <w:p w14:paraId="4966F4A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909" w:type="dxa"/>
            <w:hideMark/>
          </w:tcPr>
          <w:p w14:paraId="0DC3E237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11</w:t>
            </w:r>
          </w:p>
        </w:tc>
        <w:tc>
          <w:tcPr>
            <w:tcW w:w="909" w:type="dxa"/>
            <w:hideMark/>
          </w:tcPr>
          <w:p w14:paraId="2ECA190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909" w:type="dxa"/>
            <w:hideMark/>
          </w:tcPr>
          <w:p w14:paraId="1A2EA1C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13</w:t>
            </w:r>
          </w:p>
        </w:tc>
        <w:tc>
          <w:tcPr>
            <w:tcW w:w="909" w:type="dxa"/>
            <w:hideMark/>
          </w:tcPr>
          <w:p w14:paraId="0A00CAF3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909" w:type="dxa"/>
            <w:hideMark/>
          </w:tcPr>
          <w:p w14:paraId="5B76919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15</w:t>
            </w:r>
          </w:p>
        </w:tc>
      </w:tr>
      <w:tr w:rsidR="0012397E" w:rsidRPr="00102333" w14:paraId="1104C896" w14:textId="77777777" w:rsidTr="00733B7C">
        <w:trPr>
          <w:trHeight w:val="692"/>
        </w:trPr>
        <w:tc>
          <w:tcPr>
            <w:tcW w:w="908" w:type="dxa"/>
            <w:vMerge/>
            <w:hideMark/>
          </w:tcPr>
          <w:p w14:paraId="3DA5CA63" w14:textId="77777777" w:rsidR="0012397E" w:rsidRPr="00FF4F5A" w:rsidRDefault="0012397E" w:rsidP="00845577">
            <w:pPr>
              <w:spacing w:line="240" w:lineRule="atLeast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09" w:type="dxa"/>
            <w:noWrap/>
            <w:vAlign w:val="center"/>
            <w:hideMark/>
          </w:tcPr>
          <w:p w14:paraId="1C5212B5" w14:textId="77777777" w:rsidR="0012397E" w:rsidRPr="00FF4F5A" w:rsidRDefault="0012397E" w:rsidP="00733B7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Example of use in critical ill patients</w:t>
            </w:r>
          </w:p>
        </w:tc>
        <w:tc>
          <w:tcPr>
            <w:tcW w:w="909" w:type="dxa"/>
            <w:hideMark/>
          </w:tcPr>
          <w:p w14:paraId="13A45BF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16</w:t>
            </w:r>
          </w:p>
        </w:tc>
        <w:tc>
          <w:tcPr>
            <w:tcW w:w="909" w:type="dxa"/>
            <w:hideMark/>
          </w:tcPr>
          <w:p w14:paraId="2368944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16, 17, 18</w:t>
            </w:r>
          </w:p>
        </w:tc>
        <w:tc>
          <w:tcPr>
            <w:tcW w:w="909" w:type="dxa"/>
            <w:noWrap/>
            <w:hideMark/>
          </w:tcPr>
          <w:p w14:paraId="7E0E470E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n/a</w:t>
            </w:r>
          </w:p>
        </w:tc>
        <w:tc>
          <w:tcPr>
            <w:tcW w:w="909" w:type="dxa"/>
            <w:hideMark/>
          </w:tcPr>
          <w:p w14:paraId="04C8D24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18, 19 24</w:t>
            </w:r>
          </w:p>
        </w:tc>
        <w:tc>
          <w:tcPr>
            <w:tcW w:w="909" w:type="dxa"/>
            <w:hideMark/>
          </w:tcPr>
          <w:p w14:paraId="2738DBAB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20, 21</w:t>
            </w:r>
          </w:p>
        </w:tc>
        <w:tc>
          <w:tcPr>
            <w:tcW w:w="909" w:type="dxa"/>
            <w:hideMark/>
          </w:tcPr>
          <w:p w14:paraId="4B50071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22</w:t>
            </w:r>
          </w:p>
        </w:tc>
        <w:tc>
          <w:tcPr>
            <w:tcW w:w="908" w:type="dxa"/>
            <w:hideMark/>
          </w:tcPr>
          <w:p w14:paraId="582CBA4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21, 23</w:t>
            </w:r>
          </w:p>
        </w:tc>
        <w:tc>
          <w:tcPr>
            <w:tcW w:w="909" w:type="dxa"/>
            <w:hideMark/>
          </w:tcPr>
          <w:p w14:paraId="46F2DCC1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22</w:t>
            </w:r>
          </w:p>
        </w:tc>
        <w:tc>
          <w:tcPr>
            <w:tcW w:w="909" w:type="dxa"/>
            <w:hideMark/>
          </w:tcPr>
          <w:p w14:paraId="6E0BC355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24</w:t>
            </w:r>
          </w:p>
        </w:tc>
        <w:tc>
          <w:tcPr>
            <w:tcW w:w="909" w:type="dxa"/>
            <w:hideMark/>
          </w:tcPr>
          <w:p w14:paraId="5451914F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909" w:type="dxa"/>
            <w:hideMark/>
          </w:tcPr>
          <w:p w14:paraId="58406016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11,22,24, 25</w:t>
            </w:r>
          </w:p>
        </w:tc>
        <w:tc>
          <w:tcPr>
            <w:tcW w:w="909" w:type="dxa"/>
            <w:hideMark/>
          </w:tcPr>
          <w:p w14:paraId="38B30469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909" w:type="dxa"/>
            <w:hideMark/>
          </w:tcPr>
          <w:p w14:paraId="46BCF082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26</w:t>
            </w:r>
          </w:p>
        </w:tc>
        <w:tc>
          <w:tcPr>
            <w:tcW w:w="909" w:type="dxa"/>
            <w:hideMark/>
          </w:tcPr>
          <w:p w14:paraId="59638630" w14:textId="77777777" w:rsidR="0012397E" w:rsidRPr="00FF4F5A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27</w:t>
            </w:r>
          </w:p>
        </w:tc>
        <w:tc>
          <w:tcPr>
            <w:tcW w:w="909" w:type="dxa"/>
            <w:hideMark/>
          </w:tcPr>
          <w:p w14:paraId="5A1FCCE8" w14:textId="77777777" w:rsidR="0012397E" w:rsidRPr="00102333" w:rsidRDefault="0012397E" w:rsidP="0084557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FF4F5A">
              <w:rPr>
                <w:rFonts w:ascii="Times New Roman" w:hAnsi="Times New Roman" w:cs="Times New Roman"/>
                <w:sz w:val="8"/>
                <w:szCs w:val="8"/>
              </w:rPr>
              <w:t>27</w:t>
            </w:r>
          </w:p>
        </w:tc>
      </w:tr>
      <w:bookmarkEnd w:id="0"/>
    </w:tbl>
    <w:p w14:paraId="748B94C3" w14:textId="374F251C" w:rsidR="0012397E" w:rsidRDefault="0012397E" w:rsidP="0012397E">
      <w:pPr>
        <w:rPr>
          <w:rFonts w:ascii="Arial" w:eastAsia="MS PGothic" w:hAnsi="Arial" w:cs="Arial"/>
          <w:szCs w:val="16"/>
        </w:rPr>
      </w:pPr>
    </w:p>
    <w:sectPr w:rsidR="0012397E" w:rsidSect="00FF4F5A">
      <w:headerReference w:type="default" r:id="rId7"/>
      <w:pgSz w:w="16840" w:h="11910" w:orient="landscape"/>
      <w:pgMar w:top="851" w:right="851" w:bottom="851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22900" w14:textId="77777777" w:rsidR="009E4ABE" w:rsidRDefault="009E4ABE" w:rsidP="00C513BE">
      <w:r>
        <w:separator/>
      </w:r>
    </w:p>
  </w:endnote>
  <w:endnote w:type="continuationSeparator" w:id="0">
    <w:p w14:paraId="206EF905" w14:textId="77777777" w:rsidR="009E4ABE" w:rsidRDefault="009E4ABE" w:rsidP="00C5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E67AD4" w14:textId="77777777" w:rsidR="009E4ABE" w:rsidRDefault="009E4ABE" w:rsidP="00C513BE">
      <w:r>
        <w:separator/>
      </w:r>
    </w:p>
  </w:footnote>
  <w:footnote w:type="continuationSeparator" w:id="0">
    <w:p w14:paraId="6280A589" w14:textId="77777777" w:rsidR="009E4ABE" w:rsidRDefault="009E4ABE" w:rsidP="00C51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2807711"/>
      <w:docPartObj>
        <w:docPartGallery w:val="Page Numbers (Top of Page)"/>
        <w:docPartUnique/>
      </w:docPartObj>
    </w:sdtPr>
    <w:sdtEndPr/>
    <w:sdtContent>
      <w:p w14:paraId="28F73B9A" w14:textId="77777777" w:rsidR="0012397E" w:rsidRDefault="0012397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F5A" w:rsidRPr="00FF4F5A">
          <w:rPr>
            <w:noProof/>
            <w:lang w:val="ja-JP"/>
          </w:rPr>
          <w:t>2</w:t>
        </w:r>
        <w:r>
          <w:fldChar w:fldCharType="end"/>
        </w:r>
      </w:p>
    </w:sdtContent>
  </w:sdt>
  <w:p w14:paraId="2FB639CB" w14:textId="77777777" w:rsidR="0012397E" w:rsidRDefault="001239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C40D4"/>
    <w:multiLevelType w:val="hybridMultilevel"/>
    <w:tmpl w:val="84367E90"/>
    <w:lvl w:ilvl="0" w:tplc="A3D00D24">
      <w:numFmt w:val="bullet"/>
      <w:lvlText w:val="■"/>
      <w:lvlJc w:val="left"/>
      <w:pPr>
        <w:ind w:left="800" w:hanging="360"/>
      </w:pPr>
      <w:rPr>
        <w:rFonts w:ascii="MS PGothic" w:eastAsia="MS PGothic" w:hAnsi="MS PGothic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3F2E5D"/>
    <w:multiLevelType w:val="hybridMultilevel"/>
    <w:tmpl w:val="A774AC22"/>
    <w:lvl w:ilvl="0" w:tplc="DB1C81A2">
      <w:numFmt w:val="bullet"/>
      <w:lvlText w:val="■"/>
      <w:lvlJc w:val="left"/>
      <w:pPr>
        <w:ind w:left="360" w:hanging="360"/>
      </w:pPr>
      <w:rPr>
        <w:rFonts w:ascii="MS Mincho" w:eastAsia="MS Mincho" w:hAnsi="MS Minch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860B3A"/>
    <w:multiLevelType w:val="hybridMultilevel"/>
    <w:tmpl w:val="DB7CC974"/>
    <w:lvl w:ilvl="0" w:tplc="FC2AA4AC">
      <w:numFmt w:val="bullet"/>
      <w:lvlText w:val="■"/>
      <w:lvlJc w:val="left"/>
      <w:pPr>
        <w:ind w:left="748" w:hanging="222"/>
      </w:pPr>
      <w:rPr>
        <w:rFonts w:ascii="MS PGothic" w:eastAsia="MS PGothic" w:hAnsi="MS PGothic" w:cs="MS PGothic" w:hint="default"/>
        <w:w w:val="100"/>
        <w:sz w:val="20"/>
        <w:szCs w:val="20"/>
        <w:lang w:val="en-US" w:eastAsia="en-US" w:bidi="ar-SA"/>
      </w:rPr>
    </w:lvl>
    <w:lvl w:ilvl="1" w:tplc="0C8CBCAC">
      <w:numFmt w:val="bullet"/>
      <w:lvlText w:val="•"/>
      <w:lvlJc w:val="left"/>
      <w:pPr>
        <w:ind w:left="1638" w:hanging="222"/>
      </w:pPr>
      <w:rPr>
        <w:rFonts w:hint="default"/>
        <w:lang w:val="en-US" w:eastAsia="en-US" w:bidi="ar-SA"/>
      </w:rPr>
    </w:lvl>
    <w:lvl w:ilvl="2" w:tplc="A27AD044">
      <w:numFmt w:val="bullet"/>
      <w:lvlText w:val="•"/>
      <w:lvlJc w:val="left"/>
      <w:pPr>
        <w:ind w:left="2537" w:hanging="222"/>
      </w:pPr>
      <w:rPr>
        <w:rFonts w:hint="default"/>
        <w:lang w:val="en-US" w:eastAsia="en-US" w:bidi="ar-SA"/>
      </w:rPr>
    </w:lvl>
    <w:lvl w:ilvl="3" w:tplc="5F8029EC">
      <w:numFmt w:val="bullet"/>
      <w:lvlText w:val="•"/>
      <w:lvlJc w:val="left"/>
      <w:pPr>
        <w:ind w:left="3435" w:hanging="222"/>
      </w:pPr>
      <w:rPr>
        <w:rFonts w:hint="default"/>
        <w:lang w:val="en-US" w:eastAsia="en-US" w:bidi="ar-SA"/>
      </w:rPr>
    </w:lvl>
    <w:lvl w:ilvl="4" w:tplc="A39E57F6">
      <w:numFmt w:val="bullet"/>
      <w:lvlText w:val="•"/>
      <w:lvlJc w:val="left"/>
      <w:pPr>
        <w:ind w:left="4334" w:hanging="222"/>
      </w:pPr>
      <w:rPr>
        <w:rFonts w:hint="default"/>
        <w:lang w:val="en-US" w:eastAsia="en-US" w:bidi="ar-SA"/>
      </w:rPr>
    </w:lvl>
    <w:lvl w:ilvl="5" w:tplc="F5CC3A9A">
      <w:numFmt w:val="bullet"/>
      <w:lvlText w:val="•"/>
      <w:lvlJc w:val="left"/>
      <w:pPr>
        <w:ind w:left="5233" w:hanging="222"/>
      </w:pPr>
      <w:rPr>
        <w:rFonts w:hint="default"/>
        <w:lang w:val="en-US" w:eastAsia="en-US" w:bidi="ar-SA"/>
      </w:rPr>
    </w:lvl>
    <w:lvl w:ilvl="6" w:tplc="93A6C1CC">
      <w:numFmt w:val="bullet"/>
      <w:lvlText w:val="•"/>
      <w:lvlJc w:val="left"/>
      <w:pPr>
        <w:ind w:left="6131" w:hanging="222"/>
      </w:pPr>
      <w:rPr>
        <w:rFonts w:hint="default"/>
        <w:lang w:val="en-US" w:eastAsia="en-US" w:bidi="ar-SA"/>
      </w:rPr>
    </w:lvl>
    <w:lvl w:ilvl="7" w:tplc="64FEC0C0">
      <w:numFmt w:val="bullet"/>
      <w:lvlText w:val="•"/>
      <w:lvlJc w:val="left"/>
      <w:pPr>
        <w:ind w:left="7030" w:hanging="222"/>
      </w:pPr>
      <w:rPr>
        <w:rFonts w:hint="default"/>
        <w:lang w:val="en-US" w:eastAsia="en-US" w:bidi="ar-SA"/>
      </w:rPr>
    </w:lvl>
    <w:lvl w:ilvl="8" w:tplc="3824216E">
      <w:numFmt w:val="bullet"/>
      <w:lvlText w:val="•"/>
      <w:lvlJc w:val="left"/>
      <w:pPr>
        <w:ind w:left="7929" w:hanging="222"/>
      </w:pPr>
      <w:rPr>
        <w:rFonts w:hint="default"/>
        <w:lang w:val="en-US" w:eastAsia="en-US" w:bidi="ar-SA"/>
      </w:rPr>
    </w:lvl>
  </w:abstractNum>
  <w:abstractNum w:abstractNumId="3" w15:restartNumberingAfterBreak="0">
    <w:nsid w:val="226E1A7A"/>
    <w:multiLevelType w:val="hybridMultilevel"/>
    <w:tmpl w:val="5DB2DA0C"/>
    <w:lvl w:ilvl="0" w:tplc="FC2AA4AC">
      <w:numFmt w:val="bullet"/>
      <w:lvlText w:val="■"/>
      <w:lvlJc w:val="left"/>
      <w:pPr>
        <w:ind w:left="440" w:hanging="440"/>
      </w:pPr>
      <w:rPr>
        <w:rFonts w:ascii="MS PGothic" w:eastAsia="MS PGothic" w:hAnsi="MS PGothic" w:cs="MS PGothic" w:hint="default"/>
        <w:w w:val="100"/>
        <w:sz w:val="20"/>
        <w:szCs w:val="20"/>
        <w:lang w:val="en-US" w:eastAsia="en-US" w:bidi="ar-S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24"/>
    <w:rsid w:val="000044B1"/>
    <w:rsid w:val="00017B45"/>
    <w:rsid w:val="000321FA"/>
    <w:rsid w:val="00041DC6"/>
    <w:rsid w:val="00056595"/>
    <w:rsid w:val="00061639"/>
    <w:rsid w:val="00062BA8"/>
    <w:rsid w:val="000639D0"/>
    <w:rsid w:val="00077AEA"/>
    <w:rsid w:val="000818A7"/>
    <w:rsid w:val="000841EE"/>
    <w:rsid w:val="000A73AA"/>
    <w:rsid w:val="000B2125"/>
    <w:rsid w:val="000C00AE"/>
    <w:rsid w:val="000E31A0"/>
    <w:rsid w:val="000E6181"/>
    <w:rsid w:val="000F49AE"/>
    <w:rsid w:val="00103181"/>
    <w:rsid w:val="001149DB"/>
    <w:rsid w:val="00114CFF"/>
    <w:rsid w:val="0012397E"/>
    <w:rsid w:val="001326CF"/>
    <w:rsid w:val="00132D28"/>
    <w:rsid w:val="00144DBB"/>
    <w:rsid w:val="001501E9"/>
    <w:rsid w:val="00150DDA"/>
    <w:rsid w:val="00153CDF"/>
    <w:rsid w:val="00155A37"/>
    <w:rsid w:val="0016088E"/>
    <w:rsid w:val="00182C69"/>
    <w:rsid w:val="001A12A2"/>
    <w:rsid w:val="001A1861"/>
    <w:rsid w:val="001A4F3C"/>
    <w:rsid w:val="001D6852"/>
    <w:rsid w:val="001E14E5"/>
    <w:rsid w:val="001E4599"/>
    <w:rsid w:val="001F0567"/>
    <w:rsid w:val="0020173E"/>
    <w:rsid w:val="00201C2C"/>
    <w:rsid w:val="0021252B"/>
    <w:rsid w:val="00260B18"/>
    <w:rsid w:val="002716B9"/>
    <w:rsid w:val="002A19B1"/>
    <w:rsid w:val="002C6624"/>
    <w:rsid w:val="002F47DD"/>
    <w:rsid w:val="00302E1F"/>
    <w:rsid w:val="00312676"/>
    <w:rsid w:val="0031471F"/>
    <w:rsid w:val="00315189"/>
    <w:rsid w:val="003311D7"/>
    <w:rsid w:val="003354FC"/>
    <w:rsid w:val="0034025A"/>
    <w:rsid w:val="00344A67"/>
    <w:rsid w:val="0035392A"/>
    <w:rsid w:val="003647A4"/>
    <w:rsid w:val="00365438"/>
    <w:rsid w:val="00382BE2"/>
    <w:rsid w:val="003943D7"/>
    <w:rsid w:val="003D410A"/>
    <w:rsid w:val="003E5BD4"/>
    <w:rsid w:val="003E7883"/>
    <w:rsid w:val="003E7B71"/>
    <w:rsid w:val="003F30C5"/>
    <w:rsid w:val="004209FB"/>
    <w:rsid w:val="00422EC5"/>
    <w:rsid w:val="00426936"/>
    <w:rsid w:val="00443704"/>
    <w:rsid w:val="0044611A"/>
    <w:rsid w:val="00451B60"/>
    <w:rsid w:val="004534BD"/>
    <w:rsid w:val="00455C4D"/>
    <w:rsid w:val="004600CD"/>
    <w:rsid w:val="0046116E"/>
    <w:rsid w:val="00464AFD"/>
    <w:rsid w:val="00471F57"/>
    <w:rsid w:val="00492504"/>
    <w:rsid w:val="00494254"/>
    <w:rsid w:val="004A5771"/>
    <w:rsid w:val="004B337F"/>
    <w:rsid w:val="004B6BBC"/>
    <w:rsid w:val="004C6DDE"/>
    <w:rsid w:val="004C7D95"/>
    <w:rsid w:val="004D3EC4"/>
    <w:rsid w:val="00502E22"/>
    <w:rsid w:val="005321E9"/>
    <w:rsid w:val="005518D9"/>
    <w:rsid w:val="00566282"/>
    <w:rsid w:val="00570875"/>
    <w:rsid w:val="005819D7"/>
    <w:rsid w:val="0058705D"/>
    <w:rsid w:val="005A52B9"/>
    <w:rsid w:val="005C0017"/>
    <w:rsid w:val="005D57BB"/>
    <w:rsid w:val="005E367A"/>
    <w:rsid w:val="005F4445"/>
    <w:rsid w:val="005F627D"/>
    <w:rsid w:val="00606B04"/>
    <w:rsid w:val="006110F9"/>
    <w:rsid w:val="00630B8B"/>
    <w:rsid w:val="006517CF"/>
    <w:rsid w:val="006571F2"/>
    <w:rsid w:val="00665AF5"/>
    <w:rsid w:val="006743F7"/>
    <w:rsid w:val="006814D6"/>
    <w:rsid w:val="006A1982"/>
    <w:rsid w:val="006A3357"/>
    <w:rsid w:val="006D3F55"/>
    <w:rsid w:val="006F3D2F"/>
    <w:rsid w:val="00701FF0"/>
    <w:rsid w:val="0070783B"/>
    <w:rsid w:val="007164B4"/>
    <w:rsid w:val="00733B7C"/>
    <w:rsid w:val="00734BB0"/>
    <w:rsid w:val="007422C6"/>
    <w:rsid w:val="0074418B"/>
    <w:rsid w:val="00747320"/>
    <w:rsid w:val="00751EAB"/>
    <w:rsid w:val="00752CC7"/>
    <w:rsid w:val="00755B29"/>
    <w:rsid w:val="007618E4"/>
    <w:rsid w:val="00772115"/>
    <w:rsid w:val="00773376"/>
    <w:rsid w:val="007772BD"/>
    <w:rsid w:val="00797312"/>
    <w:rsid w:val="007A025D"/>
    <w:rsid w:val="007C3D75"/>
    <w:rsid w:val="007C6BD8"/>
    <w:rsid w:val="007D23E8"/>
    <w:rsid w:val="007E492B"/>
    <w:rsid w:val="007E6E57"/>
    <w:rsid w:val="007E736B"/>
    <w:rsid w:val="007F4CC3"/>
    <w:rsid w:val="00815AFE"/>
    <w:rsid w:val="00827324"/>
    <w:rsid w:val="00861F86"/>
    <w:rsid w:val="00890A74"/>
    <w:rsid w:val="008A4E2E"/>
    <w:rsid w:val="008C4A19"/>
    <w:rsid w:val="008E41C1"/>
    <w:rsid w:val="008E55F8"/>
    <w:rsid w:val="008E5D93"/>
    <w:rsid w:val="008F3FFF"/>
    <w:rsid w:val="008F7E32"/>
    <w:rsid w:val="00910F82"/>
    <w:rsid w:val="00912B4F"/>
    <w:rsid w:val="00915CEC"/>
    <w:rsid w:val="0093535F"/>
    <w:rsid w:val="009408BF"/>
    <w:rsid w:val="009412D8"/>
    <w:rsid w:val="009574EB"/>
    <w:rsid w:val="00964F94"/>
    <w:rsid w:val="0097209B"/>
    <w:rsid w:val="009870FF"/>
    <w:rsid w:val="009A218D"/>
    <w:rsid w:val="009B0423"/>
    <w:rsid w:val="009B109D"/>
    <w:rsid w:val="009B3585"/>
    <w:rsid w:val="009C5148"/>
    <w:rsid w:val="009E4ABE"/>
    <w:rsid w:val="009F14F9"/>
    <w:rsid w:val="009F167C"/>
    <w:rsid w:val="009F283D"/>
    <w:rsid w:val="00A048EB"/>
    <w:rsid w:val="00A04EF5"/>
    <w:rsid w:val="00A06737"/>
    <w:rsid w:val="00A37190"/>
    <w:rsid w:val="00A37A45"/>
    <w:rsid w:val="00A53D7A"/>
    <w:rsid w:val="00A5726B"/>
    <w:rsid w:val="00A57DC7"/>
    <w:rsid w:val="00A7134A"/>
    <w:rsid w:val="00A936EB"/>
    <w:rsid w:val="00A93C76"/>
    <w:rsid w:val="00AA511A"/>
    <w:rsid w:val="00AA6F2F"/>
    <w:rsid w:val="00AB60F4"/>
    <w:rsid w:val="00AC2386"/>
    <w:rsid w:val="00AC434C"/>
    <w:rsid w:val="00AD2B11"/>
    <w:rsid w:val="00AF69A5"/>
    <w:rsid w:val="00AF7E89"/>
    <w:rsid w:val="00B02B47"/>
    <w:rsid w:val="00B02EA8"/>
    <w:rsid w:val="00B0674C"/>
    <w:rsid w:val="00B27B0F"/>
    <w:rsid w:val="00B33D3F"/>
    <w:rsid w:val="00B43234"/>
    <w:rsid w:val="00B51BB5"/>
    <w:rsid w:val="00B6556C"/>
    <w:rsid w:val="00B7119D"/>
    <w:rsid w:val="00B81B2F"/>
    <w:rsid w:val="00B81CB8"/>
    <w:rsid w:val="00BA4681"/>
    <w:rsid w:val="00BC4B8E"/>
    <w:rsid w:val="00BD2BE7"/>
    <w:rsid w:val="00BF6184"/>
    <w:rsid w:val="00BF6868"/>
    <w:rsid w:val="00C066A3"/>
    <w:rsid w:val="00C11D54"/>
    <w:rsid w:val="00C2128C"/>
    <w:rsid w:val="00C21F00"/>
    <w:rsid w:val="00C21F2C"/>
    <w:rsid w:val="00C408FE"/>
    <w:rsid w:val="00C45F3F"/>
    <w:rsid w:val="00C513BE"/>
    <w:rsid w:val="00C858FF"/>
    <w:rsid w:val="00C9492B"/>
    <w:rsid w:val="00CA0508"/>
    <w:rsid w:val="00CA2F6E"/>
    <w:rsid w:val="00CB25F2"/>
    <w:rsid w:val="00CB30B8"/>
    <w:rsid w:val="00CB3100"/>
    <w:rsid w:val="00CD10B3"/>
    <w:rsid w:val="00CD46F8"/>
    <w:rsid w:val="00CE0A19"/>
    <w:rsid w:val="00D03D6C"/>
    <w:rsid w:val="00D10920"/>
    <w:rsid w:val="00D12C87"/>
    <w:rsid w:val="00D241B3"/>
    <w:rsid w:val="00D43FC2"/>
    <w:rsid w:val="00D463C2"/>
    <w:rsid w:val="00D779D5"/>
    <w:rsid w:val="00DB03A1"/>
    <w:rsid w:val="00DB1932"/>
    <w:rsid w:val="00DB6AEE"/>
    <w:rsid w:val="00DD1289"/>
    <w:rsid w:val="00DD598F"/>
    <w:rsid w:val="00DF2AFD"/>
    <w:rsid w:val="00DF4394"/>
    <w:rsid w:val="00DF44A7"/>
    <w:rsid w:val="00DF5A8F"/>
    <w:rsid w:val="00E14B2A"/>
    <w:rsid w:val="00E23478"/>
    <w:rsid w:val="00E4243B"/>
    <w:rsid w:val="00E42A01"/>
    <w:rsid w:val="00E4774B"/>
    <w:rsid w:val="00E54EC2"/>
    <w:rsid w:val="00E56498"/>
    <w:rsid w:val="00E655FB"/>
    <w:rsid w:val="00E771B8"/>
    <w:rsid w:val="00E92F80"/>
    <w:rsid w:val="00E96685"/>
    <w:rsid w:val="00EB05EE"/>
    <w:rsid w:val="00EB4AFE"/>
    <w:rsid w:val="00ED17A3"/>
    <w:rsid w:val="00EE5B5D"/>
    <w:rsid w:val="00EF67B7"/>
    <w:rsid w:val="00F06D13"/>
    <w:rsid w:val="00F1036A"/>
    <w:rsid w:val="00F2774C"/>
    <w:rsid w:val="00F41C13"/>
    <w:rsid w:val="00F55EC3"/>
    <w:rsid w:val="00F6469A"/>
    <w:rsid w:val="00F709A2"/>
    <w:rsid w:val="00F713D7"/>
    <w:rsid w:val="00F72899"/>
    <w:rsid w:val="00F72958"/>
    <w:rsid w:val="00F77176"/>
    <w:rsid w:val="00F80F4E"/>
    <w:rsid w:val="00F84E5C"/>
    <w:rsid w:val="00F868A4"/>
    <w:rsid w:val="00F92B6A"/>
    <w:rsid w:val="00FA1A7F"/>
    <w:rsid w:val="00FA55CD"/>
    <w:rsid w:val="00FC0A95"/>
    <w:rsid w:val="00FC5A04"/>
    <w:rsid w:val="00FC632E"/>
    <w:rsid w:val="00FC6A2D"/>
    <w:rsid w:val="00FC6E11"/>
    <w:rsid w:val="00FD58BE"/>
    <w:rsid w:val="00FF01AB"/>
    <w:rsid w:val="00FF0DAD"/>
    <w:rsid w:val="00FF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A172D"/>
  <w15:chartTrackingRefBased/>
  <w15:docId w15:val="{50D8AC75-A0AC-6F4A-BD7D-0AC2BB72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55A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A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A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A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A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A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A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A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C6624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C6624"/>
    <w:pPr>
      <w:autoSpaceDE w:val="0"/>
      <w:autoSpaceDN w:val="0"/>
      <w:jc w:val="left"/>
    </w:pPr>
    <w:rPr>
      <w:rFonts w:ascii="PMingLiU-ExtB" w:eastAsia="PMingLiU-ExtB" w:hAnsi="PMingLiU-ExtB" w:cs="PMingLiU-ExtB"/>
      <w:kern w:val="0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C6624"/>
    <w:rPr>
      <w:rFonts w:ascii="PMingLiU-ExtB" w:eastAsia="PMingLiU-ExtB" w:hAnsi="PMingLiU-ExtB" w:cs="PMingLiU-ExtB"/>
      <w:kern w:val="0"/>
      <w:szCs w:val="21"/>
      <w:lang w:eastAsia="en-US"/>
    </w:rPr>
  </w:style>
  <w:style w:type="paragraph" w:styleId="ListParagraph">
    <w:name w:val="List Paragraph"/>
    <w:basedOn w:val="Normal"/>
    <w:uiPriority w:val="1"/>
    <w:qFormat/>
    <w:rsid w:val="002C6624"/>
    <w:pPr>
      <w:autoSpaceDE w:val="0"/>
      <w:autoSpaceDN w:val="0"/>
      <w:spacing w:before="78"/>
      <w:ind w:left="748" w:hanging="223"/>
      <w:jc w:val="left"/>
    </w:pPr>
    <w:rPr>
      <w:rFonts w:ascii="Arial MT" w:eastAsia="Arial MT" w:hAnsi="Arial MT" w:cs="Arial MT"/>
      <w:kern w:val="0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C6624"/>
    <w:pPr>
      <w:autoSpaceDE w:val="0"/>
      <w:autoSpaceDN w:val="0"/>
      <w:spacing w:before="55"/>
      <w:jc w:val="left"/>
    </w:pPr>
    <w:rPr>
      <w:rFonts w:ascii="Arial MT" w:eastAsia="Arial MT" w:hAnsi="Arial MT" w:cs="Arial MT"/>
      <w:kern w:val="0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C662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13B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513BE"/>
  </w:style>
  <w:style w:type="paragraph" w:styleId="Footer">
    <w:name w:val="footer"/>
    <w:basedOn w:val="Normal"/>
    <w:link w:val="FooterChar"/>
    <w:uiPriority w:val="99"/>
    <w:unhideWhenUsed/>
    <w:rsid w:val="00C513B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513BE"/>
  </w:style>
  <w:style w:type="character" w:customStyle="1" w:styleId="Heading1Char">
    <w:name w:val="Heading 1 Char"/>
    <w:basedOn w:val="DefaultParagraphFont"/>
    <w:link w:val="Heading1"/>
    <w:uiPriority w:val="9"/>
    <w:rsid w:val="00155A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A37"/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55A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A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A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A37"/>
    <w:pPr>
      <w:spacing w:before="160" w:after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155A37"/>
    <w:rPr>
      <w:i/>
      <w:iCs/>
      <w:color w:val="404040" w:themeColor="text1" w:themeTint="BF"/>
      <w:sz w:val="24"/>
    </w:rPr>
  </w:style>
  <w:style w:type="character" w:styleId="IntenseEmphasis">
    <w:name w:val="Intense Emphasis"/>
    <w:basedOn w:val="DefaultParagraphFont"/>
    <w:uiPriority w:val="21"/>
    <w:qFormat/>
    <w:rsid w:val="00155A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37"/>
    <w:rPr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55A3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55A37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14:ligatures w14:val="standardContextual"/>
    </w:rPr>
  </w:style>
  <w:style w:type="character" w:customStyle="1" w:styleId="label">
    <w:name w:val="label"/>
    <w:basedOn w:val="DefaultParagraphFont"/>
    <w:rsid w:val="00155A37"/>
  </w:style>
  <w:style w:type="character" w:customStyle="1" w:styleId="quality-sign">
    <w:name w:val="quality-sign"/>
    <w:basedOn w:val="DefaultParagraphFont"/>
    <w:rsid w:val="00155A37"/>
  </w:style>
  <w:style w:type="character" w:customStyle="1" w:styleId="quality-text">
    <w:name w:val="quality-text"/>
    <w:basedOn w:val="DefaultParagraphFont"/>
    <w:rsid w:val="00155A37"/>
  </w:style>
  <w:style w:type="character" w:customStyle="1" w:styleId="cell">
    <w:name w:val="cell"/>
    <w:basedOn w:val="DefaultParagraphFont"/>
    <w:rsid w:val="00155A37"/>
  </w:style>
  <w:style w:type="character" w:customStyle="1" w:styleId="block">
    <w:name w:val="block"/>
    <w:basedOn w:val="DefaultParagraphFont"/>
    <w:rsid w:val="00155A37"/>
  </w:style>
  <w:style w:type="character" w:customStyle="1" w:styleId="cell-value">
    <w:name w:val="cell-value"/>
    <w:basedOn w:val="DefaultParagraphFont"/>
    <w:rsid w:val="00155A37"/>
  </w:style>
  <w:style w:type="paragraph" w:customStyle="1" w:styleId="1">
    <w:name w:val="表題1"/>
    <w:basedOn w:val="Normal"/>
    <w:rsid w:val="00155A37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A6F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A6F2F"/>
    <w:rPr>
      <w:rFonts w:ascii="MS Gothic" w:eastAsia="MS Gothic" w:hAnsi="MS Gothic" w:cs="MS Gothic"/>
      <w:kern w:val="0"/>
      <w:sz w:val="24"/>
    </w:rPr>
  </w:style>
  <w:style w:type="table" w:customStyle="1" w:styleId="TableNormal10">
    <w:name w:val="Table Normal1"/>
    <w:uiPriority w:val="2"/>
    <w:semiHidden/>
    <w:unhideWhenUsed/>
    <w:qFormat/>
    <w:rsid w:val="0012397E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2397E"/>
    <w:rPr>
      <w:color w:val="0000FF"/>
      <w:u w:val="single"/>
    </w:rPr>
  </w:style>
  <w:style w:type="character" w:customStyle="1" w:styleId="jm-number">
    <w:name w:val="jm-number"/>
    <w:basedOn w:val="DefaultParagraphFont"/>
    <w:rsid w:val="0012397E"/>
  </w:style>
  <w:style w:type="character" w:styleId="CommentReference">
    <w:name w:val="annotation reference"/>
    <w:basedOn w:val="DefaultParagraphFont"/>
    <w:uiPriority w:val="99"/>
    <w:semiHidden/>
    <w:unhideWhenUsed/>
    <w:rsid w:val="0012397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397E"/>
    <w:pPr>
      <w:jc w:val="lef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397E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397E"/>
    <w:rPr>
      <w:b/>
      <w:bCs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12397E"/>
  </w:style>
  <w:style w:type="paragraph" w:styleId="Revision">
    <w:name w:val="Revision"/>
    <w:hidden/>
    <w:uiPriority w:val="99"/>
    <w:semiHidden/>
    <w:rsid w:val="00F72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大内玲</dc:creator>
  <cp:keywords/>
  <dc:description/>
  <cp:lastModifiedBy>Sangeetha Nanda Gopal</cp:lastModifiedBy>
  <cp:revision>4</cp:revision>
  <dcterms:created xsi:type="dcterms:W3CDTF">2025-02-18T00:23:00Z</dcterms:created>
  <dcterms:modified xsi:type="dcterms:W3CDTF">2025-03-08T01:35:00Z</dcterms:modified>
</cp:coreProperties>
</file>