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2F" w:rsidRPr="00A4203E" w:rsidRDefault="00170A2F" w:rsidP="00170A2F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1.  </w:t>
      </w:r>
    </w:p>
    <w:p w:rsidR="00170A2F" w:rsidRPr="00A4203E" w:rsidRDefault="00170A2F" w:rsidP="00170A2F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Patient characteristics of all urosepsis patients (not intubated and intubated)</w:t>
      </w: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tbl>
      <w:tblPr>
        <w:tblW w:w="12476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111"/>
        <w:gridCol w:w="2693"/>
        <w:gridCol w:w="2694"/>
        <w:gridCol w:w="2978"/>
      </w:tblGrid>
      <w:tr w:rsidR="00A4203E" w:rsidRPr="00A4203E" w:rsidTr="00492E79">
        <w:trPr>
          <w:trHeight w:val="960"/>
        </w:trPr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bCs/>
                <w:sz w:val="20"/>
                <w:szCs w:val="20"/>
              </w:rPr>
              <w:t>Demographic variable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170A2F" w:rsidRPr="00A4203E" w:rsidRDefault="00170A2F" w:rsidP="00492E79">
            <w:pPr>
              <w:rPr>
                <w:rStyle w:val="gtfrommd"/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Style w:val="gtfrommd"/>
                <w:rFonts w:ascii="Arial" w:hAnsi="Arial" w:cs="Arial"/>
                <w:b/>
                <w:sz w:val="20"/>
                <w:szCs w:val="20"/>
              </w:rPr>
              <w:t>Not intubated</w:t>
            </w:r>
          </w:p>
          <w:p w:rsidR="00170A2F" w:rsidRPr="00A4203E" w:rsidRDefault="00170A2F" w:rsidP="00492E7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Style w:val="gtfrommd"/>
                <w:rFonts w:ascii="Arial" w:hAnsi="Arial" w:cs="Arial"/>
                <w:b/>
                <w:sz w:val="20"/>
                <w:szCs w:val="20"/>
              </w:rPr>
              <w:t>(n = 13,459)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:rsidR="00170A2F" w:rsidRPr="00A4203E" w:rsidRDefault="00170A2F" w:rsidP="00492E79">
            <w:pPr>
              <w:jc w:val="both"/>
              <w:rPr>
                <w:rStyle w:val="Strong"/>
                <w:rFonts w:ascii="Arial" w:hAnsi="Arial" w:cs="Arial"/>
                <w:sz w:val="20"/>
                <w:szCs w:val="20"/>
              </w:rPr>
            </w:pPr>
            <w:r w:rsidRPr="00A4203E">
              <w:rPr>
                <w:rStyle w:val="Strong"/>
                <w:rFonts w:ascii="Arial" w:hAnsi="Arial" w:cs="Arial"/>
                <w:sz w:val="20"/>
                <w:szCs w:val="20"/>
              </w:rPr>
              <w:t>Intubated</w:t>
            </w:r>
          </w:p>
          <w:p w:rsidR="00170A2F" w:rsidRPr="00A4203E" w:rsidRDefault="00170A2F" w:rsidP="00492E79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Style w:val="Strong"/>
                <w:rFonts w:ascii="Arial" w:hAnsi="Arial" w:cs="Arial"/>
                <w:sz w:val="20"/>
                <w:szCs w:val="20"/>
              </w:rPr>
              <w:t>(</w:t>
            </w:r>
            <w:r w:rsidRPr="00A4203E">
              <w:rPr>
                <w:rStyle w:val="gtfrommd"/>
                <w:rFonts w:ascii="Arial" w:hAnsi="Arial" w:cs="Arial"/>
                <w:b/>
                <w:sz w:val="20"/>
                <w:szCs w:val="20"/>
              </w:rPr>
              <w:t>n = 1,235)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70A2F" w:rsidRPr="00A4203E" w:rsidRDefault="00170A2F" w:rsidP="00492E7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170A2F" w:rsidRPr="00A4203E" w:rsidRDefault="00170A2F" w:rsidP="00492E79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bCs/>
                <w:sz w:val="20"/>
                <w:szCs w:val="20"/>
              </w:rPr>
              <w:t>P-value</w:t>
            </w:r>
          </w:p>
        </w:tc>
      </w:tr>
      <w:tr w:rsidR="00A4203E" w:rsidRPr="00A4203E" w:rsidTr="00492E79">
        <w:trPr>
          <w:trHeight w:val="16"/>
        </w:trPr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Age (years)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71.1 [59.0-79.6]</w:t>
            </w:r>
          </w:p>
        </w:tc>
        <w:tc>
          <w:tcPr>
            <w:tcW w:w="26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67.8 [55.8-76.0]</w:t>
            </w:r>
          </w:p>
        </w:tc>
        <w:tc>
          <w:tcPr>
            <w:tcW w:w="297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328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Female sex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6,986 (51.9)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659 (53.4)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0.339</w:t>
            </w:r>
          </w:p>
        </w:tc>
      </w:tr>
      <w:tr w:rsidR="00A4203E" w:rsidRPr="00A4203E" w:rsidTr="00492E79">
        <w:trPr>
          <w:trHeight w:val="84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BMI (kg m</w:t>
            </w:r>
            <w:r w:rsidRPr="00A4203E">
              <w:rPr>
                <w:rFonts w:ascii="Arial" w:hAnsi="Arial" w:cs="Arial"/>
                <w:sz w:val="20"/>
                <w:szCs w:val="20"/>
                <w:vertAlign w:val="superscript"/>
              </w:rPr>
              <w:t> -2</w:t>
            </w:r>
            <w:r w:rsidRPr="00A4203E">
              <w:rPr>
                <w:rFonts w:ascii="Arial" w:hAnsi="Arial" w:cs="Arial"/>
                <w:sz w:val="20"/>
                <w:szCs w:val="20"/>
              </w:rPr>
              <w:t>)*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27.5 [23.7-32.9]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29.4 [25.3-35.6]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0.449</w:t>
            </w:r>
          </w:p>
        </w:tc>
      </w:tr>
      <w:tr w:rsidR="00A4203E" w:rsidRPr="00A4203E" w:rsidTr="00492E79">
        <w:trPr>
          <w:trHeight w:val="34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Indigenous status</w:t>
            </w:r>
            <w:r w:rsidRPr="00A4203E">
              <w:rPr>
                <w:rFonts w:ascii="Arial" w:eastAsiaTheme="minorHAnsi" w:hAnsi="Arial" w:cs="Arial"/>
                <w:sz w:val="20"/>
                <w:szCs w:val="20"/>
                <w:vertAlign w:val="superscript"/>
              </w:rPr>
              <w:t>†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879 (6.5)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73 (5.9)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0.619</w:t>
            </w:r>
          </w:p>
        </w:tc>
      </w:tr>
      <w:tr w:rsidR="00A4203E" w:rsidRPr="00A4203E" w:rsidTr="00492E79">
        <w:trPr>
          <w:trHeight w:val="4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Hospital classification</w:t>
            </w:r>
          </w:p>
          <w:p w:rsidR="00170A2F" w:rsidRPr="00A4203E" w:rsidRDefault="00170A2F" w:rsidP="00492E79">
            <w:pPr>
              <w:spacing w:line="200" w:lineRule="atLeast"/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Rural/Regional</w:t>
            </w:r>
          </w:p>
          <w:p w:rsidR="00170A2F" w:rsidRPr="00A4203E" w:rsidRDefault="00170A2F" w:rsidP="00492E79">
            <w:pPr>
              <w:spacing w:line="200" w:lineRule="atLeast"/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Metropolitan</w:t>
            </w:r>
          </w:p>
          <w:p w:rsidR="00170A2F" w:rsidRPr="00A4203E" w:rsidRDefault="00170A2F" w:rsidP="00492E79">
            <w:pPr>
              <w:spacing w:line="200" w:lineRule="atLeast"/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Tertiary/Teaching</w:t>
            </w:r>
          </w:p>
          <w:p w:rsidR="00170A2F" w:rsidRPr="00A4203E" w:rsidRDefault="00170A2F" w:rsidP="00492E79">
            <w:pPr>
              <w:spacing w:line="200" w:lineRule="atLeast"/>
              <w:ind w:firstLineChars="200" w:firstLine="4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Private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3,103 (23.1)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3,874 (28.8)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4,733 (35.2)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  <w:t xml:space="preserve"> 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1,749 (13.0)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175 (14.2)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318 (25.7)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650 (52.6)  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92 (7.4)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46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Hospital admission source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Home/Hospital in the home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Other hospital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Other healthcare facilities</w:t>
            </w:r>
            <w:r w:rsidRPr="00A4203E">
              <w:rPr>
                <w:rFonts w:ascii="Arial" w:eastAsiaTheme="minorHAnsi" w:hAnsi="Arial" w:cs="Arial"/>
                <w:kern w:val="2"/>
                <w:sz w:val="20"/>
                <w:szCs w:val="20"/>
                <w:vertAlign w:val="superscript"/>
              </w:rPr>
              <w:t>‡</w:t>
            </w:r>
            <w:r w:rsidRPr="00A4203E">
              <w:rPr>
                <w:rFonts w:ascii="Arial" w:hAnsi="Arial" w:cs="Arial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10,625 (78.9)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2,296 (17.1)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538 (4.0)</w:t>
            </w: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ab/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897 (72.6)</w:t>
            </w:r>
          </w:p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296 (24.0)</w:t>
            </w:r>
          </w:p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42 (3.4)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400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Comorbidities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Chronic respiratory condition 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Chronic cardiovascular condition 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Chronic renal failure 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Chronic liver disease 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Diabetes mellitus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Immunosuppressive therapy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Metastatic cancer 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Lymphoma 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Leukemia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961 (7.1)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1,478 (11.0)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745 (5.5)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217 (1.6)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4,063 (30.2)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1,294 (9.6)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855 (6.4)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203 (1.5)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206 (1.5)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100 (8.1)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116 (9.4)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72 (5.8)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36 (2.9)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439 (35.5)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90 (7.3)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43 (3.5)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15 (1.2)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13 (1.1)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0.384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0.163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0.776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0.005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0.007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0.727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0.389</w:t>
            </w:r>
          </w:p>
        </w:tc>
      </w:tr>
      <w:tr w:rsidR="00A4203E" w:rsidRPr="00A4203E" w:rsidTr="00492E79">
        <w:trPr>
          <w:trHeight w:val="436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APACHE II score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18.0 [13.0-22.0]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25.0 [20.0-31.0]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436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APACHE III score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60.0 [46.0-74.0]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81.0 [64.0-102.0]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468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ANZROD score (%)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7.0 (10.8)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21.0 (22.1)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468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SOFA score 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4.0 [3.0, 6.0]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7.0 [5.0, 10.0]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468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CFS categories</w:t>
            </w:r>
          </w:p>
          <w:p w:rsidR="00170A2F" w:rsidRPr="00A4203E" w:rsidRDefault="00170A2F" w:rsidP="00492E79">
            <w:pPr>
              <w:spacing w:line="200" w:lineRule="atLeast"/>
              <w:ind w:firstLineChars="300" w:firstLine="6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CFS 1-4, non-frail</w:t>
            </w:r>
          </w:p>
          <w:p w:rsidR="00170A2F" w:rsidRPr="00A4203E" w:rsidRDefault="00170A2F" w:rsidP="00492E79">
            <w:pPr>
              <w:spacing w:line="200" w:lineRule="atLeast"/>
              <w:ind w:firstLineChars="300" w:firstLine="6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CFS 5-8, frail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6,576 (48.9)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4,279 (31.8)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547 (44.3)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362 (29.3)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&lt;0.001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Treatment limitation at ICU admission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2,956 (22.0)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146 (11.8)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&lt;0.001</w:t>
            </w: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Organ supports during ICU stay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 Non-invasive ventilation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 Vasopressors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 ECMO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   Renal replacement therapy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935 (6.9)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8,472 (62.9)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 (0.0)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508 (3.8)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253 (20.5)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984 (79.7)</w:t>
            </w:r>
            <w:r w:rsidRPr="00A4203E">
              <w:rPr>
                <w:rFonts w:ascii="Arial" w:hAnsi="Arial" w:cs="Arial"/>
                <w:sz w:val="20"/>
                <w:szCs w:val="20"/>
              </w:rPr>
              <w:tab/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3 (0.2)</w:t>
            </w:r>
          </w:p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311 (25.2)        </w:t>
            </w:r>
          </w:p>
        </w:tc>
        <w:tc>
          <w:tcPr>
            <w:tcW w:w="2978" w:type="dxa"/>
            <w:tcBorders>
              <w:top w:val="nil"/>
              <w:left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&lt;0.001</w:t>
            </w:r>
          </w:p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&lt;0.001</w:t>
            </w:r>
          </w:p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&lt;0.001</w:t>
            </w:r>
          </w:p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&lt;0.001</w:t>
            </w: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Total bilirubin (mg/</w:t>
            </w:r>
            <w:proofErr w:type="spellStart"/>
            <w:r w:rsidRPr="00A4203E">
              <w:rPr>
                <w:rFonts w:ascii="Arial" w:hAnsi="Arial" w:cs="Arial"/>
                <w:sz w:val="20"/>
                <w:szCs w:val="20"/>
              </w:rPr>
              <w:t>dL</w:t>
            </w:r>
            <w:proofErr w:type="spellEnd"/>
            <w:r w:rsidRPr="00A4203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12.0 [7.0-19.0]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16.0 [9.0-28.0]</w:t>
            </w:r>
          </w:p>
        </w:tc>
        <w:tc>
          <w:tcPr>
            <w:tcW w:w="2978" w:type="dxa"/>
            <w:tcBorders>
              <w:top w:val="nil"/>
              <w:left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Platelets (10</w:t>
            </w:r>
            <w:r w:rsidRPr="00A4203E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A4203E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A4203E">
              <w:rPr>
                <w:rFonts w:ascii="Arial" w:hAnsi="Arial" w:cs="Arial"/>
                <w:sz w:val="20"/>
                <w:szCs w:val="20"/>
              </w:rPr>
              <w:t>μL</w:t>
            </w:r>
            <w:proofErr w:type="spellEnd"/>
            <w:r w:rsidRPr="00A4203E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163.0 [116.0-223.0]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151.0(85.0, 220.0)</w:t>
            </w:r>
          </w:p>
        </w:tc>
        <w:tc>
          <w:tcPr>
            <w:tcW w:w="2978" w:type="dxa"/>
            <w:tcBorders>
              <w:top w:val="nil"/>
              <w:left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Potassium (</w:t>
            </w:r>
            <w:proofErr w:type="spellStart"/>
            <w:r w:rsidRPr="00A4203E">
              <w:rPr>
                <w:rFonts w:ascii="Arial" w:hAnsi="Arial" w:cs="Arial"/>
                <w:sz w:val="20"/>
                <w:szCs w:val="20"/>
              </w:rPr>
              <w:t>mEq</w:t>
            </w:r>
            <w:proofErr w:type="spellEnd"/>
            <w:r w:rsidRPr="00A4203E"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4.2 [3.9-4.7]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4.5 [4.2-5.1]</w:t>
            </w:r>
          </w:p>
        </w:tc>
        <w:tc>
          <w:tcPr>
            <w:tcW w:w="2978" w:type="dxa"/>
            <w:tcBorders>
              <w:top w:val="nil"/>
              <w:left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Creatinine (</w:t>
            </w:r>
            <w:proofErr w:type="spellStart"/>
            <w:r w:rsidRPr="00A4203E">
              <w:rPr>
                <w:rFonts w:ascii="Arial" w:hAnsi="Arial" w:cs="Arial"/>
                <w:sz w:val="20"/>
                <w:szCs w:val="20"/>
              </w:rPr>
              <w:t>μmol</w:t>
            </w:r>
            <w:proofErr w:type="spellEnd"/>
            <w:r w:rsidRPr="00A4203E">
              <w:rPr>
                <w:rFonts w:ascii="Arial" w:hAnsi="Arial" w:cs="Arial"/>
                <w:sz w:val="20"/>
                <w:szCs w:val="20"/>
              </w:rPr>
              <w:t>/L)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126.0 [76.0-202.0]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190.0 [116.0-293.0]</w:t>
            </w:r>
          </w:p>
        </w:tc>
        <w:tc>
          <w:tcPr>
            <w:tcW w:w="2978" w:type="dxa"/>
            <w:tcBorders>
              <w:top w:val="nil"/>
              <w:left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Vital signs (</w:t>
            </w:r>
            <w:proofErr w:type="spellStart"/>
            <w:r w:rsidRPr="00A4203E">
              <w:rPr>
                <w:rFonts w:ascii="Arial" w:hAnsi="Arial" w:cs="Arial"/>
                <w:sz w:val="20"/>
                <w:szCs w:val="20"/>
              </w:rPr>
              <w:t>worstest</w:t>
            </w:r>
            <w:proofErr w:type="spellEnd"/>
            <w:r w:rsidRPr="00A4203E">
              <w:rPr>
                <w:rFonts w:ascii="Arial" w:hAnsi="Arial" w:cs="Arial"/>
                <w:sz w:val="20"/>
                <w:szCs w:val="20"/>
              </w:rPr>
              <w:t xml:space="preserve"> within 24 hours)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8" w:type="dxa"/>
            <w:tcBorders>
              <w:top w:val="nil"/>
              <w:left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ind w:firstLineChars="250" w:firstLine="5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P/F ratio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319.0 [245.7-376.2]</w:t>
            </w: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215.0 [144.7-310.0]</w:t>
            </w:r>
          </w:p>
        </w:tc>
        <w:tc>
          <w:tcPr>
            <w:tcW w:w="2978" w:type="dxa"/>
            <w:tcBorders>
              <w:top w:val="nil"/>
              <w:left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ind w:firstLineChars="250" w:firstLine="5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GCS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15.0 [14.0-15.0]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14.0 [11.0-15.0]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ind w:firstLineChars="250" w:firstLine="5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MAP (mmHg)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62.0 [56.0-68.0]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61.0 [55.0-66.0]</w:t>
            </w:r>
          </w:p>
        </w:tc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0.734</w:t>
            </w:r>
          </w:p>
        </w:tc>
      </w:tr>
      <w:tr w:rsidR="00A4203E" w:rsidRPr="00A4203E" w:rsidTr="00492E79">
        <w:trPr>
          <w:trHeight w:val="223"/>
        </w:trPr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spacing w:line="200" w:lineRule="atLeast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24 hours urine output (ml)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1,832.0 [1,163.0- 2,745.0]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1,354.0 [596.0-2,220.0]</w:t>
            </w:r>
          </w:p>
        </w:tc>
        <w:tc>
          <w:tcPr>
            <w:tcW w:w="29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70A2F" w:rsidRPr="00A4203E" w:rsidRDefault="00170A2F" w:rsidP="00492E79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</w:tbl>
    <w:p w:rsidR="00170A2F" w:rsidRPr="00A4203E" w:rsidRDefault="00170A2F" w:rsidP="00170A2F">
      <w:pPr>
        <w:spacing w:line="200" w:lineRule="atLeast"/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 xml:space="preserve">Data are n (%), mean [SD], or median (IQR). </w:t>
      </w:r>
    </w:p>
    <w:p w:rsidR="00170A2F" w:rsidRPr="00A4203E" w:rsidRDefault="00170A2F" w:rsidP="00170A2F">
      <w:pPr>
        <w:spacing w:line="200" w:lineRule="atLeast"/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BMI, body mass index; ICU, intensive care unit; ED, emergency department; APACHE, Acute Physiology and Chronic Health Evaluation; ANZROD, Australia New Zealand Risk of death; SOFA, Sequential Organ Failure Assessment; CFS, clinical frailty scale; ECMO, extracorporeal membrane oxygenation; P/F ratio, PaO2/FiO2 ratio; GCS, Glasgow coma scale; MAP, mean arterial pressure; IQR, inter-quartile range; SD, standard deviation.</w:t>
      </w:r>
    </w:p>
    <w:p w:rsidR="00170A2F" w:rsidRPr="00A4203E" w:rsidRDefault="00170A2F" w:rsidP="00170A2F">
      <w:pPr>
        <w:spacing w:line="200" w:lineRule="atLeast"/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* BMI: We had data only available on height or weight</w:t>
      </w:r>
    </w:p>
    <w:p w:rsidR="00170A2F" w:rsidRPr="00A4203E" w:rsidRDefault="00170A2F" w:rsidP="00170A2F">
      <w:pPr>
        <w:spacing w:line="200" w:lineRule="atLeast"/>
        <w:rPr>
          <w:rFonts w:ascii="Arial" w:hAnsi="Arial" w:cs="Arial"/>
          <w:sz w:val="20"/>
          <w:szCs w:val="20"/>
        </w:rPr>
      </w:pPr>
      <w:r w:rsidRPr="00A4203E">
        <w:rPr>
          <w:rFonts w:ascii="Arial" w:eastAsiaTheme="minorHAnsi" w:hAnsi="Arial" w:cs="Arial"/>
          <w:sz w:val="20"/>
          <w:szCs w:val="20"/>
          <w:vertAlign w:val="superscript"/>
        </w:rPr>
        <w:t>†</w:t>
      </w:r>
      <w:r w:rsidRPr="00A4203E">
        <w:rPr>
          <w:rFonts w:ascii="Arial" w:hAnsi="Arial" w:cs="Arial"/>
          <w:sz w:val="20"/>
          <w:szCs w:val="20"/>
        </w:rPr>
        <w:t>Indigenous: the patient identifies as indigenous to the country where they receive treatment. In Australia, a patient who identifies as Aboriginal or Torres Strait Islander should be coded as indigenous.</w:t>
      </w:r>
    </w:p>
    <w:p w:rsidR="00170A2F" w:rsidRPr="00A4203E" w:rsidRDefault="00170A2F" w:rsidP="00170A2F">
      <w:pPr>
        <w:widowControl w:val="0"/>
        <w:spacing w:line="200" w:lineRule="atLeast"/>
        <w:jc w:val="both"/>
        <w:rPr>
          <w:rFonts w:ascii="Arial" w:eastAsiaTheme="minorHAnsi" w:hAnsi="Arial" w:cs="Arial"/>
          <w:kern w:val="2"/>
          <w:sz w:val="20"/>
          <w:szCs w:val="20"/>
          <w:vertAlign w:val="superscript"/>
        </w:rPr>
      </w:pPr>
      <w:r w:rsidRPr="00A4203E">
        <w:rPr>
          <w:rFonts w:ascii="Arial" w:eastAsiaTheme="minorHAnsi" w:hAnsi="Arial" w:cs="Arial"/>
          <w:sz w:val="20"/>
          <w:szCs w:val="20"/>
          <w:vertAlign w:val="superscript"/>
        </w:rPr>
        <w:t> </w:t>
      </w:r>
      <w:r w:rsidRPr="00A4203E">
        <w:rPr>
          <w:rFonts w:ascii="Arial" w:eastAsiaTheme="minorHAnsi" w:hAnsi="Arial" w:cs="Arial"/>
          <w:kern w:val="2"/>
          <w:sz w:val="20"/>
          <w:szCs w:val="20"/>
          <w:vertAlign w:val="superscript"/>
        </w:rPr>
        <w:t>‡</w:t>
      </w:r>
      <w:r w:rsidRPr="00A4203E">
        <w:rPr>
          <w:rFonts w:ascii="Arial" w:hAnsi="Arial" w:cs="Arial"/>
          <w:sz w:val="20"/>
          <w:szCs w:val="20"/>
        </w:rPr>
        <w:t xml:space="preserve">Other healthcare facilities included Nursing home, </w:t>
      </w:r>
      <w:proofErr w:type="gramStart"/>
      <w:r w:rsidRPr="00A4203E">
        <w:rPr>
          <w:rFonts w:ascii="Arial" w:hAnsi="Arial" w:cs="Arial"/>
          <w:sz w:val="20"/>
          <w:szCs w:val="20"/>
        </w:rPr>
        <w:t>Chronic</w:t>
      </w:r>
      <w:proofErr w:type="gramEnd"/>
      <w:r w:rsidRPr="00A4203E">
        <w:rPr>
          <w:rFonts w:ascii="Arial" w:hAnsi="Arial" w:cs="Arial"/>
          <w:sz w:val="20"/>
          <w:szCs w:val="20"/>
        </w:rPr>
        <w:t xml:space="preserve"> care, Palliative care, Rehabilitation</w:t>
      </w: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170A2F" w:rsidRPr="00A4203E" w:rsidRDefault="00170A2F" w:rsidP="009F70F9">
      <w:pPr>
        <w:rPr>
          <w:rFonts w:ascii="Arial" w:hAnsi="Arial" w:cs="Arial"/>
          <w:b/>
          <w:sz w:val="20"/>
          <w:szCs w:val="20"/>
        </w:rPr>
      </w:pPr>
    </w:p>
    <w:p w:rsidR="009F70F9" w:rsidRPr="00A4203E" w:rsidRDefault="00DC03D6" w:rsidP="009F70F9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</w:t>
      </w:r>
      <w:r w:rsidR="00170A2F" w:rsidRPr="00A4203E">
        <w:rPr>
          <w:rFonts w:ascii="Arial" w:hAnsi="Arial" w:cs="Arial"/>
          <w:b/>
          <w:sz w:val="20"/>
          <w:szCs w:val="20"/>
        </w:rPr>
        <w:t>2</w:t>
      </w:r>
      <w:r w:rsidR="009F70F9" w:rsidRPr="00A4203E">
        <w:rPr>
          <w:rFonts w:ascii="Arial" w:hAnsi="Arial" w:cs="Arial"/>
          <w:b/>
          <w:sz w:val="20"/>
          <w:szCs w:val="20"/>
        </w:rPr>
        <w:t xml:space="preserve">.  </w:t>
      </w:r>
    </w:p>
    <w:p w:rsidR="009F70F9" w:rsidRPr="00A4203E" w:rsidRDefault="004C002A" w:rsidP="009F70F9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Sensitivity analysis: Multivariable logistic regression of in-hospital mortality comparing early vs delayed intubation, adjusted for APACHE III score, Clinical Frailty Scale categories, and emergency response admission</w:t>
      </w:r>
      <w:r w:rsidR="009F70F9" w:rsidRPr="00A4203E">
        <w:rPr>
          <w:rFonts w:ascii="Arial" w:hAnsi="Arial" w:cs="Arial"/>
          <w:sz w:val="20"/>
          <w:szCs w:val="20"/>
        </w:rPr>
        <w:fldChar w:fldCharType="begin"/>
      </w:r>
      <w:r w:rsidR="009F70F9" w:rsidRPr="00A4203E">
        <w:rPr>
          <w:rFonts w:ascii="Arial" w:hAnsi="Arial" w:cs="Arial"/>
          <w:sz w:val="20"/>
          <w:szCs w:val="20"/>
        </w:rPr>
        <w:instrText xml:space="preserve"> LINK </w:instrText>
      </w:r>
      <w:r w:rsidR="0005286B" w:rsidRPr="00A4203E">
        <w:rPr>
          <w:rFonts w:ascii="Arial" w:hAnsi="Arial" w:cs="Arial"/>
          <w:sz w:val="20"/>
          <w:szCs w:val="20"/>
        </w:rPr>
        <w:instrText xml:space="preserve">Excel.Sheet.12 "/Users/ga.suuuu/Downloads/Urosepsis results.xlsx" "Main analysis!R1C1:R16C9" </w:instrText>
      </w:r>
      <w:r w:rsidR="009F70F9" w:rsidRPr="00A4203E">
        <w:rPr>
          <w:rFonts w:ascii="Arial" w:hAnsi="Arial" w:cs="Arial"/>
          <w:sz w:val="20"/>
          <w:szCs w:val="20"/>
        </w:rPr>
        <w:instrText xml:space="preserve">\a \f 4 \h  \* MERGEFORMAT </w:instrText>
      </w:r>
      <w:r w:rsidR="009F70F9" w:rsidRPr="00A4203E">
        <w:rPr>
          <w:rFonts w:ascii="Arial" w:hAnsi="Arial" w:cs="Arial"/>
          <w:sz w:val="20"/>
          <w:szCs w:val="20"/>
        </w:rPr>
        <w:fldChar w:fldCharType="separate"/>
      </w:r>
    </w:p>
    <w:tbl>
      <w:tblPr>
        <w:tblW w:w="691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1984"/>
        <w:gridCol w:w="1102"/>
      </w:tblGrid>
      <w:tr w:rsidR="00A4203E" w:rsidRPr="00A4203E" w:rsidTr="00F54D6C">
        <w:trPr>
          <w:trHeight w:val="400"/>
        </w:trPr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F70F9" w:rsidRPr="00A4203E" w:rsidRDefault="009F70F9" w:rsidP="00DF53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F70F9" w:rsidRPr="00A4203E" w:rsidRDefault="009F70F9" w:rsidP="00DF530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9F70F9" w:rsidRPr="00A4203E" w:rsidRDefault="009F70F9" w:rsidP="00DF530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F54D6C">
        <w:trPr>
          <w:gridAfter w:val="1"/>
          <w:wAfter w:w="1102" w:type="dxa"/>
          <w:trHeight w:val="4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03D6" w:rsidRPr="00A4203E" w:rsidRDefault="00DC03D6" w:rsidP="00DF5305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03D6" w:rsidRPr="00A4203E" w:rsidRDefault="00DC03D6" w:rsidP="00DF530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</w:tr>
      <w:tr w:rsidR="00A4203E" w:rsidRPr="00A4203E" w:rsidTr="00F54D6C">
        <w:trPr>
          <w:gridAfter w:val="1"/>
          <w:wAfter w:w="1102" w:type="dxa"/>
          <w:trHeight w:val="4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</w:tr>
      <w:tr w:rsidR="00A4203E" w:rsidRPr="00A4203E" w:rsidTr="00F54D6C">
        <w:trPr>
          <w:gridAfter w:val="1"/>
          <w:wAfter w:w="1102" w:type="dxa"/>
          <w:trHeight w:val="4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0.79 (0.53–1.18)</w:t>
            </w:r>
          </w:p>
        </w:tc>
      </w:tr>
      <w:tr w:rsidR="00A4203E" w:rsidRPr="00A4203E" w:rsidTr="00F54D6C">
        <w:trPr>
          <w:gridAfter w:val="1"/>
          <w:wAfter w:w="1102" w:type="dxa"/>
          <w:trHeight w:val="4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APACHE III score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1.03 (1.03–1.04)</w:t>
            </w:r>
          </w:p>
        </w:tc>
      </w:tr>
      <w:tr w:rsidR="00A4203E" w:rsidRPr="00A4203E" w:rsidTr="00F54D6C">
        <w:trPr>
          <w:gridAfter w:val="1"/>
          <w:wAfter w:w="1102" w:type="dxa"/>
          <w:trHeight w:val="4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</w:tr>
      <w:tr w:rsidR="00A4203E" w:rsidRPr="00A4203E" w:rsidTr="00F54D6C">
        <w:trPr>
          <w:gridAfter w:val="1"/>
          <w:wAfter w:w="1102" w:type="dxa"/>
          <w:trHeight w:val="4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Frailty (CFS 5-8)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1.76 (1.21–2.55)</w:t>
            </w:r>
          </w:p>
        </w:tc>
      </w:tr>
      <w:tr w:rsidR="00A4203E" w:rsidRPr="00A4203E" w:rsidTr="00F54D6C">
        <w:trPr>
          <w:gridAfter w:val="1"/>
          <w:wAfter w:w="1102" w:type="dxa"/>
          <w:trHeight w:val="4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1.61 (1.08–2.40)</w:t>
            </w:r>
          </w:p>
        </w:tc>
      </w:tr>
      <w:tr w:rsidR="00A4203E" w:rsidRPr="00A4203E" w:rsidTr="00F54D6C">
        <w:trPr>
          <w:gridAfter w:val="1"/>
          <w:wAfter w:w="1102" w:type="dxa"/>
          <w:trHeight w:val="40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C03D6" w:rsidRPr="00A4203E" w:rsidRDefault="00DC03D6" w:rsidP="00DF5305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1.52 (1.14–2.02)</w:t>
            </w:r>
          </w:p>
        </w:tc>
      </w:tr>
    </w:tbl>
    <w:p w:rsidR="009F70F9" w:rsidRPr="00A4203E" w:rsidRDefault="009F70F9" w:rsidP="009F70F9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fldChar w:fldCharType="end"/>
      </w:r>
      <w:r w:rsidRPr="00A4203E">
        <w:rPr>
          <w:rFonts w:ascii="Arial" w:hAnsi="Arial" w:cs="Arial"/>
          <w:sz w:val="20"/>
          <w:szCs w:val="20"/>
        </w:rPr>
        <w:t>OR, adjusted odds ratios; CI, confidence intervals; CFS, clinical frailty scale; ED, emergency department; ICU, intensive care unit.</w:t>
      </w:r>
    </w:p>
    <w:p w:rsidR="003F42F8" w:rsidRPr="00A4203E" w:rsidRDefault="00A4203E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br w:type="page"/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</w:t>
      </w:r>
      <w:r w:rsidR="00170A2F" w:rsidRPr="00A4203E">
        <w:rPr>
          <w:rFonts w:ascii="Arial" w:hAnsi="Arial" w:cs="Arial"/>
          <w:b/>
          <w:sz w:val="20"/>
          <w:szCs w:val="20"/>
        </w:rPr>
        <w:t>3</w:t>
      </w:r>
      <w:r w:rsidRPr="00A4203E">
        <w:rPr>
          <w:rFonts w:ascii="Arial" w:hAnsi="Arial" w:cs="Arial"/>
          <w:b/>
          <w:sz w:val="20"/>
          <w:szCs w:val="20"/>
        </w:rPr>
        <w:t xml:space="preserve">.  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Sensitivity analysis: Multivariable logistic regression of in-hospital mortality comparing early vs delayed intubation, adjusted for APACHE III score, excluding the Glasgow Coma Scale and respiratory-related components (respiratory rate and oxygenation variables), Clinical Frailty Scale categories, and emergency response admission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fldChar w:fldCharType="begin"/>
      </w:r>
      <w:r w:rsidRPr="00A4203E">
        <w:rPr>
          <w:rFonts w:ascii="Arial" w:hAnsi="Arial" w:cs="Arial"/>
          <w:sz w:val="20"/>
          <w:szCs w:val="20"/>
        </w:rPr>
        <w:instrText xml:space="preserve"> LINK </w:instrText>
      </w:r>
      <w:r w:rsidR="0005286B" w:rsidRPr="00A4203E">
        <w:rPr>
          <w:rFonts w:ascii="Arial" w:hAnsi="Arial" w:cs="Arial"/>
          <w:sz w:val="20"/>
          <w:szCs w:val="20"/>
        </w:rPr>
        <w:instrText xml:space="preserve">Excel.Sheet.12 "/Users/ga.suuuu/Downloads/Urosepsis results.xlsx" "Main analysis!R1C1:R16C9" </w:instrText>
      </w:r>
      <w:r w:rsidRPr="00A4203E">
        <w:rPr>
          <w:rFonts w:ascii="Arial" w:hAnsi="Arial" w:cs="Arial"/>
          <w:sz w:val="20"/>
          <w:szCs w:val="20"/>
        </w:rPr>
        <w:instrText xml:space="preserve">\a \f 4 \h  \* MERGEFORMAT </w:instrText>
      </w:r>
      <w:r w:rsidRPr="00A4203E">
        <w:rPr>
          <w:rFonts w:ascii="Arial" w:hAnsi="Arial" w:cs="Arial"/>
          <w:sz w:val="20"/>
          <w:szCs w:val="20"/>
        </w:rPr>
        <w:fldChar w:fldCharType="separate"/>
      </w:r>
    </w:p>
    <w:tbl>
      <w:tblPr>
        <w:tblStyle w:val="TableGrid"/>
        <w:tblW w:w="5812" w:type="dxa"/>
        <w:tblLook w:val="04A0" w:firstRow="1" w:lastRow="0" w:firstColumn="1" w:lastColumn="0" w:noHBand="0" w:noVBand="1"/>
      </w:tblPr>
      <w:tblGrid>
        <w:gridCol w:w="3828"/>
        <w:gridCol w:w="1984"/>
      </w:tblGrid>
      <w:tr w:rsidR="00A4203E" w:rsidRPr="00A4203E" w:rsidTr="00F54D6C">
        <w:trPr>
          <w:trHeight w:val="400"/>
        </w:trPr>
        <w:tc>
          <w:tcPr>
            <w:tcW w:w="3828" w:type="dxa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</w:tr>
      <w:tr w:rsidR="00A4203E" w:rsidRPr="00A4203E" w:rsidTr="00F54D6C">
        <w:trPr>
          <w:trHeight w:val="400"/>
        </w:trPr>
        <w:tc>
          <w:tcPr>
            <w:tcW w:w="3828" w:type="dxa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1984" w:type="dxa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</w:tr>
      <w:tr w:rsidR="00A4203E" w:rsidRPr="00A4203E" w:rsidTr="00F54D6C">
        <w:trPr>
          <w:trHeight w:val="400"/>
        </w:trPr>
        <w:tc>
          <w:tcPr>
            <w:tcW w:w="3828" w:type="dxa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1984" w:type="dxa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0.96 (0.64–1.43)</w:t>
            </w:r>
          </w:p>
        </w:tc>
      </w:tr>
      <w:tr w:rsidR="00A4203E" w:rsidRPr="00A4203E" w:rsidTr="00F54D6C">
        <w:trPr>
          <w:trHeight w:val="400"/>
        </w:trPr>
        <w:tc>
          <w:tcPr>
            <w:tcW w:w="3828" w:type="dxa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*APACHE III score</w:t>
            </w:r>
          </w:p>
        </w:tc>
        <w:tc>
          <w:tcPr>
            <w:tcW w:w="1984" w:type="dxa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1.04 (1.04–1.05)</w:t>
            </w:r>
          </w:p>
        </w:tc>
      </w:tr>
      <w:tr w:rsidR="00A4203E" w:rsidRPr="00A4203E" w:rsidTr="00F54D6C">
        <w:trPr>
          <w:trHeight w:val="400"/>
        </w:trPr>
        <w:tc>
          <w:tcPr>
            <w:tcW w:w="3828" w:type="dxa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1984" w:type="dxa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</w:tr>
      <w:tr w:rsidR="00A4203E" w:rsidRPr="00A4203E" w:rsidTr="00F54D6C">
        <w:trPr>
          <w:trHeight w:val="400"/>
        </w:trPr>
        <w:tc>
          <w:tcPr>
            <w:tcW w:w="3828" w:type="dxa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Frailty (CFS 5-8)</w:t>
            </w:r>
          </w:p>
        </w:tc>
        <w:tc>
          <w:tcPr>
            <w:tcW w:w="1984" w:type="dxa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1.89 (1.30–2.74)</w:t>
            </w:r>
          </w:p>
        </w:tc>
      </w:tr>
      <w:tr w:rsidR="00A4203E" w:rsidRPr="00A4203E" w:rsidTr="00F54D6C">
        <w:trPr>
          <w:trHeight w:val="400"/>
        </w:trPr>
        <w:tc>
          <w:tcPr>
            <w:tcW w:w="3828" w:type="dxa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1984" w:type="dxa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1.55 (1.04–2.32)</w:t>
            </w:r>
          </w:p>
        </w:tc>
      </w:tr>
      <w:tr w:rsidR="00A4203E" w:rsidRPr="00A4203E" w:rsidTr="00F54D6C">
        <w:trPr>
          <w:trHeight w:val="400"/>
        </w:trPr>
        <w:tc>
          <w:tcPr>
            <w:tcW w:w="3828" w:type="dxa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1984" w:type="dxa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1.56 (1.17–2.07)</w:t>
            </w:r>
          </w:p>
        </w:tc>
      </w:tr>
    </w:tbl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fldChar w:fldCharType="end"/>
      </w:r>
      <w:r w:rsidRPr="00A4203E">
        <w:rPr>
          <w:rFonts w:ascii="Arial" w:hAnsi="Arial" w:cs="Arial"/>
          <w:sz w:val="20"/>
          <w:szCs w:val="20"/>
        </w:rPr>
        <w:t>OR, adjusted odds ratios; CI, confidence intervals; CFS, clinical frailty scale; ED, emergency department; ICU, intensive care unit.</w:t>
      </w:r>
    </w:p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*</w:t>
      </w:r>
      <w:r w:rsidRPr="00A4203E">
        <w:t xml:space="preserve"> </w:t>
      </w:r>
      <w:r w:rsidRPr="00A4203E">
        <w:rPr>
          <w:rFonts w:ascii="Arial" w:hAnsi="Arial" w:cs="Arial"/>
          <w:sz w:val="20"/>
          <w:szCs w:val="20"/>
        </w:rPr>
        <w:t>Individual components of the APACHE III score, excluding the GCS and respiratory-related components (respiratory rate and oxygenation variables)</w:t>
      </w: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br w:type="page"/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</w:t>
      </w:r>
      <w:r w:rsidR="00170A2F" w:rsidRPr="00A4203E">
        <w:rPr>
          <w:rFonts w:ascii="Arial" w:hAnsi="Arial" w:cs="Arial"/>
          <w:b/>
          <w:sz w:val="20"/>
          <w:szCs w:val="20"/>
        </w:rPr>
        <w:t>4</w:t>
      </w:r>
      <w:r w:rsidRPr="00A4203E">
        <w:rPr>
          <w:rFonts w:ascii="Arial" w:hAnsi="Arial" w:cs="Arial"/>
          <w:b/>
          <w:sz w:val="20"/>
          <w:szCs w:val="20"/>
        </w:rPr>
        <w:t xml:space="preserve">. 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Subgroup analysis by age categories comparing primary outcomes (in-hospital mortality) between early intubation and delayed intubation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1984"/>
        <w:gridCol w:w="1102"/>
        <w:gridCol w:w="2012"/>
        <w:gridCol w:w="1134"/>
      </w:tblGrid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shd w:val="clear" w:color="auto" w:fill="auto"/>
            <w:noWrap/>
            <w:hideMark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 w:hint="eastAsia"/>
                <w:b/>
                <w:sz w:val="20"/>
                <w:szCs w:val="20"/>
              </w:rPr>
              <w:t>Age</w:t>
            </w:r>
            <w:r w:rsidRPr="00A420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4203E">
              <w:rPr>
                <w:rFonts w:ascii="Arial" w:hAnsi="Arial" w:cs="Arial" w:hint="eastAsia"/>
                <w:b/>
                <w:sz w:val="20"/>
                <w:szCs w:val="20"/>
              </w:rPr>
              <w:t>&lt;</w:t>
            </w:r>
            <w:r w:rsidRPr="00A420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4203E">
              <w:rPr>
                <w:rFonts w:ascii="Arial" w:hAnsi="Arial" w:cs="Arial" w:hint="eastAsia"/>
                <w:b/>
                <w:sz w:val="20"/>
                <w:szCs w:val="20"/>
              </w:rPr>
              <w:t>65</w:t>
            </w:r>
            <w:r w:rsidRPr="00A4203E">
              <w:rPr>
                <w:rFonts w:ascii="Arial" w:hAnsi="Arial" w:cs="Arial"/>
                <w:b/>
                <w:sz w:val="20"/>
                <w:szCs w:val="20"/>
              </w:rPr>
              <w:t xml:space="preserve"> years</w:t>
            </w:r>
          </w:p>
        </w:tc>
        <w:tc>
          <w:tcPr>
            <w:tcW w:w="3146" w:type="dxa"/>
            <w:gridSpan w:val="2"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 w:hint="eastAsia"/>
                <w:b/>
                <w:sz w:val="20"/>
                <w:szCs w:val="20"/>
              </w:rPr>
              <w:t>Age</w:t>
            </w:r>
            <w:r w:rsidRPr="00A4203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A4203E">
              <w:rPr>
                <w:rFonts w:ascii="Arial" w:hAnsi="Arial" w:cs="Arial" w:hint="eastAsia"/>
                <w:b/>
                <w:sz w:val="20"/>
                <w:szCs w:val="20"/>
              </w:rPr>
              <w:t>≥</w:t>
            </w:r>
            <w:r w:rsidRPr="00A4203E">
              <w:rPr>
                <w:rFonts w:ascii="Arial" w:hAnsi="Arial" w:cs="Arial"/>
                <w:b/>
                <w:sz w:val="20"/>
                <w:szCs w:val="20"/>
              </w:rPr>
              <w:t xml:space="preserve"> 65 years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0.73 (0.36-1.47)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0.76 (0.46-1.24)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1.01 (0.99-1.04)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0.34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1.01 (0.98-1.04)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0.65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SOFA score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1.26 (1.15-1.37)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1.22 (1.15-1.30)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  <w:r w:rsidRPr="00A4203E" w:rsidDel="00C3658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  <w:r w:rsidRPr="00A4203E" w:rsidDel="007D0AD8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Frailty (CFS 5-8)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2.39 (1.17-4.86)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0.038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1.58 (1.01-2.46)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0.044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2.17 (1.05-4.48)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0.031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1.47 (0.93-2.33)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0.098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Hospital admission source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hospital (without ED)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0.54 (0.18-1.69)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0.91 (0.50-1.68)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healthcare facilities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0.78 (0.14-4.19)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0.75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0.22 (0.05-1.01)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0.051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rehabilitation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other hospital-ED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0.86 (0.34-2.14)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0.83 (0.47-1.47)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0.48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Treatment limitations at ICU admission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2.30 (0.83-6.38)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0.078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2.44 (1.53-3.89)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1.16 (0.69-1.97)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0.56</w:t>
            </w:r>
          </w:p>
        </w:tc>
        <w:tc>
          <w:tcPr>
            <w:tcW w:w="201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1.45 (1.04-2.02)</w:t>
            </w:r>
          </w:p>
        </w:tc>
        <w:tc>
          <w:tcPr>
            <w:tcW w:w="113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0.034</w:t>
            </w:r>
          </w:p>
        </w:tc>
      </w:tr>
    </w:tbl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OR, adjusted odds ratios; CI, confidence intervals; SOFA, Sequential Organ Failure Assessment; CFS, clinical frailty scale; ED, emergency department; ICU, intensive care unit; GCS, Glasgow coma scale.</w:t>
      </w: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br w:type="page"/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</w:t>
      </w:r>
      <w:r w:rsidR="00170A2F" w:rsidRPr="00A4203E">
        <w:rPr>
          <w:rFonts w:ascii="Arial" w:hAnsi="Arial" w:cs="Arial"/>
          <w:b/>
          <w:sz w:val="20"/>
          <w:szCs w:val="20"/>
        </w:rPr>
        <w:t>5</w:t>
      </w:r>
      <w:r w:rsidRPr="00A4203E">
        <w:rPr>
          <w:rFonts w:ascii="Arial" w:hAnsi="Arial" w:cs="Arial"/>
          <w:b/>
          <w:sz w:val="20"/>
          <w:szCs w:val="20"/>
        </w:rPr>
        <w:t xml:space="preserve">. 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Subgroup analysis by admission source comparing primary outcomes (in-hospital mortality) between early intubation and delayed intubation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1984"/>
        <w:gridCol w:w="1102"/>
        <w:gridCol w:w="1768"/>
        <w:gridCol w:w="1094"/>
      </w:tblGrid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shd w:val="clear" w:color="auto" w:fill="auto"/>
            <w:noWrap/>
            <w:hideMark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via ED</w:t>
            </w:r>
          </w:p>
        </w:tc>
        <w:tc>
          <w:tcPr>
            <w:tcW w:w="2862" w:type="dxa"/>
            <w:gridSpan w:val="2"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via general ward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1.08 (0.60–1.94)</w:t>
            </w:r>
            <w:r w:rsidRPr="00A4203E" w:rsidDel="006C348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0.82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0.50 (0.28–0.89)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0.018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1.02 (1.01–1.04)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0.0079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1.02 (1.00-1.04)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0.025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SOFA score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1.22 (1.14–1.30)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="Yu Gothic" w:hAnsi="Arial" w:cs="Arial"/>
                <w:sz w:val="20"/>
                <w:szCs w:val="20"/>
              </w:rPr>
              <w:t>&lt;0.0001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1.25 (1.15-1.36)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Frailty (CFS 5-8)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1.58 (0.96–2.61)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="Yu Gothic" w:hAnsi="Arial" w:cs="Arial"/>
                <w:sz w:val="20"/>
                <w:szCs w:val="20"/>
              </w:rPr>
              <w:t>0.076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2.33 (1.29–4.22)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0.010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1.32 (0.77–2.25)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="Yu Gothic" w:hAnsi="Arial" w:cs="Arial"/>
                <w:sz w:val="20"/>
                <w:szCs w:val="20"/>
              </w:rPr>
              <w:t>0.29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2.09 (1.17–3.73)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0.017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Hospital admission source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eastAsia="Yu Gothic" w:hAnsi="Arial" w:cs="Arial"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eastAsia="Yu Gothic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hospital (without ED)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1.66 (0.60–4.63)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="Yu Gothic" w:hAnsi="Arial" w:cs="Arial"/>
                <w:sz w:val="20"/>
                <w:szCs w:val="20"/>
              </w:rPr>
              <w:t>0.35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0.41 (0.20–0.82)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0.010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healthcare facilities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="Yu Gothic" w:hAnsi="Arial" w:cs="Arial"/>
                <w:sz w:val="20"/>
                <w:szCs w:val="20"/>
              </w:rPr>
              <w:t>NA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="Yu Gothic" w:hAnsi="Arial" w:cs="Arial"/>
                <w:sz w:val="20"/>
                <w:szCs w:val="20"/>
              </w:rPr>
              <w:t>0.99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0.62 (0.17–2.22)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rehabilitation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="Yu Gothic" w:hAnsi="Arial" w:cs="Arial"/>
                <w:sz w:val="20"/>
                <w:szCs w:val="20"/>
              </w:rPr>
              <w:t>NA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="Yu Gothic" w:hAnsi="Arial" w:cs="Arial"/>
                <w:sz w:val="20"/>
                <w:szCs w:val="20"/>
              </w:rPr>
              <w:t>1.00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other hospital-ED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1.34 (0.66–2.69)</w:t>
            </w:r>
          </w:p>
        </w:tc>
        <w:tc>
          <w:tcPr>
            <w:tcW w:w="1102" w:type="dxa"/>
            <w:shd w:val="clear" w:color="auto" w:fill="auto"/>
            <w:noWrap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="Yu Gothic" w:hAnsi="Arial" w:cs="Arial"/>
                <w:sz w:val="20"/>
                <w:szCs w:val="20"/>
              </w:rPr>
              <w:t>0.40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0.42 (0.20–0.87)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0.017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Treatment limitations at ICU admission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2.05 (1.11–3.78)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0.021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2.84 (1.55–5.22)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0.0008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1.15 (0.72–1.86)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0.53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0.87 (0.54–1.41)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0.45</w:t>
            </w:r>
          </w:p>
        </w:tc>
      </w:tr>
    </w:tbl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OR, adjusted odds ratios; CI, confidence intervals; SOFA, Sequential Organ Failure Assessment; CFS, clinical frailty scale; ED, emergency department; ICU, intensive care unit; GCS, Glasgow coma scale.</w:t>
      </w: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br w:type="page"/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</w:t>
      </w:r>
      <w:r w:rsidR="00170A2F" w:rsidRPr="00A4203E">
        <w:rPr>
          <w:rFonts w:ascii="Arial" w:hAnsi="Arial" w:cs="Arial"/>
          <w:b/>
          <w:sz w:val="20"/>
          <w:szCs w:val="20"/>
        </w:rPr>
        <w:t>6</w:t>
      </w:r>
      <w:r w:rsidRPr="00A4203E">
        <w:rPr>
          <w:rFonts w:ascii="Arial" w:hAnsi="Arial" w:cs="Arial"/>
          <w:b/>
          <w:sz w:val="20"/>
          <w:szCs w:val="20"/>
        </w:rPr>
        <w:t xml:space="preserve">. 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Subgroup analysis by sex comparing primary outcomes (in-hospital mortality) between early intubation and delayed intubation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1984"/>
        <w:gridCol w:w="1102"/>
        <w:gridCol w:w="1768"/>
        <w:gridCol w:w="1094"/>
      </w:tblGrid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shd w:val="clear" w:color="auto" w:fill="auto"/>
            <w:noWrap/>
            <w:hideMark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2862" w:type="dxa"/>
            <w:gridSpan w:val="2"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0.75 (0.42-1.33)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0.75 (0.43-1.31)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0.29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1.03 (1.01-1.05)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0.0027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1.02 (1.00-1.03)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0.066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SOFA score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1.23 (1.15-1.32)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1.24 (1.16-1.34)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  <w:r w:rsidRPr="00A4203E" w:rsidDel="00726F0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  <w:r w:rsidRPr="00A4203E" w:rsidDel="007C062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Frailty (CFS 5-8)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2.11 (1.22-3.66)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0.0098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1.45 (0.85-2.46)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0.22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1.69 (0.97-2.93)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0.063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1.62 (0.92-2.83)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0.092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Hospital admission source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hospital (without ED)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0.85 (0.36-2.01)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0.68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0.81 (0.40-1.62)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healthcare facilities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0.57 (0.15-2.16)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0.43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0.14 (0.02-1.22)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0.069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rehabilitation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other hospital-ED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0.60 (0.28-1.25)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1.22 (0.64-2.33)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Treatment limitations at ICU admission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1.48 (0.80-2.74)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0.20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4.33 (2.35-7.98)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1.62 (1.07-2.46)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0.024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1.22 (0.64-2.33)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0.41</w:t>
            </w:r>
          </w:p>
        </w:tc>
      </w:tr>
    </w:tbl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OR, adjusted odds ratios; CI, confidence intervals; SOFA, Sequential Organ Failure Assessment; CFS, clinical frailty scale; ED, emergency department; ICU, intensive care unit; GCS, Glasgow coma scale.</w:t>
      </w:r>
    </w:p>
    <w:p w:rsidR="00F54D6C" w:rsidRPr="00A4203E" w:rsidRDefault="00F54D6C" w:rsidP="00F54D6C"/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br w:type="page"/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</w:t>
      </w:r>
      <w:r w:rsidR="00170A2F" w:rsidRPr="00A4203E">
        <w:rPr>
          <w:rFonts w:ascii="Arial" w:hAnsi="Arial" w:cs="Arial"/>
          <w:b/>
          <w:sz w:val="20"/>
          <w:szCs w:val="20"/>
        </w:rPr>
        <w:t>7</w:t>
      </w:r>
      <w:r w:rsidRPr="00A4203E">
        <w:rPr>
          <w:rFonts w:ascii="Arial" w:hAnsi="Arial" w:cs="Arial"/>
          <w:b/>
          <w:sz w:val="20"/>
          <w:szCs w:val="20"/>
        </w:rPr>
        <w:t xml:space="preserve">. 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Subgroup analysis by shock status comparing primary outcomes (in-hospital mortality) between early intubation and delayed intubation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8"/>
        <w:gridCol w:w="1984"/>
        <w:gridCol w:w="1102"/>
        <w:gridCol w:w="1768"/>
        <w:gridCol w:w="1094"/>
      </w:tblGrid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86" w:type="dxa"/>
            <w:gridSpan w:val="2"/>
            <w:shd w:val="clear" w:color="auto" w:fill="auto"/>
            <w:noWrap/>
            <w:hideMark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With vasopressor</w:t>
            </w:r>
          </w:p>
        </w:tc>
        <w:tc>
          <w:tcPr>
            <w:tcW w:w="2862" w:type="dxa"/>
            <w:gridSpan w:val="2"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Without vasopressor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0.72 (0.47-1.12)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0.60 (0.18–1.96)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0.49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1.02 (1.01–1.04)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0.0006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1.01 (0.98–1.04)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SOFA score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1.22 (1.15–1.28)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1.34 (1.14–1.58)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0.0003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Frailty (CFS 5-8)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1.69 (1.13–2.52)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0.021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2.54 (0.82–7.92)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0.097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1.53 (1.00–2.34)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0.057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2.76 (0.82–9.26)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0.097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Hospital admission source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hospital (without ED)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0.80 (0.45–1.45)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0.33 (0.04–2.79)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0.27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healthcare facilities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0.42 (0.13–1.29)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0.12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rehabilitation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other hospital-ED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0.82 (0.48–1.39)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0.59 (0.14–2.43)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0.40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Treatment limitations at ICU admission</w:t>
            </w:r>
          </w:p>
        </w:tc>
        <w:tc>
          <w:tcPr>
            <w:tcW w:w="198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2.36 (1.48–3.76)</w:t>
            </w:r>
          </w:p>
        </w:tc>
        <w:tc>
          <w:tcPr>
            <w:tcW w:w="1102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0.0003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2.81 (0.86–9.14)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A4203E" w:rsidRPr="00A4203E" w:rsidTr="00DB622D">
        <w:trPr>
          <w:trHeight w:val="400"/>
        </w:trPr>
        <w:tc>
          <w:tcPr>
            <w:tcW w:w="3828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198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1.48 (1.10–2.00)</w:t>
            </w:r>
          </w:p>
        </w:tc>
        <w:tc>
          <w:tcPr>
            <w:tcW w:w="1102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0.010</w:t>
            </w:r>
          </w:p>
        </w:tc>
        <w:tc>
          <w:tcPr>
            <w:tcW w:w="1768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0.64 (0.26–1.54)</w:t>
            </w:r>
          </w:p>
        </w:tc>
        <w:tc>
          <w:tcPr>
            <w:tcW w:w="109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0.36</w:t>
            </w:r>
          </w:p>
        </w:tc>
      </w:tr>
    </w:tbl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OR, adjusted odds ratios; CI, confidence intervals; SOFA, Sequential Organ Failure Assessment; CFS, clinical frailty scale; ED, emergency department; ICU, intensive care unit; GCS, Glasgow coma scale.</w:t>
      </w: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br w:type="page"/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</w:t>
      </w:r>
      <w:r w:rsidR="00170A2F" w:rsidRPr="00A4203E">
        <w:rPr>
          <w:rFonts w:ascii="Arial" w:hAnsi="Arial" w:cs="Arial"/>
          <w:b/>
          <w:sz w:val="20"/>
          <w:szCs w:val="20"/>
        </w:rPr>
        <w:t>8</w:t>
      </w:r>
      <w:r w:rsidRPr="00A4203E">
        <w:rPr>
          <w:rFonts w:ascii="Arial" w:hAnsi="Arial" w:cs="Arial"/>
          <w:b/>
          <w:sz w:val="20"/>
          <w:szCs w:val="20"/>
        </w:rPr>
        <w:t xml:space="preserve">. 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Subgroup analysis by frailty status comparing primary outcomes (in-hospital mortality) between early intubation and delayed intubation</w:t>
      </w:r>
    </w:p>
    <w:tbl>
      <w:tblPr>
        <w:tblpPr w:leftFromText="142" w:rightFromText="142" w:vertAnchor="text" w:horzAnchor="margin" w:tblpXSpec="center" w:tblpY="150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4"/>
        <w:gridCol w:w="1701"/>
        <w:gridCol w:w="992"/>
        <w:gridCol w:w="1701"/>
        <w:gridCol w:w="992"/>
        <w:gridCol w:w="1843"/>
        <w:gridCol w:w="992"/>
      </w:tblGrid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auto"/>
            <w:noWrap/>
            <w:hideMark/>
          </w:tcPr>
          <w:p w:rsidR="00F54D6C" w:rsidRPr="00A4203E" w:rsidRDefault="00F54D6C" w:rsidP="00F54D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Frail</w:t>
            </w:r>
          </w:p>
        </w:tc>
        <w:tc>
          <w:tcPr>
            <w:tcW w:w="2693" w:type="dxa"/>
            <w:gridSpan w:val="2"/>
          </w:tcPr>
          <w:p w:rsidR="00F54D6C" w:rsidRPr="00A4203E" w:rsidRDefault="00F54D6C" w:rsidP="00F54D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Non frail</w:t>
            </w:r>
          </w:p>
        </w:tc>
        <w:tc>
          <w:tcPr>
            <w:tcW w:w="2835" w:type="dxa"/>
            <w:gridSpan w:val="2"/>
          </w:tcPr>
          <w:p w:rsidR="00F54D6C" w:rsidRPr="00A4203E" w:rsidRDefault="00F54D6C" w:rsidP="00F54D6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 w:hint="eastAsia"/>
                <w:b/>
                <w:sz w:val="20"/>
                <w:szCs w:val="20"/>
              </w:rPr>
              <w:t>Unknown frail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1.01 (0.52–1.99)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0.96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0.55 (0.29–1.03)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0.062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 xml:space="preserve">0.78 (0.34–1.80) 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1.02 (1.00-1.04)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0.13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1.03 (1.01–1.05)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0.0037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1.02 (0.99–1.04)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0.26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SOFA score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1.19 (1.09–1.30)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0.0005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1.23 (1.14–1.33)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1.30 (1.18–1.44)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&lt;0.0001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Frailty (CFS 5-8)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Hospital admission source 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hospital (without ED)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0.89 (0.32–2.49)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0.80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1.28 (0.51-3.18)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0.61 (0.25–1.46)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0.31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healthcare facilities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0.29 (0.08–1.07)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0.054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1.02 (0.10–10.57)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0.84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rehabilitation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1.00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other hospital-ED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0.94 (0.42–2.15)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0.92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0.75 (0.35–1.61)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0.85 (0.30–2.38)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0.64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Treatment limitations at ICU admission</w:t>
            </w:r>
          </w:p>
        </w:tc>
        <w:tc>
          <w:tcPr>
            <w:tcW w:w="1701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2.46 (1.32–4.61)</w:t>
            </w:r>
          </w:p>
        </w:tc>
        <w:tc>
          <w:tcPr>
            <w:tcW w:w="992" w:type="dxa"/>
            <w:shd w:val="clear" w:color="auto" w:fill="auto"/>
            <w:noWrap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0.0039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2.68 (1.22–5.89)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0.017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2.40 (0.97–5.97)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0.044</w:t>
            </w:r>
          </w:p>
        </w:tc>
      </w:tr>
      <w:tr w:rsidR="00A4203E" w:rsidRPr="00A4203E" w:rsidTr="00F54D6C">
        <w:trPr>
          <w:trHeight w:val="400"/>
        </w:trPr>
        <w:tc>
          <w:tcPr>
            <w:tcW w:w="3114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1.83 (1.07–3.11)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0.039</w:t>
            </w:r>
          </w:p>
        </w:tc>
        <w:tc>
          <w:tcPr>
            <w:tcW w:w="1701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1.08 (0.66–1.77)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  <w:tc>
          <w:tcPr>
            <w:tcW w:w="1843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eastAsiaTheme="minorEastAsia" w:hAnsi="Arial" w:cs="Arial"/>
                <w:iCs/>
                <w:sz w:val="20"/>
                <w:szCs w:val="20"/>
                <w:lang w:val="en-US" w:eastAsia="ja-JP"/>
              </w:rPr>
              <w:t>1.38 (0.84–2.27)</w:t>
            </w:r>
          </w:p>
        </w:tc>
        <w:tc>
          <w:tcPr>
            <w:tcW w:w="992" w:type="dxa"/>
          </w:tcPr>
          <w:p w:rsidR="00F54D6C" w:rsidRPr="00A4203E" w:rsidRDefault="00F54D6C" w:rsidP="00F54D6C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0.19</w:t>
            </w:r>
          </w:p>
        </w:tc>
      </w:tr>
    </w:tbl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OR, adjusted odds ratios; CI, confidence intervals; SOFA, Sequential Organ Failure Assessment; CFS, clinical frailty scale; ED, emergency department; ICU, intensive care unit; GCS, Glasgow coma scale.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br w:type="page"/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</w:t>
      </w:r>
      <w:r w:rsidR="00170A2F" w:rsidRPr="00A4203E">
        <w:rPr>
          <w:rFonts w:ascii="Arial" w:hAnsi="Arial" w:cs="Arial"/>
          <w:b/>
          <w:sz w:val="20"/>
          <w:szCs w:val="20"/>
        </w:rPr>
        <w:t>9</w:t>
      </w:r>
      <w:r w:rsidRPr="00A4203E">
        <w:rPr>
          <w:rFonts w:ascii="Arial" w:hAnsi="Arial" w:cs="Arial"/>
          <w:b/>
          <w:sz w:val="20"/>
          <w:szCs w:val="20"/>
        </w:rPr>
        <w:t xml:space="preserve">. 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Comparison of secondary outcomes (mortality at three, six and twelve months of follow-up) between early intubation and delayed intubation with multivariable logistic regression analysis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</w:p>
    <w:tbl>
      <w:tblPr>
        <w:tblW w:w="11624" w:type="dxa"/>
        <w:tblInd w:w="-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119"/>
        <w:gridCol w:w="1843"/>
        <w:gridCol w:w="992"/>
        <w:gridCol w:w="1843"/>
        <w:gridCol w:w="992"/>
        <w:gridCol w:w="1843"/>
        <w:gridCol w:w="992"/>
      </w:tblGrid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Secondary Outcomes</w:t>
            </w:r>
          </w:p>
        </w:tc>
        <w:tc>
          <w:tcPr>
            <w:tcW w:w="2835" w:type="dxa"/>
            <w:gridSpan w:val="2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3-month mortality</w:t>
            </w:r>
          </w:p>
        </w:tc>
        <w:tc>
          <w:tcPr>
            <w:tcW w:w="2835" w:type="dxa"/>
            <w:gridSpan w:val="2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6-month mortality</w:t>
            </w:r>
          </w:p>
        </w:tc>
        <w:tc>
          <w:tcPr>
            <w:tcW w:w="2835" w:type="dxa"/>
            <w:gridSpan w:val="2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12-month mortality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OR (95% CI)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0.66 (0.46-0.97)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0.038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0.76 (0.53-1.10)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0.16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0.75 (0.53-1.06)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0.11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1.03 (1.02 -1.04)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1.03 (1.02-1.04)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1.03 (1.02-1.04)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SOFA score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1.18 (1.12-1.24)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1.15 (1.10-1.20)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1.14 (1.09-1.19)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 (CFS 5-8)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2.12 (1.47-3.05)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2.47 (1.75-3.49)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2.50 (1.79-3.49)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1.70 (1.16-2.48)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0.006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1.66 (1.15-2.39)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1.57 (1.11-2.23)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0.012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Hospital admission source 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hospital (without ED)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1.22 (0.75-1.98)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1.32 (0.83-2.09)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0.24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1.19 (0.76-1.87)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0.46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healthcare facilities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0.64 (0.26-1.57)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0.32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0.58 (0.24-1.36)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0.21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0.49 (0.21-1.16)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0.10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rehabilitation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NA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0.99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0.55 (0.06-5.50)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0.46 (0.05-4.56)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0.51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other hospital-ED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1.05 (0.66-1.65)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0.85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1.11 (0.72-1.71)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0.63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1.11 (0.74-1.68)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Treatment limitations at ICU admission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2.25 (1.50-3.38)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2.26 (1.52-3.35)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2.14 (1.45-3.15)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A4203E" w:rsidRPr="00A4203E" w:rsidTr="00F54D6C">
        <w:trPr>
          <w:trHeight w:val="229"/>
        </w:trPr>
        <w:tc>
          <w:tcPr>
            <w:tcW w:w="3119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1.28 (0.97-1.69)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0.09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1.31 (1.00-1.72)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  <w:tc>
          <w:tcPr>
            <w:tcW w:w="1843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1.31 (1.01-1.70)</w:t>
            </w:r>
          </w:p>
        </w:tc>
        <w:tc>
          <w:tcPr>
            <w:tcW w:w="992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0.05</w:t>
            </w:r>
          </w:p>
        </w:tc>
      </w:tr>
    </w:tbl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OR, adjusted odds ratios; CI, confidence intervals; SOFA, Sequential Organ Failure Assessment; CFS, clinical frailty scale; ED, emergency department; ICU, intensive care unit; GCS, Glasgow coma scale.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br w:type="page"/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 xml:space="preserve">Supplementary Table </w:t>
      </w:r>
      <w:r w:rsidR="00170A2F" w:rsidRPr="00A4203E">
        <w:rPr>
          <w:rFonts w:ascii="Arial" w:hAnsi="Arial" w:cs="Arial"/>
          <w:b/>
          <w:sz w:val="20"/>
          <w:szCs w:val="20"/>
        </w:rPr>
        <w:t>10</w:t>
      </w:r>
      <w:r w:rsidRPr="00A4203E">
        <w:rPr>
          <w:rFonts w:ascii="Arial" w:hAnsi="Arial" w:cs="Arial"/>
          <w:b/>
          <w:sz w:val="20"/>
          <w:szCs w:val="20"/>
        </w:rPr>
        <w:t xml:space="preserve">. 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Comparison of secondary outcomes (ICU length of stay) between early intubation and delayed intubation with multivariable linear regression analysis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</w:p>
    <w:tbl>
      <w:tblPr>
        <w:tblW w:w="7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44"/>
        <w:gridCol w:w="2477"/>
        <w:gridCol w:w="1004"/>
      </w:tblGrid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81" w:type="dxa"/>
            <w:gridSpan w:val="2"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ICU Length of stay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  <w:lang w:val="en-US"/>
              </w:rPr>
              <w:t>Point Estimate</w:t>
            </w:r>
          </w:p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100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00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-70.60 (-93.71 to -47.50)</w:t>
            </w:r>
          </w:p>
        </w:tc>
        <w:tc>
          <w:tcPr>
            <w:tcW w:w="100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-0.10 (-0.69 to 0.50)</w:t>
            </w:r>
          </w:p>
        </w:tc>
        <w:tc>
          <w:tcPr>
            <w:tcW w:w="1004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0.69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SOFA score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6.69 (3.87 to 9.51)</w:t>
            </w:r>
          </w:p>
        </w:tc>
        <w:tc>
          <w:tcPr>
            <w:tcW w:w="1004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00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 (CFS 5-8)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-8.18 (-29.99 to 13.64)</w:t>
            </w:r>
          </w:p>
        </w:tc>
        <w:tc>
          <w:tcPr>
            <w:tcW w:w="100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-18.91 (-43.87 to 6.05)</w:t>
            </w:r>
          </w:p>
        </w:tc>
        <w:tc>
          <w:tcPr>
            <w:tcW w:w="100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0.006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Hospital admission source 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hospital (without ED)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2.37 (-19.73 to 40.47)</w:t>
            </w:r>
          </w:p>
        </w:tc>
        <w:tc>
          <w:tcPr>
            <w:tcW w:w="1004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0.50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healthcare facilities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3.95 (-63.14 to 43.25)</w:t>
            </w:r>
          </w:p>
        </w:tc>
        <w:tc>
          <w:tcPr>
            <w:tcW w:w="1004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0.71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rehabilitation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5.99 (-78.06 to 200.05)</w:t>
            </w:r>
          </w:p>
        </w:tc>
        <w:tc>
          <w:tcPr>
            <w:tcW w:w="1004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0.42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other hospital-ED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98.07 (-8.22 to 46.36)</w:t>
            </w:r>
          </w:p>
        </w:tc>
        <w:tc>
          <w:tcPr>
            <w:tcW w:w="1004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Treatment limitations at ICU admission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-48.40 (-76.89 to -19.92)</w:t>
            </w:r>
          </w:p>
        </w:tc>
        <w:tc>
          <w:tcPr>
            <w:tcW w:w="1004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0.001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247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2.67 (-16.08 to 21.43)</w:t>
            </w:r>
          </w:p>
        </w:tc>
        <w:tc>
          <w:tcPr>
            <w:tcW w:w="1004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0.86</w:t>
            </w:r>
          </w:p>
        </w:tc>
      </w:tr>
    </w:tbl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CI, confidence intervals; SOFA, Sequential Organ Failure Assessment; CFS, clinical frailty scale; ED, emergency department; ICU, intensive care unit.</w:t>
      </w:r>
    </w:p>
    <w:p w:rsidR="00F54D6C" w:rsidRPr="00A4203E" w:rsidRDefault="00F54D6C" w:rsidP="00F54D6C"/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br w:type="page"/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Supplementary Table 1</w:t>
      </w:r>
      <w:r w:rsidR="00170A2F" w:rsidRPr="00A4203E">
        <w:rPr>
          <w:rFonts w:ascii="Arial" w:hAnsi="Arial" w:cs="Arial"/>
          <w:b/>
          <w:sz w:val="20"/>
          <w:szCs w:val="20"/>
        </w:rPr>
        <w:t>1</w:t>
      </w:r>
      <w:r w:rsidRPr="00A4203E">
        <w:rPr>
          <w:rFonts w:ascii="Arial" w:hAnsi="Arial" w:cs="Arial"/>
          <w:b/>
          <w:sz w:val="20"/>
          <w:szCs w:val="20"/>
        </w:rPr>
        <w:t xml:space="preserve">. 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  <w:r w:rsidRPr="00A4203E">
        <w:rPr>
          <w:rFonts w:ascii="Arial" w:hAnsi="Arial" w:cs="Arial"/>
          <w:b/>
          <w:sz w:val="20"/>
          <w:szCs w:val="20"/>
        </w:rPr>
        <w:t>Comparison of secondary outcomes (hospital length of stay) between early intubation and delayed intubation with multivariable linear regression analysis</w:t>
      </w:r>
    </w:p>
    <w:p w:rsidR="00F54D6C" w:rsidRPr="00A4203E" w:rsidRDefault="00F54D6C" w:rsidP="00F54D6C">
      <w:pPr>
        <w:rPr>
          <w:rFonts w:ascii="Arial" w:hAnsi="Arial" w:cs="Arial"/>
          <w:b/>
          <w:sz w:val="20"/>
          <w:szCs w:val="20"/>
        </w:rPr>
      </w:pPr>
    </w:p>
    <w:tbl>
      <w:tblPr>
        <w:tblW w:w="6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744"/>
        <w:gridCol w:w="2027"/>
        <w:gridCol w:w="1019"/>
      </w:tblGrid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6" w:type="dxa"/>
            <w:gridSpan w:val="2"/>
          </w:tcPr>
          <w:p w:rsidR="00F54D6C" w:rsidRPr="00A4203E" w:rsidRDefault="00F54D6C" w:rsidP="00DB622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Hospital Length of stay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Point Estimate</w:t>
            </w:r>
          </w:p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 xml:space="preserve"> (95% CI)</w:t>
            </w:r>
          </w:p>
        </w:tc>
        <w:tc>
          <w:tcPr>
            <w:tcW w:w="1019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b/>
                <w:sz w:val="20"/>
                <w:szCs w:val="20"/>
              </w:rPr>
              <w:t>P-value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Delayed intubation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019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Early intubation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-3.05 (-6.89 to 0.80)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0.07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0.04 (-0.06 to 0.14)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SOFA score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-0.04 (-0.51 to 0.43)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0.17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Non-frail (CFS 1-4)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Reference group</w:t>
            </w:r>
          </w:p>
        </w:tc>
        <w:tc>
          <w:tcPr>
            <w:tcW w:w="1019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Frail (CFS 5-8)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-0.24 (-3.90 to 3.42)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0.60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Unknown frailty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-1.69 (-5.69 to 2.31)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0.38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Hospital admission source 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19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hospital (without ED)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2 (-5.64 to 4.40)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0.87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ind w:firstLineChars="150" w:firstLine="300"/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other healthcare facilities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6 (-6.49 to 11.42)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0.61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rehabilitation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8 (10.97 to 57.78)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 xml:space="preserve">   other hospital-ED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8 (-6.73 to 2.37)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0.44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Treatment limitations at ICU admission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-4.71 (-9.50 to 0.09)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0.06</w:t>
            </w:r>
          </w:p>
        </w:tc>
      </w:tr>
      <w:tr w:rsidR="00A4203E" w:rsidRPr="00A4203E" w:rsidTr="00DB622D">
        <w:trPr>
          <w:trHeight w:val="229"/>
        </w:trPr>
        <w:tc>
          <w:tcPr>
            <w:tcW w:w="3744" w:type="dxa"/>
            <w:shd w:val="clear" w:color="auto" w:fill="auto"/>
            <w:noWrap/>
            <w:hideMark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Emergency response admission</w:t>
            </w:r>
          </w:p>
        </w:tc>
        <w:tc>
          <w:tcPr>
            <w:tcW w:w="2027" w:type="dxa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4.29 (1.22 to 7.37)</w:t>
            </w:r>
          </w:p>
        </w:tc>
        <w:tc>
          <w:tcPr>
            <w:tcW w:w="1019" w:type="dxa"/>
            <w:vAlign w:val="bottom"/>
          </w:tcPr>
          <w:p w:rsidR="00F54D6C" w:rsidRPr="00A4203E" w:rsidRDefault="00F54D6C" w:rsidP="00DB622D">
            <w:pPr>
              <w:rPr>
                <w:rFonts w:ascii="Arial" w:hAnsi="Arial" w:cs="Arial"/>
                <w:sz w:val="20"/>
                <w:szCs w:val="20"/>
              </w:rPr>
            </w:pPr>
            <w:r w:rsidRPr="00A4203E">
              <w:rPr>
                <w:rFonts w:ascii="Arial" w:hAnsi="Arial" w:cs="Arial"/>
                <w:sz w:val="20"/>
                <w:szCs w:val="20"/>
              </w:rPr>
              <w:t>0.007</w:t>
            </w:r>
          </w:p>
        </w:tc>
      </w:tr>
    </w:tbl>
    <w:p w:rsidR="00F54D6C" w:rsidRPr="00A4203E" w:rsidRDefault="00F54D6C" w:rsidP="00F54D6C">
      <w:pPr>
        <w:rPr>
          <w:rFonts w:ascii="Arial" w:hAnsi="Arial" w:cs="Arial"/>
          <w:sz w:val="20"/>
          <w:szCs w:val="20"/>
        </w:rPr>
      </w:pPr>
      <w:r w:rsidRPr="00A4203E">
        <w:rPr>
          <w:rFonts w:ascii="Arial" w:hAnsi="Arial" w:cs="Arial"/>
          <w:sz w:val="20"/>
          <w:szCs w:val="20"/>
        </w:rPr>
        <w:t>CI, confidence intervals; SOFA, Sequential Organ Failure Assessment; CFS, clinical frailty scale; ED, emergency department; ICU, intensive care unit.</w:t>
      </w:r>
    </w:p>
    <w:p w:rsidR="00F54D6C" w:rsidRPr="00A4203E" w:rsidRDefault="00F54D6C">
      <w:pPr>
        <w:rPr>
          <w:rFonts w:ascii="Arial" w:hAnsi="Arial" w:cs="Arial"/>
          <w:b/>
          <w:sz w:val="20"/>
          <w:szCs w:val="20"/>
        </w:rPr>
      </w:pPr>
    </w:p>
    <w:sectPr w:rsidR="00F54D6C" w:rsidRPr="00A4203E" w:rsidSect="00A4203E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0F9"/>
    <w:rsid w:val="000053A2"/>
    <w:rsid w:val="00011189"/>
    <w:rsid w:val="00022AF8"/>
    <w:rsid w:val="000419A2"/>
    <w:rsid w:val="0005286B"/>
    <w:rsid w:val="00136868"/>
    <w:rsid w:val="00170A2F"/>
    <w:rsid w:val="001C0F1C"/>
    <w:rsid w:val="001C319F"/>
    <w:rsid w:val="001D6ED9"/>
    <w:rsid w:val="002414BB"/>
    <w:rsid w:val="00243A6E"/>
    <w:rsid w:val="0028264D"/>
    <w:rsid w:val="00282E34"/>
    <w:rsid w:val="00286E32"/>
    <w:rsid w:val="00296E56"/>
    <w:rsid w:val="002C57D4"/>
    <w:rsid w:val="002E1CC3"/>
    <w:rsid w:val="002F2509"/>
    <w:rsid w:val="00326B61"/>
    <w:rsid w:val="003378E3"/>
    <w:rsid w:val="00356299"/>
    <w:rsid w:val="00383A5B"/>
    <w:rsid w:val="003B1C56"/>
    <w:rsid w:val="003E47FB"/>
    <w:rsid w:val="003E7E15"/>
    <w:rsid w:val="00415153"/>
    <w:rsid w:val="004204E7"/>
    <w:rsid w:val="00470493"/>
    <w:rsid w:val="004B0AD5"/>
    <w:rsid w:val="004C002A"/>
    <w:rsid w:val="004D714E"/>
    <w:rsid w:val="00564B1F"/>
    <w:rsid w:val="00565D31"/>
    <w:rsid w:val="005E3466"/>
    <w:rsid w:val="005E5AD8"/>
    <w:rsid w:val="005E66E3"/>
    <w:rsid w:val="006A6E99"/>
    <w:rsid w:val="007034CB"/>
    <w:rsid w:val="00706ABE"/>
    <w:rsid w:val="007216D7"/>
    <w:rsid w:val="007925BF"/>
    <w:rsid w:val="007C2A60"/>
    <w:rsid w:val="007E6AB5"/>
    <w:rsid w:val="0081781F"/>
    <w:rsid w:val="00834FB2"/>
    <w:rsid w:val="00845366"/>
    <w:rsid w:val="00890995"/>
    <w:rsid w:val="00901E04"/>
    <w:rsid w:val="00921643"/>
    <w:rsid w:val="0094470D"/>
    <w:rsid w:val="00991F34"/>
    <w:rsid w:val="009A61DB"/>
    <w:rsid w:val="009E2134"/>
    <w:rsid w:val="009F70F9"/>
    <w:rsid w:val="00A05903"/>
    <w:rsid w:val="00A24703"/>
    <w:rsid w:val="00A4203E"/>
    <w:rsid w:val="00AA1B09"/>
    <w:rsid w:val="00AB5A4D"/>
    <w:rsid w:val="00B02B73"/>
    <w:rsid w:val="00B04D85"/>
    <w:rsid w:val="00B16A26"/>
    <w:rsid w:val="00B4357B"/>
    <w:rsid w:val="00C7604C"/>
    <w:rsid w:val="00CA0C2C"/>
    <w:rsid w:val="00D12058"/>
    <w:rsid w:val="00D31721"/>
    <w:rsid w:val="00D53CE7"/>
    <w:rsid w:val="00DC03D6"/>
    <w:rsid w:val="00DC04BB"/>
    <w:rsid w:val="00E010BA"/>
    <w:rsid w:val="00E34F83"/>
    <w:rsid w:val="00E460F0"/>
    <w:rsid w:val="00E52B10"/>
    <w:rsid w:val="00E719CB"/>
    <w:rsid w:val="00F50279"/>
    <w:rsid w:val="00F54D6C"/>
    <w:rsid w:val="00FA66D0"/>
    <w:rsid w:val="00F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487112A-DFD7-3249-9367-3A133215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70F9"/>
    <w:rPr>
      <w:rFonts w:ascii="Times New Roman" w:eastAsia="Times New Roman" w:hAnsi="Times New Roman" w:cs="Times New Roman"/>
      <w:kern w:val="0"/>
      <w:sz w:val="24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4D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tfrommd">
    <w:name w:val="gt_from_md"/>
    <w:basedOn w:val="DefaultParagraphFont"/>
    <w:rsid w:val="00170A2F"/>
  </w:style>
  <w:style w:type="character" w:styleId="Strong">
    <w:name w:val="Strong"/>
    <w:basedOn w:val="DefaultParagraphFont"/>
    <w:uiPriority w:val="22"/>
    <w:qFormat/>
    <w:rsid w:val="00170A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2312</Words>
  <Characters>13183</Characters>
  <Application>Microsoft Office Word</Application>
  <DocSecurity>0</DocSecurity>
  <Lines>109</Lines>
  <Paragraphs>30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須賀 将文</dc:creator>
  <cp:keywords/>
  <dc:description/>
  <cp:lastModifiedBy>Revathi   Thangaraj</cp:lastModifiedBy>
  <cp:revision>4</cp:revision>
  <dcterms:created xsi:type="dcterms:W3CDTF">2025-08-11T04:07:00Z</dcterms:created>
  <dcterms:modified xsi:type="dcterms:W3CDTF">2025-10-04T04:19:00Z</dcterms:modified>
</cp:coreProperties>
</file>