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119D04" w14:textId="77777777" w:rsidR="00304732" w:rsidRDefault="00304732">
      <w:pPr>
        <w:spacing w:after="120"/>
        <w:rPr>
          <w:rFonts w:eastAsia="Times New Roman"/>
          <w:b/>
          <w:bCs/>
        </w:rPr>
      </w:pPr>
      <w:r>
        <w:rPr>
          <w:rFonts w:eastAsia="Times New Roman"/>
          <w:b/>
          <w:bCs/>
        </w:rPr>
        <w:t>Additional File 7</w:t>
      </w:r>
    </w:p>
    <w:p w14:paraId="727EA0BF" w14:textId="77777777" w:rsidR="00304732" w:rsidRDefault="00304732">
      <w:pPr>
        <w:spacing w:after="120"/>
        <w:rPr>
          <w:rFonts w:eastAsia="Times New Roman"/>
          <w:b/>
          <w:bCs/>
        </w:rPr>
      </w:pPr>
    </w:p>
    <w:p w14:paraId="17583209" w14:textId="5B5BF97A" w:rsidR="004130BB" w:rsidRDefault="00557DD6">
      <w:pPr>
        <w:spacing w:after="120"/>
      </w:pPr>
      <w:r w:rsidRPr="004130BB">
        <w:rPr>
          <w:b/>
          <w:bCs/>
        </w:rPr>
        <w:t>Sensitivity analysis — adjustment for and stratification by previous-day mental status.</w:t>
      </w:r>
      <w:r>
        <w:br/>
      </w:r>
    </w:p>
    <w:p w14:paraId="7452F094" w14:textId="690BFA83" w:rsidR="002B389B" w:rsidRDefault="004130BB">
      <w:pPr>
        <w:spacing w:after="120"/>
        <w:rPr>
          <w:sz w:val="22"/>
          <w:szCs w:val="22"/>
        </w:rPr>
      </w:pPr>
      <w:r>
        <w:rPr>
          <w:sz w:val="22"/>
          <w:szCs w:val="22"/>
        </w:rPr>
        <w:t xml:space="preserve">Post hoc sensitivity analysis evaluating whether the association between previous-day physical restraint duration and following-day incident delirium is independent of </w:t>
      </w:r>
      <w:r w:rsidR="00990825" w:rsidRPr="00990825">
        <w:rPr>
          <w:sz w:val="22"/>
          <w:szCs w:val="22"/>
        </w:rPr>
        <w:t>ICDSC-detectable prodromal status on the previous (exposure) day</w:t>
      </w:r>
      <w:r>
        <w:rPr>
          <w:sz w:val="22"/>
          <w:szCs w:val="22"/>
        </w:rPr>
        <w:t xml:space="preserve">. Because the exposure was lagged by one day, the </w:t>
      </w:r>
      <w:r w:rsidR="00990825" w:rsidRPr="00990825">
        <w:rPr>
          <w:sz w:val="22"/>
          <w:szCs w:val="22"/>
        </w:rPr>
        <w:t>previous-day Intensive Care Delirium Screening Checklist (ICDSC) score was used to index the patient's clinical state</w:t>
      </w:r>
      <w:r>
        <w:rPr>
          <w:sz w:val="22"/>
          <w:szCs w:val="22"/>
        </w:rPr>
        <w:t xml:space="preserve"> at the time restraint was applied. The analytic sample is that of the primary incident-delirium analysis (patient-days with previous-day ICDSC 0–3).</w:t>
      </w:r>
    </w:p>
    <w:p w14:paraId="4C55FE2A" w14:textId="77777777" w:rsidR="004130BB" w:rsidRDefault="004130BB">
      <w:pPr>
        <w:spacing w:after="120"/>
        <w:rPr>
          <w:sz w:val="22"/>
          <w:szCs w:val="22"/>
        </w:rPr>
      </w:pPr>
    </w:p>
    <w:p w14:paraId="32449640" w14:textId="77777777" w:rsidR="004130BB" w:rsidRPr="004130BB" w:rsidRDefault="004130BB" w:rsidP="004130BB">
      <w:pPr>
        <w:spacing w:before="160" w:after="100"/>
      </w:pPr>
      <w:r w:rsidRPr="004130BB">
        <w:rPr>
          <w:rFonts w:eastAsia="Arial"/>
          <w:b/>
          <w:bCs/>
          <w:sz w:val="22"/>
          <w:szCs w:val="22"/>
        </w:rPr>
        <w:t>Panel A. Adjustment for previous-day mental status</w:t>
      </w:r>
    </w:p>
    <w:p w14:paraId="0C44D491" w14:textId="77777777" w:rsidR="004130BB" w:rsidRPr="004130BB" w:rsidRDefault="004130BB" w:rsidP="004130BB">
      <w:pPr>
        <w:spacing w:after="140" w:line="276" w:lineRule="auto"/>
        <w:rPr>
          <w:sz w:val="22"/>
          <w:szCs w:val="22"/>
        </w:rPr>
      </w:pPr>
      <w:r w:rsidRPr="004130BB">
        <w:rPr>
          <w:sz w:val="22"/>
          <w:szCs w:val="22"/>
        </w:rPr>
        <w:t>The primary generalized linear mixed model (random intercept; previous-day restraint duration modeled with a natural cubic spline, degrees of freedom = 3; multiple imputation) was re-fitted with previous-day mental status (normal [ICDSC 0] versus subsyndromal [ICDSC 1–3]) added as a single covariate. All other covariates were unchanged from the primary model.</w:t>
      </w:r>
    </w:p>
    <w:p w14:paraId="0B2EEBC2" w14:textId="77777777" w:rsidR="004130BB" w:rsidRPr="004130BB" w:rsidRDefault="004130BB" w:rsidP="004130BB">
      <w:pPr>
        <w:spacing w:after="140" w:line="276" w:lineRule="auto"/>
        <w:rPr>
          <w:sz w:val="22"/>
          <w:szCs w:val="22"/>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2700"/>
        <w:gridCol w:w="2700"/>
      </w:tblGrid>
      <w:tr w:rsidR="004130BB" w:rsidRPr="004130BB" w14:paraId="15607992" w14:textId="77777777" w:rsidTr="004130BB">
        <w:trPr>
          <w:tblHeader/>
        </w:trPr>
        <w:tc>
          <w:tcPr>
            <w:tcW w:w="36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4C2F4CE0" w14:textId="77777777" w:rsidR="004130BB" w:rsidRPr="004130BB" w:rsidRDefault="004130BB" w:rsidP="00E41559">
            <w:pPr>
              <w:spacing w:line="252" w:lineRule="auto"/>
            </w:pPr>
            <w:r w:rsidRPr="004130BB">
              <w:rPr>
                <w:b/>
                <w:bCs/>
              </w:rPr>
              <w:t>Previous-day restraint duration</w:t>
            </w:r>
          </w:p>
        </w:tc>
        <w:tc>
          <w:tcPr>
            <w:tcW w:w="27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4DA517FF" w14:textId="77777777" w:rsidR="004130BB" w:rsidRPr="004130BB" w:rsidRDefault="004130BB" w:rsidP="00E41559">
            <w:pPr>
              <w:spacing w:line="252" w:lineRule="auto"/>
              <w:jc w:val="center"/>
            </w:pPr>
            <w:r w:rsidRPr="004130BB">
              <w:rPr>
                <w:b/>
                <w:bCs/>
              </w:rPr>
              <w:t>Primary model (without mental status)ᵃ</w:t>
            </w:r>
          </w:p>
        </w:tc>
        <w:tc>
          <w:tcPr>
            <w:tcW w:w="27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51967DAF" w14:textId="77777777" w:rsidR="004130BB" w:rsidRPr="004130BB" w:rsidRDefault="004130BB" w:rsidP="00E41559">
            <w:pPr>
              <w:spacing w:line="252" w:lineRule="auto"/>
              <w:jc w:val="center"/>
            </w:pPr>
            <w:r w:rsidRPr="004130BB">
              <w:rPr>
                <w:b/>
                <w:bCs/>
              </w:rPr>
              <w:t>With previous-day mental status</w:t>
            </w:r>
          </w:p>
        </w:tc>
      </w:tr>
      <w:tr w:rsidR="004130BB" w:rsidRPr="004130BB" w14:paraId="1C888F38" w14:textId="77777777" w:rsidTr="00E41559">
        <w:tc>
          <w:tcPr>
            <w:tcW w:w="36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31248518" w14:textId="77777777" w:rsidR="004130BB" w:rsidRPr="004130BB" w:rsidRDefault="004130BB" w:rsidP="00E41559">
            <w:pPr>
              <w:spacing w:line="252" w:lineRule="auto"/>
            </w:pPr>
            <w:r w:rsidRPr="004130BB">
              <w:t>8 h vs 0 h</w:t>
            </w:r>
          </w:p>
        </w:tc>
        <w:tc>
          <w:tcPr>
            <w:tcW w:w="27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6112C641" w14:textId="77777777" w:rsidR="004130BB" w:rsidRPr="004130BB" w:rsidRDefault="004130BB" w:rsidP="00E41559">
            <w:pPr>
              <w:spacing w:line="252" w:lineRule="auto"/>
              <w:jc w:val="center"/>
            </w:pPr>
            <w:r w:rsidRPr="004130BB">
              <w:t>2.43 (1.64–3.61)</w:t>
            </w:r>
          </w:p>
        </w:tc>
        <w:tc>
          <w:tcPr>
            <w:tcW w:w="27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284C91F8" w14:textId="77777777" w:rsidR="004130BB" w:rsidRPr="004130BB" w:rsidRDefault="004130BB" w:rsidP="00E41559">
            <w:pPr>
              <w:spacing w:line="252" w:lineRule="auto"/>
              <w:jc w:val="center"/>
            </w:pPr>
            <w:r w:rsidRPr="004130BB">
              <w:t>2.28 (1.41–3.69)</w:t>
            </w:r>
          </w:p>
        </w:tc>
      </w:tr>
      <w:tr w:rsidR="004130BB" w:rsidRPr="004130BB" w14:paraId="41C256C5" w14:textId="77777777" w:rsidTr="00E41559">
        <w:tc>
          <w:tcPr>
            <w:tcW w:w="36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3DEB0CB1" w14:textId="77777777" w:rsidR="004130BB" w:rsidRPr="004130BB" w:rsidRDefault="004130BB" w:rsidP="00E41559">
            <w:pPr>
              <w:spacing w:line="252" w:lineRule="auto"/>
            </w:pPr>
            <w:r w:rsidRPr="004130BB">
              <w:t>16 h vs 0 h</w:t>
            </w:r>
          </w:p>
        </w:tc>
        <w:tc>
          <w:tcPr>
            <w:tcW w:w="27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7D52C8B9" w14:textId="77777777" w:rsidR="004130BB" w:rsidRPr="004130BB" w:rsidRDefault="004130BB" w:rsidP="00E41559">
            <w:pPr>
              <w:spacing w:line="252" w:lineRule="auto"/>
              <w:jc w:val="center"/>
            </w:pPr>
            <w:r w:rsidRPr="004130BB">
              <w:t>5.16 (3.39–7.85)</w:t>
            </w:r>
          </w:p>
        </w:tc>
        <w:tc>
          <w:tcPr>
            <w:tcW w:w="27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6BEB6D05" w14:textId="77777777" w:rsidR="004130BB" w:rsidRPr="004130BB" w:rsidRDefault="004130BB" w:rsidP="00E41559">
            <w:pPr>
              <w:spacing w:line="252" w:lineRule="auto"/>
              <w:jc w:val="center"/>
            </w:pPr>
            <w:r w:rsidRPr="004130BB">
              <w:t>4.78 (2.86–7.99)</w:t>
            </w:r>
          </w:p>
        </w:tc>
      </w:tr>
      <w:tr w:rsidR="004130BB" w:rsidRPr="004130BB" w14:paraId="596311E9" w14:textId="77777777" w:rsidTr="00E41559">
        <w:tc>
          <w:tcPr>
            <w:tcW w:w="36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5787AA71" w14:textId="77777777" w:rsidR="004130BB" w:rsidRPr="004130BB" w:rsidRDefault="004130BB" w:rsidP="00E41559">
            <w:pPr>
              <w:spacing w:line="252" w:lineRule="auto"/>
            </w:pPr>
            <w:r w:rsidRPr="004130BB">
              <w:t>24 h vs 0 h</w:t>
            </w:r>
          </w:p>
        </w:tc>
        <w:tc>
          <w:tcPr>
            <w:tcW w:w="27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0AA299F4" w14:textId="77777777" w:rsidR="004130BB" w:rsidRPr="004130BB" w:rsidRDefault="004130BB" w:rsidP="00E41559">
            <w:pPr>
              <w:spacing w:line="252" w:lineRule="auto"/>
              <w:jc w:val="center"/>
            </w:pPr>
            <w:r w:rsidRPr="004130BB">
              <w:t>10.01 (6.31–15.88)</w:t>
            </w:r>
          </w:p>
        </w:tc>
        <w:tc>
          <w:tcPr>
            <w:tcW w:w="27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1AF8E482" w14:textId="77777777" w:rsidR="004130BB" w:rsidRPr="004130BB" w:rsidRDefault="004130BB" w:rsidP="00E41559">
            <w:pPr>
              <w:spacing w:line="252" w:lineRule="auto"/>
              <w:jc w:val="center"/>
            </w:pPr>
            <w:r w:rsidRPr="004130BB">
              <w:t>9.47 (5.38–16.66)</w:t>
            </w:r>
          </w:p>
        </w:tc>
      </w:tr>
    </w:tbl>
    <w:p w14:paraId="06BE437A" w14:textId="7A518E1E" w:rsidR="004130BB" w:rsidRPr="004130BB" w:rsidRDefault="004130BB" w:rsidP="004130BB">
      <w:pPr>
        <w:spacing w:after="140" w:line="276" w:lineRule="auto"/>
        <w:rPr>
          <w:i/>
          <w:iCs/>
          <w:sz w:val="18"/>
          <w:szCs w:val="18"/>
        </w:rPr>
      </w:pPr>
      <w:r w:rsidRPr="004130BB">
        <w:rPr>
          <w:i/>
          <w:iCs/>
          <w:sz w:val="18"/>
          <w:szCs w:val="18"/>
        </w:rPr>
        <w:t xml:space="preserve">Adjusted odds ratios (95% confidence intervals) for following-day incident delirium, relative to no restraint (0 h). ᵃ </w:t>
      </w:r>
      <w:proofErr w:type="gramStart"/>
      <w:r w:rsidRPr="004130BB">
        <w:rPr>
          <w:i/>
          <w:iCs/>
          <w:sz w:val="18"/>
          <w:szCs w:val="18"/>
        </w:rPr>
        <w:t>The</w:t>
      </w:r>
      <w:proofErr w:type="gramEnd"/>
      <w:r w:rsidRPr="004130BB">
        <w:rPr>
          <w:i/>
          <w:iCs/>
          <w:sz w:val="18"/>
          <w:szCs w:val="18"/>
        </w:rPr>
        <w:t xml:space="preserve"> first column reproduces the primary analysis (Table 2: 2.43, 5.16, and 10.01 at 8, 16, and 24 h), which adjusts for all covariates listed in Table 2 but not for previous-day mental status. Adding previous-day mental status attenuated the 24-h odds ratio by approximately 5% (10.01 to 9.47); all contrasts remained statistically significant.</w:t>
      </w:r>
    </w:p>
    <w:p w14:paraId="7010B6E3" w14:textId="77777777" w:rsidR="004130BB" w:rsidRPr="004130BB" w:rsidRDefault="004130BB" w:rsidP="004130BB">
      <w:pPr>
        <w:spacing w:after="140" w:line="276" w:lineRule="auto"/>
        <w:rPr>
          <w:i/>
          <w:iCs/>
          <w:sz w:val="18"/>
          <w:szCs w:val="18"/>
        </w:rPr>
      </w:pPr>
    </w:p>
    <w:p w14:paraId="619F10BF" w14:textId="77777777" w:rsidR="004130BB" w:rsidRPr="004130BB" w:rsidRDefault="004130BB" w:rsidP="004130BB">
      <w:pPr>
        <w:spacing w:before="160" w:after="100"/>
      </w:pPr>
      <w:r w:rsidRPr="004130BB">
        <w:rPr>
          <w:rFonts w:eastAsia="Arial"/>
          <w:b/>
          <w:bCs/>
          <w:sz w:val="22"/>
          <w:szCs w:val="22"/>
        </w:rPr>
        <w:t>Panel B. Stratification by previous-day mental status</w:t>
      </w:r>
    </w:p>
    <w:p w14:paraId="2E525C42" w14:textId="77777777" w:rsidR="004130BB" w:rsidRDefault="004130BB" w:rsidP="004130BB">
      <w:pPr>
        <w:spacing w:after="140" w:line="276" w:lineRule="auto"/>
      </w:pPr>
      <w:r>
        <w:rPr>
          <w:sz w:val="22"/>
          <w:szCs w:val="22"/>
        </w:rPr>
        <w:t>The analytic sample was stratified by previous-day mental status. Because of the small number of events in the normal stratum (n = 14), covariate-adjusted models were not feasible; restraint duration was therefore modeled as a linear term (per 8-h increase) using unadjusted Firth penalized-likelihood logistic regression. For comparability, the subsyndromal stratum was also estimated without further covariate adjustment, using a random-intercept generalized linear mixed model with restraint duration as the sole fixed effect. Consequently, the stratified estimates are not adjusted for the covariates included in the primary model (Table 2) and are not directly comparable to the primary odds ratios; they are presented to assess whether the exposure–outcome association is present within each mental-status stratum.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2550"/>
        <w:gridCol w:w="2550"/>
      </w:tblGrid>
      <w:tr w:rsidR="004130BB" w14:paraId="54CE1CC6" w14:textId="77777777" w:rsidTr="004130BB">
        <w:trPr>
          <w:tblHeader/>
        </w:trPr>
        <w:tc>
          <w:tcPr>
            <w:tcW w:w="39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28AA26E5" w14:textId="77777777" w:rsidR="004130BB" w:rsidRDefault="004130BB" w:rsidP="00E41559">
            <w:pPr>
              <w:spacing w:line="252" w:lineRule="auto"/>
            </w:pPr>
            <w:r>
              <w:rPr>
                <w:b/>
                <w:bCs/>
              </w:rPr>
              <w:t>Previous-day mental status</w:t>
            </w:r>
          </w:p>
        </w:tc>
        <w:tc>
          <w:tcPr>
            <w:tcW w:w="255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22A2EDA5" w14:textId="77777777" w:rsidR="004130BB" w:rsidRDefault="004130BB" w:rsidP="00E41559">
            <w:pPr>
              <w:spacing w:line="252" w:lineRule="auto"/>
              <w:jc w:val="center"/>
            </w:pPr>
            <w:r>
              <w:rPr>
                <w:b/>
                <w:bCs/>
              </w:rPr>
              <w:t>Events / patient-days</w:t>
            </w:r>
          </w:p>
        </w:tc>
        <w:tc>
          <w:tcPr>
            <w:tcW w:w="255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5F838D3C" w14:textId="77777777" w:rsidR="004130BB" w:rsidRDefault="004130BB" w:rsidP="00E41559">
            <w:pPr>
              <w:spacing w:line="252" w:lineRule="auto"/>
              <w:jc w:val="center"/>
            </w:pPr>
            <w:r>
              <w:rPr>
                <w:b/>
                <w:bCs/>
              </w:rPr>
              <w:t>Odds ratio per 8-h increase (95% CI)</w:t>
            </w:r>
          </w:p>
        </w:tc>
      </w:tr>
      <w:tr w:rsidR="004130BB" w14:paraId="24E9D97B" w14:textId="77777777" w:rsidTr="00E41559">
        <w:tc>
          <w:tcPr>
            <w:tcW w:w="39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0232B9F1" w14:textId="77777777" w:rsidR="004130BB" w:rsidRDefault="004130BB" w:rsidP="00E41559">
            <w:pPr>
              <w:spacing w:line="252" w:lineRule="auto"/>
            </w:pPr>
            <w:r>
              <w:t>Normal (ICDSC 0)</w:t>
            </w:r>
          </w:p>
        </w:tc>
        <w:tc>
          <w:tcPr>
            <w:tcW w:w="255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6F13F624" w14:textId="77777777" w:rsidR="004130BB" w:rsidRDefault="004130BB" w:rsidP="00E41559">
            <w:pPr>
              <w:spacing w:line="252" w:lineRule="auto"/>
              <w:jc w:val="center"/>
            </w:pPr>
            <w:r>
              <w:t>14 / 146</w:t>
            </w:r>
          </w:p>
        </w:tc>
        <w:tc>
          <w:tcPr>
            <w:tcW w:w="255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6BD6A7A2" w14:textId="77777777" w:rsidR="004130BB" w:rsidRDefault="004130BB" w:rsidP="00E41559">
            <w:pPr>
              <w:spacing w:line="252" w:lineRule="auto"/>
              <w:jc w:val="center"/>
            </w:pPr>
            <w:r>
              <w:t>2.67 (1.39–5.</w:t>
            </w:r>
            <w:proofErr w:type="gramStart"/>
            <w:r>
              <w:t>13)ᵇ</w:t>
            </w:r>
            <w:proofErr w:type="gramEnd"/>
          </w:p>
        </w:tc>
      </w:tr>
      <w:tr w:rsidR="004130BB" w14:paraId="01AEED4E" w14:textId="77777777" w:rsidTr="00E41559">
        <w:tc>
          <w:tcPr>
            <w:tcW w:w="390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3A48FF41" w14:textId="77777777" w:rsidR="004130BB" w:rsidRDefault="004130BB" w:rsidP="00E41559">
            <w:pPr>
              <w:spacing w:line="252" w:lineRule="auto"/>
            </w:pPr>
            <w:r>
              <w:t>Subsyndromal (ICDSC 1–3)</w:t>
            </w:r>
          </w:p>
        </w:tc>
        <w:tc>
          <w:tcPr>
            <w:tcW w:w="255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1D75239A" w14:textId="77777777" w:rsidR="004130BB" w:rsidRDefault="004130BB" w:rsidP="00E41559">
            <w:pPr>
              <w:spacing w:line="252" w:lineRule="auto"/>
              <w:jc w:val="center"/>
            </w:pPr>
            <w:r>
              <w:t>101 / 583</w:t>
            </w:r>
          </w:p>
        </w:tc>
        <w:tc>
          <w:tcPr>
            <w:tcW w:w="2550" w:type="dxa"/>
            <w:tcBorders>
              <w:top w:val="single" w:sz="2" w:space="0" w:color="000000"/>
              <w:left w:val="single" w:sz="2" w:space="0" w:color="000000"/>
              <w:bottom w:val="single" w:sz="2" w:space="0" w:color="000000"/>
              <w:right w:val="single" w:sz="2" w:space="0" w:color="000000"/>
            </w:tcBorders>
            <w:tcMar>
              <w:top w:w="60" w:type="dxa"/>
              <w:left w:w="110" w:type="dxa"/>
              <w:bottom w:w="60" w:type="dxa"/>
              <w:right w:w="110" w:type="dxa"/>
            </w:tcMar>
            <w:vAlign w:val="center"/>
          </w:tcPr>
          <w:p w14:paraId="31E38D42" w14:textId="77777777" w:rsidR="004130BB" w:rsidRDefault="004130BB" w:rsidP="00E41559">
            <w:pPr>
              <w:spacing w:line="252" w:lineRule="auto"/>
              <w:jc w:val="center"/>
            </w:pPr>
            <w:r>
              <w:t>2.19 (1.88–2.</w:t>
            </w:r>
            <w:proofErr w:type="gramStart"/>
            <w:r>
              <w:t>56)ᶜ</w:t>
            </w:r>
            <w:proofErr w:type="gramEnd"/>
          </w:p>
        </w:tc>
      </w:tr>
    </w:tbl>
    <w:p w14:paraId="2ED27206" w14:textId="662BE39F" w:rsidR="004130BB" w:rsidRDefault="004130BB" w:rsidP="004130BB">
      <w:pPr>
        <w:spacing w:before="80" w:after="240"/>
      </w:pPr>
      <w:r>
        <w:rPr>
          <w:i/>
          <w:iCs/>
          <w:sz w:val="18"/>
          <w:szCs w:val="18"/>
        </w:rPr>
        <w:lastRenderedPageBreak/>
        <w:t xml:space="preserve">ᵇ Firth penalized-likelihood logistic regression (used because of the small number of events). ᶜ Random-intercept generalized linear mixed model. The two strata yielded similar estimates, and the restraint × stratum interaction was not significant (likelihood ratio test, P = 0.38). </w:t>
      </w:r>
      <w:r w:rsidR="00990825" w:rsidRPr="00990825">
        <w:rPr>
          <w:i/>
          <w:iCs/>
          <w:sz w:val="18"/>
          <w:szCs w:val="18"/>
        </w:rPr>
        <w:t>The association persisted among patient-days with no ICDSC-detectable prodromal features (normal stratum, ICDSC 0). ICDSC 0 indicates the absence of ICDSC-detectable features on that day rather than the absence of prodrome</w:t>
      </w:r>
      <w:r w:rsidRPr="00990825">
        <w:rPr>
          <w:i/>
          <w:iCs/>
          <w:sz w:val="18"/>
          <w:szCs w:val="18"/>
        </w:rPr>
        <w:t>.</w:t>
      </w:r>
    </w:p>
    <w:sectPr w:rsidR="004130BB" w:rsidSect="004130B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D5A5ECE"/>
    <w:multiLevelType w:val="hybridMultilevel"/>
    <w:tmpl w:val="AF54CA76"/>
    <w:lvl w:ilvl="0" w:tplc="CB146B94">
      <w:start w:val="1"/>
      <w:numFmt w:val="bullet"/>
      <w:lvlText w:val="●"/>
      <w:lvlJc w:val="left"/>
      <w:pPr>
        <w:ind w:left="720" w:hanging="360"/>
      </w:pPr>
    </w:lvl>
    <w:lvl w:ilvl="1" w:tplc="9746E4F2">
      <w:start w:val="1"/>
      <w:numFmt w:val="bullet"/>
      <w:lvlText w:val="○"/>
      <w:lvlJc w:val="left"/>
      <w:pPr>
        <w:ind w:left="1440" w:hanging="360"/>
      </w:pPr>
    </w:lvl>
    <w:lvl w:ilvl="2" w:tplc="C24671AE">
      <w:start w:val="1"/>
      <w:numFmt w:val="bullet"/>
      <w:lvlText w:val="■"/>
      <w:lvlJc w:val="left"/>
      <w:pPr>
        <w:ind w:left="2160" w:hanging="360"/>
      </w:pPr>
    </w:lvl>
    <w:lvl w:ilvl="3" w:tplc="9334BF20">
      <w:start w:val="1"/>
      <w:numFmt w:val="bullet"/>
      <w:lvlText w:val="●"/>
      <w:lvlJc w:val="left"/>
      <w:pPr>
        <w:ind w:left="2880" w:hanging="360"/>
      </w:pPr>
    </w:lvl>
    <w:lvl w:ilvl="4" w:tplc="E104EF98">
      <w:start w:val="1"/>
      <w:numFmt w:val="bullet"/>
      <w:lvlText w:val="○"/>
      <w:lvlJc w:val="left"/>
      <w:pPr>
        <w:ind w:left="3600" w:hanging="360"/>
      </w:pPr>
    </w:lvl>
    <w:lvl w:ilvl="5" w:tplc="4EEE6278">
      <w:start w:val="1"/>
      <w:numFmt w:val="bullet"/>
      <w:lvlText w:val="■"/>
      <w:lvlJc w:val="left"/>
      <w:pPr>
        <w:ind w:left="4320" w:hanging="360"/>
      </w:pPr>
    </w:lvl>
    <w:lvl w:ilvl="6" w:tplc="1062C6E2">
      <w:start w:val="1"/>
      <w:numFmt w:val="bullet"/>
      <w:lvlText w:val="●"/>
      <w:lvlJc w:val="left"/>
      <w:pPr>
        <w:ind w:left="5040" w:hanging="360"/>
      </w:pPr>
    </w:lvl>
    <w:lvl w:ilvl="7" w:tplc="5A76F03C">
      <w:start w:val="1"/>
      <w:numFmt w:val="bullet"/>
      <w:lvlText w:val="●"/>
      <w:lvlJc w:val="left"/>
      <w:pPr>
        <w:ind w:left="5760" w:hanging="360"/>
      </w:pPr>
    </w:lvl>
    <w:lvl w:ilvl="8" w:tplc="E34A25C4">
      <w:start w:val="1"/>
      <w:numFmt w:val="bullet"/>
      <w:lvlText w:val="●"/>
      <w:lvlJc w:val="left"/>
      <w:pPr>
        <w:ind w:left="6480" w:hanging="360"/>
      </w:pPr>
    </w:lvl>
  </w:abstractNum>
  <w:num w:numId="1" w16cid:durableId="170571009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89B"/>
    <w:rsid w:val="000359A9"/>
    <w:rsid w:val="001D3306"/>
    <w:rsid w:val="002B389B"/>
    <w:rsid w:val="00304732"/>
    <w:rsid w:val="004130BB"/>
    <w:rsid w:val="004B0749"/>
    <w:rsid w:val="00557DD6"/>
    <w:rsid w:val="0066330E"/>
    <w:rsid w:val="00953F57"/>
    <w:rsid w:val="00990825"/>
    <w:rsid w:val="00AE7FAD"/>
    <w:rsid w:val="00B94F65"/>
    <w:rsid w:val="00BB664F"/>
    <w:rsid w:val="00F74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778F57F"/>
  <w15:docId w15:val="{2FB3545A-032A-9A41-A08E-41B30156D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Revision"/>
    <w:hidden/>
    <w:uiPriority w:val="99"/>
    <w:semiHidden/>
    <w:rsid w:val="004B0749"/>
  </w:style>
  <w:style w:type="character" w:styleId="ad">
    <w:name w:val="Placeholder Text"/>
    <w:basedOn w:val="a0"/>
    <w:uiPriority w:val="99"/>
    <w:semiHidden/>
    <w:rsid w:val="004B074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Takeshi Unoki</cp:lastModifiedBy>
  <cp:revision>6</cp:revision>
  <dcterms:created xsi:type="dcterms:W3CDTF">2026-06-24T07:50:00Z</dcterms:created>
  <dcterms:modified xsi:type="dcterms:W3CDTF">2026-07-03T05:51:00Z</dcterms:modified>
</cp:coreProperties>
</file>