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0B172">
      <w:pPr>
        <w:spacing w:line="360" w:lineRule="auto"/>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Supplementary material for:EIT-assessed ventilation–perfusion responses to prone positioning and inhaled nitric oxide in mechanically ventilated COVID-19-related ARDS: a prospective sequential study</w:t>
      </w:r>
    </w:p>
    <w:p w14:paraId="434546A1">
      <w:pPr>
        <w:spacing w:after="40"/>
        <w:jc w:val="center"/>
        <w:rPr>
          <w:rFonts w:hint="default" w:ascii="Times New Roman" w:hAnsi="Times New Roman" w:cs="Times New Roman"/>
          <w:b/>
          <w:bCs/>
          <w:color w:val="auto"/>
          <w:sz w:val="18"/>
          <w:szCs w:val="18"/>
        </w:rPr>
      </w:pPr>
    </w:p>
    <w:p w14:paraId="7CFA7DD4">
      <w:pPr>
        <w:spacing w:after="4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Yuxian Wang1#, Yuyang Dai1#, Xin Zheng1#, Yaxiaerjiang Muhetaer1, Ling Zhu1, Zhanqi Zhao2,3,4*, Kai Liu1*, Ming Zhong1,5*</w:t>
      </w:r>
    </w:p>
    <w:p w14:paraId="43EF0C1F">
      <w:pPr>
        <w:keepNext/>
        <w:spacing w:after="80"/>
        <w:rPr>
          <w:rFonts w:hint="default" w:ascii="Times New Roman" w:hAnsi="Times New Roman" w:cs="Times New Roman"/>
          <w:b/>
          <w:color w:val="auto"/>
          <w:sz w:val="18"/>
          <w:szCs w:val="18"/>
        </w:rPr>
      </w:pPr>
    </w:p>
    <w:p w14:paraId="16BF5BF9">
      <w:pPr>
        <w:keepNext/>
        <w:spacing w:after="80"/>
        <w:rPr>
          <w:rFonts w:hint="default" w:ascii="Times New Roman" w:hAnsi="Times New Roman" w:cs="Times New Roman"/>
          <w:color w:val="auto"/>
          <w:sz w:val="18"/>
          <w:szCs w:val="18"/>
        </w:rPr>
      </w:pPr>
      <w:r>
        <w:rPr>
          <w:rFonts w:hint="default" w:ascii="Times New Roman" w:hAnsi="Times New Roman" w:cs="Times New Roman"/>
          <w:b/>
          <w:color w:val="auto"/>
          <w:sz w:val="18"/>
          <w:szCs w:val="18"/>
        </w:rPr>
        <w:t xml:space="preserve">Table </w:t>
      </w:r>
      <w:r>
        <w:rPr>
          <w:rFonts w:hint="default" w:ascii="Times New Roman" w:hAnsi="Times New Roman" w:cs="Times New Roman"/>
          <w:b/>
          <w:color w:val="auto"/>
          <w:sz w:val="18"/>
          <w:szCs w:val="18"/>
          <w:lang w:val="en-US" w:eastAsia="zh-CN"/>
        </w:rPr>
        <w:t>S1</w:t>
      </w:r>
      <w:r>
        <w:rPr>
          <w:rFonts w:hint="default" w:ascii="Times New Roman" w:hAnsi="Times New Roman" w:cs="Times New Roman"/>
          <w:b/>
          <w:color w:val="auto"/>
          <w:sz w:val="18"/>
          <w:szCs w:val="18"/>
        </w:rPr>
        <w:t>. Hemodynamic variables across four sequential study conditions</w:t>
      </w:r>
    </w:p>
    <w:tbl>
      <w:tblPr>
        <w:tblStyle w:val="2"/>
        <w:tblW w:w="4485" w:type="pct"/>
        <w:jc w:val="center"/>
        <w:tblLayout w:type="autofit"/>
        <w:tblCellMar>
          <w:top w:w="0" w:type="dxa"/>
          <w:left w:w="108" w:type="dxa"/>
          <w:bottom w:w="0" w:type="dxa"/>
          <w:right w:w="108" w:type="dxa"/>
        </w:tblCellMar>
      </w:tblPr>
      <w:tblGrid>
        <w:gridCol w:w="1507"/>
        <w:gridCol w:w="1092"/>
        <w:gridCol w:w="1092"/>
        <w:gridCol w:w="1093"/>
        <w:gridCol w:w="1093"/>
        <w:gridCol w:w="1055"/>
        <w:gridCol w:w="495"/>
        <w:gridCol w:w="1027"/>
        <w:gridCol w:w="495"/>
        <w:gridCol w:w="1058"/>
        <w:gridCol w:w="495"/>
        <w:gridCol w:w="1296"/>
        <w:gridCol w:w="495"/>
        <w:gridCol w:w="1512"/>
        <w:gridCol w:w="495"/>
      </w:tblGrid>
      <w:tr w14:paraId="799FAF0C">
        <w:tblPrEx>
          <w:tblCellMar>
            <w:top w:w="0" w:type="dxa"/>
            <w:left w:w="108" w:type="dxa"/>
            <w:bottom w:w="0" w:type="dxa"/>
            <w:right w:w="108" w:type="dxa"/>
          </w:tblCellMar>
        </w:tblPrEx>
        <w:trPr>
          <w:trHeight w:val="0" w:hRule="atLeast"/>
          <w:tblHeader/>
          <w:jc w:val="center"/>
        </w:trPr>
        <w:tc>
          <w:tcPr>
            <w:tcW w:w="547" w:type="pct"/>
            <w:vMerge w:val="restart"/>
            <w:tcBorders>
              <w:top w:val="single" w:color="000000" w:sz="4" w:space="0"/>
              <w:left w:val="nil"/>
              <w:right w:val="nil"/>
              <w:tl2br w:val="nil"/>
            </w:tcBorders>
            <w:shd w:val="clear" w:color="auto" w:fill="FFFFFF"/>
            <w:tcMar>
              <w:top w:w="40" w:type="dxa"/>
              <w:left w:w="45" w:type="dxa"/>
              <w:bottom w:w="40" w:type="dxa"/>
              <w:right w:w="45" w:type="dxa"/>
            </w:tcMar>
            <w:vAlign w:val="center"/>
          </w:tcPr>
          <w:p w14:paraId="3795629C">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Variable</w:t>
            </w:r>
          </w:p>
        </w:tc>
        <w:tc>
          <w:tcPr>
            <w:tcW w:w="402" w:type="pct"/>
            <w:vMerge w:val="restart"/>
            <w:tcBorders>
              <w:top w:val="single" w:color="000000" w:sz="4" w:space="0"/>
              <w:left w:val="nil"/>
              <w:right w:val="nil"/>
            </w:tcBorders>
            <w:shd w:val="clear" w:color="auto" w:fill="FFFFFF"/>
            <w:tcMar>
              <w:top w:w="40" w:type="dxa"/>
              <w:left w:w="45" w:type="dxa"/>
              <w:bottom w:w="40" w:type="dxa"/>
              <w:right w:w="45" w:type="dxa"/>
            </w:tcMar>
            <w:vAlign w:val="center"/>
          </w:tcPr>
          <w:p w14:paraId="4B783D03">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SPV</w:t>
            </w:r>
          </w:p>
        </w:tc>
        <w:tc>
          <w:tcPr>
            <w:tcW w:w="402" w:type="pct"/>
            <w:vMerge w:val="restart"/>
            <w:tcBorders>
              <w:top w:val="single" w:color="000000" w:sz="4" w:space="0"/>
              <w:left w:val="nil"/>
              <w:right w:val="nil"/>
            </w:tcBorders>
            <w:shd w:val="clear" w:color="auto" w:fill="FFFFFF"/>
            <w:tcMar>
              <w:top w:w="40" w:type="dxa"/>
              <w:left w:w="45" w:type="dxa"/>
              <w:bottom w:w="40" w:type="dxa"/>
              <w:right w:w="45" w:type="dxa"/>
            </w:tcMar>
            <w:vAlign w:val="center"/>
          </w:tcPr>
          <w:p w14:paraId="4D71BB74">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SPV+iNO</w:t>
            </w:r>
          </w:p>
        </w:tc>
        <w:tc>
          <w:tcPr>
            <w:tcW w:w="402" w:type="pct"/>
            <w:vMerge w:val="restart"/>
            <w:tcBorders>
              <w:top w:val="single" w:color="000000" w:sz="4" w:space="0"/>
              <w:left w:val="nil"/>
              <w:right w:val="nil"/>
            </w:tcBorders>
            <w:shd w:val="clear" w:color="auto" w:fill="FFFFFF"/>
            <w:tcMar>
              <w:top w:w="40" w:type="dxa"/>
              <w:left w:w="45" w:type="dxa"/>
              <w:bottom w:w="40" w:type="dxa"/>
              <w:right w:w="45" w:type="dxa"/>
            </w:tcMar>
            <w:vAlign w:val="center"/>
          </w:tcPr>
          <w:p w14:paraId="329CDADE">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PPV</w:t>
            </w:r>
          </w:p>
        </w:tc>
        <w:tc>
          <w:tcPr>
            <w:tcW w:w="402" w:type="pct"/>
            <w:vMerge w:val="restart"/>
            <w:tcBorders>
              <w:top w:val="single" w:color="000000" w:sz="4" w:space="0"/>
              <w:left w:val="nil"/>
              <w:right w:val="nil"/>
            </w:tcBorders>
            <w:shd w:val="clear" w:color="auto" w:fill="FFFFFF"/>
            <w:tcMar>
              <w:top w:w="40" w:type="dxa"/>
              <w:left w:w="45" w:type="dxa"/>
              <w:bottom w:w="40" w:type="dxa"/>
              <w:right w:w="45" w:type="dxa"/>
            </w:tcMar>
            <w:vAlign w:val="center"/>
          </w:tcPr>
          <w:p w14:paraId="799F12C3">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PPV+iNO</w:t>
            </w:r>
          </w:p>
        </w:tc>
        <w:tc>
          <w:tcPr>
            <w:tcW w:w="549" w:type="pct"/>
            <w:gridSpan w:val="2"/>
            <w:tcBorders>
              <w:top w:val="single" w:color="000000" w:sz="4" w:space="0"/>
              <w:left w:val="nil"/>
              <w:bottom w:val="nil"/>
              <w:right w:val="nil"/>
            </w:tcBorders>
            <w:shd w:val="clear" w:color="auto" w:fill="FFFFFF"/>
            <w:tcMar>
              <w:top w:w="40" w:type="dxa"/>
              <w:left w:w="45" w:type="dxa"/>
              <w:bottom w:w="40" w:type="dxa"/>
              <w:right w:w="45" w:type="dxa"/>
            </w:tcMar>
            <w:vAlign w:val="center"/>
          </w:tcPr>
          <w:p w14:paraId="5B5F914B">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SPV+iNO vs SPV</w:t>
            </w:r>
          </w:p>
        </w:tc>
        <w:tc>
          <w:tcPr>
            <w:tcW w:w="539" w:type="pct"/>
            <w:gridSpan w:val="2"/>
            <w:tcBorders>
              <w:top w:val="single" w:color="000000" w:sz="4" w:space="0"/>
              <w:left w:val="nil"/>
              <w:bottom w:val="single" w:color="auto" w:sz="4" w:space="0"/>
              <w:right w:val="nil"/>
            </w:tcBorders>
            <w:shd w:val="clear" w:color="auto" w:fill="FFFFFF"/>
            <w:tcMar>
              <w:top w:w="40" w:type="dxa"/>
              <w:left w:w="45" w:type="dxa"/>
              <w:bottom w:w="40" w:type="dxa"/>
              <w:right w:w="45" w:type="dxa"/>
            </w:tcMar>
            <w:vAlign w:val="center"/>
          </w:tcPr>
          <w:p w14:paraId="12DEAAD5">
            <w:pPr>
              <w:snapToGrid w:val="0"/>
              <w:spacing w:before="0" w:after="0"/>
              <w:ind w:left="0" w:leftChars="0" w:right="0" w:rightChars="0" w:firstLine="0" w:firstLineChars="0"/>
              <w:jc w:val="center"/>
              <w:rPr>
                <w:rFonts w:hint="default" w:ascii="Times New Roman" w:hAnsi="Times New Roman" w:eastAsia="宋体" w:cs="Times New Roman"/>
                <w:b/>
                <w:color w:val="auto"/>
                <w:kern w:val="2"/>
                <w:sz w:val="18"/>
                <w:szCs w:val="18"/>
                <w:lang w:val="en-US" w:eastAsia="zh-CN" w:bidi="ar-SA"/>
              </w:rPr>
            </w:pPr>
            <w:r>
              <w:rPr>
                <w:rFonts w:hint="default" w:ascii="Times New Roman" w:hAnsi="Times New Roman" w:eastAsia="宋体" w:cs="Times New Roman"/>
                <w:b/>
                <w:color w:val="auto"/>
                <w:sz w:val="18"/>
                <w:szCs w:val="18"/>
              </w:rPr>
              <w:t xml:space="preserve">PPV+iNO vs PPV </w:t>
            </w:r>
          </w:p>
        </w:tc>
        <w:tc>
          <w:tcPr>
            <w:tcW w:w="550" w:type="pct"/>
            <w:gridSpan w:val="2"/>
            <w:tcBorders>
              <w:top w:val="single" w:color="000000" w:sz="4" w:space="0"/>
              <w:left w:val="nil"/>
              <w:bottom w:val="single" w:color="auto" w:sz="4" w:space="0"/>
              <w:right w:val="nil"/>
            </w:tcBorders>
            <w:shd w:val="clear" w:color="auto" w:fill="FFFFFF"/>
            <w:tcMar>
              <w:top w:w="40" w:type="dxa"/>
              <w:left w:w="45" w:type="dxa"/>
              <w:bottom w:w="40" w:type="dxa"/>
              <w:right w:w="45" w:type="dxa"/>
            </w:tcMar>
            <w:vAlign w:val="center"/>
          </w:tcPr>
          <w:p w14:paraId="2E295AB6">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 xml:space="preserve">PPV vs SPV </w:t>
            </w:r>
          </w:p>
        </w:tc>
        <w:tc>
          <w:tcPr>
            <w:tcW w:w="633" w:type="pct"/>
            <w:gridSpan w:val="2"/>
            <w:tcBorders>
              <w:top w:val="single" w:color="000000" w:sz="4" w:space="0"/>
              <w:left w:val="nil"/>
              <w:bottom w:val="single" w:color="auto" w:sz="4" w:space="0"/>
              <w:right w:val="nil"/>
            </w:tcBorders>
            <w:shd w:val="clear" w:color="auto" w:fill="FFFFFF"/>
            <w:tcMar>
              <w:top w:w="40" w:type="dxa"/>
              <w:left w:w="45" w:type="dxa"/>
              <w:bottom w:w="40" w:type="dxa"/>
              <w:right w:w="45" w:type="dxa"/>
            </w:tcMar>
            <w:vAlign w:val="center"/>
          </w:tcPr>
          <w:p w14:paraId="1100FF8F">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 xml:space="preserve">PPV+iNO vs SPV+iNO </w:t>
            </w:r>
          </w:p>
        </w:tc>
        <w:tc>
          <w:tcPr>
            <w:tcW w:w="570" w:type="pct"/>
            <w:gridSpan w:val="2"/>
            <w:tcBorders>
              <w:top w:val="single" w:color="000000" w:sz="4" w:space="0"/>
              <w:left w:val="nil"/>
              <w:bottom w:val="single" w:color="auto" w:sz="4" w:space="0"/>
              <w:right w:val="nil"/>
            </w:tcBorders>
            <w:shd w:val="clear" w:color="auto" w:fill="FFFFFF"/>
            <w:tcMar>
              <w:top w:w="40" w:type="dxa"/>
              <w:left w:w="45" w:type="dxa"/>
              <w:bottom w:w="40" w:type="dxa"/>
              <w:right w:w="45" w:type="dxa"/>
            </w:tcMar>
            <w:vAlign w:val="center"/>
          </w:tcPr>
          <w:p w14:paraId="0E81C7A3">
            <w:pPr>
              <w:snapToGrid w:val="0"/>
              <w:spacing w:before="0" w:after="0"/>
              <w:ind w:left="0" w:leftChars="0" w:right="0" w:rightChars="0" w:firstLine="0" w:firstLineChars="0"/>
              <w:jc w:val="center"/>
              <w:rPr>
                <w:rFonts w:hint="default" w:ascii="Times New Roman" w:hAnsi="Times New Roman" w:eastAsia="宋体" w:cs="Times New Roman"/>
                <w:b/>
                <w:bCs/>
                <w:color w:val="auto"/>
                <w:sz w:val="18"/>
                <w:szCs w:val="18"/>
              </w:rPr>
            </w:pPr>
            <w:r>
              <w:rPr>
                <w:rFonts w:hint="default" w:ascii="Times New Roman" w:hAnsi="Times New Roman" w:cs="Times New Roman"/>
                <w:b/>
                <w:bCs/>
                <w:color w:val="000000"/>
                <w:sz w:val="18"/>
                <w:szCs w:val="18"/>
              </w:rPr>
              <w:t>Exploratory DiD</w:t>
            </w:r>
          </w:p>
        </w:tc>
      </w:tr>
      <w:tr w14:paraId="730F538A">
        <w:tblPrEx>
          <w:tblCellMar>
            <w:top w:w="0" w:type="dxa"/>
            <w:left w:w="108" w:type="dxa"/>
            <w:bottom w:w="0" w:type="dxa"/>
            <w:right w:w="108" w:type="dxa"/>
          </w:tblCellMar>
        </w:tblPrEx>
        <w:trPr>
          <w:trHeight w:val="0" w:hRule="atLeast"/>
          <w:tblHeader/>
          <w:jc w:val="center"/>
        </w:trPr>
        <w:tc>
          <w:tcPr>
            <w:tcW w:w="547" w:type="pct"/>
            <w:vMerge w:val="continue"/>
            <w:tcBorders>
              <w:left w:val="nil"/>
              <w:bottom w:val="nil"/>
              <w:right w:val="nil"/>
              <w:tl2br w:val="nil"/>
            </w:tcBorders>
            <w:shd w:val="clear" w:color="auto" w:fill="FFFFFF"/>
            <w:tcMar>
              <w:top w:w="40" w:type="dxa"/>
              <w:left w:w="45" w:type="dxa"/>
              <w:bottom w:w="40" w:type="dxa"/>
              <w:right w:w="45" w:type="dxa"/>
            </w:tcMar>
            <w:vAlign w:val="center"/>
          </w:tcPr>
          <w:p w14:paraId="01EEB71E">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p>
        </w:tc>
        <w:tc>
          <w:tcPr>
            <w:tcW w:w="402" w:type="pct"/>
            <w:vMerge w:val="continue"/>
            <w:tcBorders>
              <w:left w:val="nil"/>
              <w:bottom w:val="nil"/>
              <w:right w:val="nil"/>
            </w:tcBorders>
            <w:shd w:val="clear" w:color="auto" w:fill="FFFFFF"/>
            <w:tcMar>
              <w:top w:w="40" w:type="dxa"/>
              <w:left w:w="45" w:type="dxa"/>
              <w:bottom w:w="40" w:type="dxa"/>
              <w:right w:w="45" w:type="dxa"/>
            </w:tcMar>
            <w:vAlign w:val="center"/>
          </w:tcPr>
          <w:p w14:paraId="77ACB00B">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p>
        </w:tc>
        <w:tc>
          <w:tcPr>
            <w:tcW w:w="402" w:type="pct"/>
            <w:vMerge w:val="continue"/>
            <w:tcBorders>
              <w:left w:val="nil"/>
              <w:bottom w:val="nil"/>
              <w:right w:val="nil"/>
            </w:tcBorders>
            <w:shd w:val="clear" w:color="auto" w:fill="FFFFFF"/>
            <w:tcMar>
              <w:top w:w="40" w:type="dxa"/>
              <w:left w:w="45" w:type="dxa"/>
              <w:bottom w:w="40" w:type="dxa"/>
              <w:right w:w="45" w:type="dxa"/>
            </w:tcMar>
            <w:vAlign w:val="center"/>
          </w:tcPr>
          <w:p w14:paraId="76973445">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p>
        </w:tc>
        <w:tc>
          <w:tcPr>
            <w:tcW w:w="402" w:type="pct"/>
            <w:vMerge w:val="continue"/>
            <w:tcBorders>
              <w:left w:val="nil"/>
              <w:bottom w:val="nil"/>
              <w:right w:val="nil"/>
            </w:tcBorders>
            <w:shd w:val="clear" w:color="auto" w:fill="FFFFFF"/>
            <w:tcMar>
              <w:top w:w="40" w:type="dxa"/>
              <w:left w:w="45" w:type="dxa"/>
              <w:bottom w:w="40" w:type="dxa"/>
              <w:right w:w="45" w:type="dxa"/>
            </w:tcMar>
            <w:vAlign w:val="center"/>
          </w:tcPr>
          <w:p w14:paraId="40411B9A">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p>
        </w:tc>
        <w:tc>
          <w:tcPr>
            <w:tcW w:w="402" w:type="pct"/>
            <w:vMerge w:val="continue"/>
            <w:tcBorders>
              <w:left w:val="nil"/>
              <w:bottom w:val="nil"/>
              <w:right w:val="nil"/>
            </w:tcBorders>
            <w:shd w:val="clear" w:color="auto" w:fill="FFFFFF"/>
            <w:tcMar>
              <w:top w:w="40" w:type="dxa"/>
              <w:left w:w="45" w:type="dxa"/>
              <w:bottom w:w="40" w:type="dxa"/>
              <w:right w:w="45" w:type="dxa"/>
            </w:tcMar>
            <w:vAlign w:val="center"/>
          </w:tcPr>
          <w:p w14:paraId="778D2723">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p>
        </w:tc>
        <w:tc>
          <w:tcPr>
            <w:tcW w:w="389" w:type="pct"/>
            <w:tcBorders>
              <w:top w:val="single" w:color="000000" w:sz="4" w:space="0"/>
              <w:left w:val="nil"/>
              <w:bottom w:val="nil"/>
              <w:right w:val="nil"/>
            </w:tcBorders>
            <w:shd w:val="clear" w:color="auto" w:fill="FFFFFF"/>
            <w:tcMar>
              <w:top w:w="40" w:type="dxa"/>
              <w:left w:w="45" w:type="dxa"/>
              <w:bottom w:w="40" w:type="dxa"/>
              <w:right w:w="45" w:type="dxa"/>
            </w:tcMar>
            <w:vAlign w:val="center"/>
          </w:tcPr>
          <w:p w14:paraId="2E495BD3">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mean diff (95% CI)</w:t>
            </w:r>
          </w:p>
        </w:tc>
        <w:tc>
          <w:tcPr>
            <w:tcW w:w="160" w:type="pct"/>
            <w:tcBorders>
              <w:top w:val="single" w:color="000000" w:sz="4" w:space="0"/>
              <w:left w:val="nil"/>
              <w:bottom w:val="nil"/>
              <w:right w:val="nil"/>
            </w:tcBorders>
            <w:shd w:val="clear" w:color="auto" w:fill="FFFFFF"/>
            <w:tcMar>
              <w:top w:w="40" w:type="dxa"/>
              <w:left w:w="45" w:type="dxa"/>
              <w:bottom w:w="40" w:type="dxa"/>
              <w:right w:w="45" w:type="dxa"/>
            </w:tcMar>
            <w:vAlign w:val="center"/>
          </w:tcPr>
          <w:p w14:paraId="0BA17DE1">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q</w:t>
            </w:r>
          </w:p>
        </w:tc>
        <w:tc>
          <w:tcPr>
            <w:tcW w:w="379" w:type="pct"/>
            <w:tcBorders>
              <w:top w:val="single" w:color="auto" w:sz="4" w:space="0"/>
              <w:left w:val="nil"/>
              <w:bottom w:val="nil"/>
              <w:right w:val="nil"/>
            </w:tcBorders>
            <w:shd w:val="clear" w:color="auto" w:fill="FFFFFF"/>
            <w:tcMar>
              <w:top w:w="40" w:type="dxa"/>
              <w:left w:w="45" w:type="dxa"/>
              <w:bottom w:w="40" w:type="dxa"/>
              <w:right w:w="45" w:type="dxa"/>
            </w:tcMar>
            <w:vAlign w:val="center"/>
          </w:tcPr>
          <w:p w14:paraId="299A9460">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mean diff (95% CI)</w:t>
            </w:r>
          </w:p>
        </w:tc>
        <w:tc>
          <w:tcPr>
            <w:tcW w:w="160" w:type="pct"/>
            <w:tcBorders>
              <w:top w:val="single" w:color="auto" w:sz="4" w:space="0"/>
              <w:left w:val="nil"/>
              <w:bottom w:val="nil"/>
              <w:right w:val="nil"/>
            </w:tcBorders>
            <w:shd w:val="clear" w:color="auto" w:fill="FFFFFF"/>
            <w:tcMar>
              <w:top w:w="40" w:type="dxa"/>
              <w:left w:w="45" w:type="dxa"/>
              <w:bottom w:w="40" w:type="dxa"/>
              <w:right w:w="45" w:type="dxa"/>
            </w:tcMar>
            <w:vAlign w:val="center"/>
          </w:tcPr>
          <w:p w14:paraId="6B469850">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q</w:t>
            </w:r>
          </w:p>
        </w:tc>
        <w:tc>
          <w:tcPr>
            <w:tcW w:w="390" w:type="pct"/>
            <w:tcBorders>
              <w:top w:val="single" w:color="auto" w:sz="4" w:space="0"/>
              <w:left w:val="nil"/>
              <w:bottom w:val="nil"/>
              <w:right w:val="nil"/>
            </w:tcBorders>
            <w:shd w:val="clear" w:color="auto" w:fill="FFFFFF"/>
            <w:tcMar>
              <w:top w:w="40" w:type="dxa"/>
              <w:left w:w="45" w:type="dxa"/>
              <w:bottom w:w="40" w:type="dxa"/>
              <w:right w:w="45" w:type="dxa"/>
            </w:tcMar>
            <w:vAlign w:val="center"/>
          </w:tcPr>
          <w:p w14:paraId="58B3C275">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mean diff (95% CI)</w:t>
            </w:r>
          </w:p>
        </w:tc>
        <w:tc>
          <w:tcPr>
            <w:tcW w:w="160" w:type="pct"/>
            <w:tcBorders>
              <w:top w:val="single" w:color="auto" w:sz="4" w:space="0"/>
              <w:left w:val="nil"/>
              <w:bottom w:val="nil"/>
              <w:right w:val="nil"/>
            </w:tcBorders>
            <w:shd w:val="clear" w:color="auto" w:fill="FFFFFF"/>
            <w:tcMar>
              <w:top w:w="40" w:type="dxa"/>
              <w:left w:w="45" w:type="dxa"/>
              <w:bottom w:w="40" w:type="dxa"/>
              <w:right w:w="45" w:type="dxa"/>
            </w:tcMar>
            <w:vAlign w:val="center"/>
          </w:tcPr>
          <w:p w14:paraId="7908974E">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q</w:t>
            </w:r>
          </w:p>
        </w:tc>
        <w:tc>
          <w:tcPr>
            <w:tcW w:w="473" w:type="pct"/>
            <w:tcBorders>
              <w:top w:val="single" w:color="auto" w:sz="4" w:space="0"/>
              <w:left w:val="nil"/>
              <w:bottom w:val="nil"/>
              <w:right w:val="nil"/>
            </w:tcBorders>
            <w:shd w:val="clear" w:color="auto" w:fill="FFFFFF"/>
            <w:tcMar>
              <w:top w:w="40" w:type="dxa"/>
              <w:left w:w="45" w:type="dxa"/>
              <w:bottom w:w="40" w:type="dxa"/>
              <w:right w:w="45" w:type="dxa"/>
            </w:tcMar>
            <w:vAlign w:val="center"/>
          </w:tcPr>
          <w:p w14:paraId="1D33A50B">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mean diff (95% CI)</w:t>
            </w:r>
          </w:p>
        </w:tc>
        <w:tc>
          <w:tcPr>
            <w:tcW w:w="160" w:type="pct"/>
            <w:tcBorders>
              <w:left w:val="nil"/>
              <w:bottom w:val="nil"/>
              <w:right w:val="nil"/>
            </w:tcBorders>
            <w:shd w:val="clear" w:color="auto" w:fill="FFFFFF"/>
            <w:tcMar>
              <w:top w:w="40" w:type="dxa"/>
              <w:left w:w="45" w:type="dxa"/>
              <w:bottom w:w="40" w:type="dxa"/>
              <w:right w:w="45" w:type="dxa"/>
            </w:tcMar>
            <w:vAlign w:val="center"/>
          </w:tcPr>
          <w:p w14:paraId="0D9C1F24">
            <w:pPr>
              <w:snapToGrid w:val="0"/>
              <w:spacing w:before="0" w:after="0"/>
              <w:ind w:left="0" w:leftChars="0" w:right="0" w:rightChars="0" w:firstLine="0" w:firstLineChars="0"/>
              <w:jc w:val="center"/>
              <w:rPr>
                <w:rFonts w:hint="default" w:ascii="Times New Roman" w:hAnsi="Times New Roman" w:eastAsia="宋体" w:cs="Times New Roman"/>
                <w:b/>
                <w:color w:val="auto"/>
                <w:sz w:val="18"/>
                <w:szCs w:val="18"/>
              </w:rPr>
            </w:pPr>
            <w:r>
              <w:rPr>
                <w:rFonts w:hint="default" w:ascii="Times New Roman" w:hAnsi="Times New Roman" w:eastAsia="宋体" w:cs="Times New Roman"/>
                <w:b/>
                <w:color w:val="auto"/>
                <w:sz w:val="18"/>
                <w:szCs w:val="18"/>
              </w:rPr>
              <w:t>q</w:t>
            </w:r>
          </w:p>
        </w:tc>
        <w:tc>
          <w:tcPr>
            <w:tcW w:w="437" w:type="pct"/>
            <w:tcBorders>
              <w:left w:val="nil"/>
              <w:bottom w:val="nil"/>
              <w:right w:val="nil"/>
            </w:tcBorders>
            <w:shd w:val="clear" w:color="auto" w:fill="FFFFFF"/>
            <w:tcMar>
              <w:top w:w="40" w:type="dxa"/>
              <w:left w:w="45" w:type="dxa"/>
              <w:bottom w:w="40" w:type="dxa"/>
              <w:right w:w="45" w:type="dxa"/>
            </w:tcMar>
            <w:vAlign w:val="center"/>
          </w:tcPr>
          <w:p w14:paraId="64492951">
            <w:pPr>
              <w:snapToGrid w:val="0"/>
              <w:spacing w:before="0" w:after="0"/>
              <w:ind w:left="0" w:leftChars="0" w:right="0" w:rightChars="0" w:firstLine="0" w:firstLineChars="0"/>
              <w:jc w:val="center"/>
              <w:rPr>
                <w:rFonts w:hint="default" w:ascii="Times New Roman" w:hAnsi="Times New Roman" w:eastAsia="宋体" w:cs="Times New Roman"/>
                <w:b/>
                <w:bCs/>
                <w:color w:val="auto"/>
                <w:sz w:val="18"/>
                <w:szCs w:val="18"/>
              </w:rPr>
            </w:pPr>
            <w:r>
              <w:rPr>
                <w:rFonts w:hint="default" w:ascii="Times New Roman" w:hAnsi="Times New Roman" w:cs="Times New Roman"/>
                <w:b/>
                <w:bCs/>
                <w:color w:val="000000"/>
                <w:sz w:val="18"/>
                <w:szCs w:val="18"/>
              </w:rPr>
              <w:t>Mean diff (95% CI)</w:t>
            </w:r>
          </w:p>
        </w:tc>
        <w:tc>
          <w:tcPr>
            <w:tcW w:w="133" w:type="pct"/>
            <w:tcBorders>
              <w:left w:val="nil"/>
              <w:bottom w:val="nil"/>
              <w:right w:val="nil"/>
            </w:tcBorders>
            <w:shd w:val="clear" w:color="auto" w:fill="FFFFFF"/>
            <w:tcMar>
              <w:top w:w="40" w:type="dxa"/>
              <w:left w:w="45" w:type="dxa"/>
              <w:bottom w:w="40" w:type="dxa"/>
              <w:right w:w="45" w:type="dxa"/>
            </w:tcMar>
            <w:vAlign w:val="center"/>
          </w:tcPr>
          <w:p w14:paraId="005CB095">
            <w:pPr>
              <w:snapToGrid w:val="0"/>
              <w:spacing w:before="0" w:after="0"/>
              <w:ind w:left="0" w:leftChars="0" w:right="0" w:rightChars="0" w:firstLine="0" w:firstLineChars="0"/>
              <w:jc w:val="center"/>
              <w:rPr>
                <w:rFonts w:hint="default" w:ascii="Times New Roman" w:hAnsi="Times New Roman" w:cs="Times New Roman"/>
                <w:b/>
                <w:bCs/>
                <w:sz w:val="18"/>
                <w:szCs w:val="18"/>
              </w:rPr>
            </w:pPr>
            <w:r>
              <w:rPr>
                <w:rFonts w:hint="default" w:ascii="Times New Roman" w:hAnsi="Times New Roman" w:cs="Times New Roman"/>
                <w:b/>
                <w:bCs/>
                <w:color w:val="000000"/>
                <w:sz w:val="18"/>
                <w:szCs w:val="18"/>
              </w:rPr>
              <w:t>q</w:t>
            </w:r>
          </w:p>
        </w:tc>
      </w:tr>
      <w:tr w14:paraId="11564719">
        <w:tblPrEx>
          <w:tblCellMar>
            <w:top w:w="0" w:type="dxa"/>
            <w:left w:w="108" w:type="dxa"/>
            <w:bottom w:w="0" w:type="dxa"/>
            <w:right w:w="108" w:type="dxa"/>
          </w:tblCellMar>
        </w:tblPrEx>
        <w:trPr>
          <w:trHeight w:val="0" w:hRule="atLeast"/>
          <w:jc w:val="center"/>
        </w:trPr>
        <w:tc>
          <w:tcPr>
            <w:tcW w:w="547" w:type="pct"/>
            <w:tcBorders>
              <w:top w:val="nil"/>
              <w:left w:val="nil"/>
              <w:bottom w:val="nil"/>
              <w:right w:val="nil"/>
            </w:tcBorders>
            <w:shd w:val="clear" w:color="auto" w:fill="FFFFFF"/>
            <w:tcMar>
              <w:top w:w="40" w:type="dxa"/>
              <w:left w:w="45" w:type="dxa"/>
              <w:bottom w:w="40" w:type="dxa"/>
              <w:right w:w="45" w:type="dxa"/>
            </w:tcMar>
            <w:vAlign w:val="center"/>
          </w:tcPr>
          <w:p w14:paraId="047237D6">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Heart rate, beats/min</w:t>
            </w:r>
          </w:p>
        </w:tc>
        <w:tc>
          <w:tcPr>
            <w:tcW w:w="402" w:type="pct"/>
            <w:tcBorders>
              <w:top w:val="nil"/>
              <w:left w:val="nil"/>
              <w:bottom w:val="nil"/>
              <w:right w:val="nil"/>
            </w:tcBorders>
            <w:shd w:val="clear" w:color="auto" w:fill="FFFFFF"/>
            <w:tcMar>
              <w:top w:w="40" w:type="dxa"/>
              <w:left w:w="45" w:type="dxa"/>
              <w:bottom w:w="40" w:type="dxa"/>
              <w:right w:w="45" w:type="dxa"/>
            </w:tcMar>
            <w:vAlign w:val="center"/>
          </w:tcPr>
          <w:p w14:paraId="2CA01FA7">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83.68±21.78</w:t>
            </w:r>
          </w:p>
        </w:tc>
        <w:tc>
          <w:tcPr>
            <w:tcW w:w="402" w:type="pct"/>
            <w:tcBorders>
              <w:top w:val="nil"/>
              <w:left w:val="nil"/>
              <w:bottom w:val="nil"/>
              <w:right w:val="nil"/>
            </w:tcBorders>
            <w:shd w:val="clear" w:color="auto" w:fill="FFFFFF"/>
            <w:tcMar>
              <w:top w:w="40" w:type="dxa"/>
              <w:left w:w="45" w:type="dxa"/>
              <w:bottom w:w="40" w:type="dxa"/>
              <w:right w:w="45" w:type="dxa"/>
            </w:tcMar>
            <w:vAlign w:val="center"/>
          </w:tcPr>
          <w:p w14:paraId="33ACED2E">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84.76±17.88</w:t>
            </w:r>
          </w:p>
        </w:tc>
        <w:tc>
          <w:tcPr>
            <w:tcW w:w="402" w:type="pct"/>
            <w:tcBorders>
              <w:top w:val="nil"/>
              <w:left w:val="nil"/>
              <w:bottom w:val="nil"/>
              <w:right w:val="nil"/>
            </w:tcBorders>
            <w:shd w:val="clear" w:color="auto" w:fill="FFFFFF"/>
            <w:tcMar>
              <w:top w:w="40" w:type="dxa"/>
              <w:left w:w="45" w:type="dxa"/>
              <w:bottom w:w="40" w:type="dxa"/>
              <w:right w:w="45" w:type="dxa"/>
            </w:tcMar>
            <w:vAlign w:val="center"/>
          </w:tcPr>
          <w:p w14:paraId="3B66DDEA">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83.40±19.76</w:t>
            </w:r>
          </w:p>
        </w:tc>
        <w:tc>
          <w:tcPr>
            <w:tcW w:w="402" w:type="pct"/>
            <w:tcBorders>
              <w:top w:val="nil"/>
              <w:left w:val="nil"/>
              <w:bottom w:val="nil"/>
              <w:right w:val="nil"/>
            </w:tcBorders>
            <w:shd w:val="clear" w:color="auto" w:fill="FFFFFF"/>
            <w:tcMar>
              <w:top w:w="40" w:type="dxa"/>
              <w:left w:w="45" w:type="dxa"/>
              <w:bottom w:w="40" w:type="dxa"/>
              <w:right w:w="45" w:type="dxa"/>
            </w:tcMar>
            <w:vAlign w:val="center"/>
          </w:tcPr>
          <w:p w14:paraId="58CB0BE8">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81.80±21.14</w:t>
            </w:r>
          </w:p>
        </w:tc>
        <w:tc>
          <w:tcPr>
            <w:tcW w:w="389" w:type="pct"/>
            <w:tcBorders>
              <w:top w:val="nil"/>
              <w:left w:val="nil"/>
              <w:bottom w:val="nil"/>
              <w:right w:val="nil"/>
            </w:tcBorders>
            <w:shd w:val="clear" w:color="auto" w:fill="FFFFFF"/>
            <w:tcMar>
              <w:top w:w="40" w:type="dxa"/>
              <w:left w:w="45" w:type="dxa"/>
              <w:bottom w:w="40" w:type="dxa"/>
              <w:right w:w="45" w:type="dxa"/>
            </w:tcMar>
            <w:vAlign w:val="center"/>
          </w:tcPr>
          <w:p w14:paraId="4906D12A">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+1.08 (-4.43, +6.59)</w:t>
            </w:r>
          </w:p>
        </w:tc>
        <w:tc>
          <w:tcPr>
            <w:tcW w:w="458" w:type="dxa"/>
            <w:tcBorders>
              <w:top w:val="nil"/>
              <w:left w:val="nil"/>
              <w:bottom w:val="nil"/>
              <w:right w:val="nil"/>
            </w:tcBorders>
            <w:shd w:val="clear" w:color="auto" w:fill="FFFFFF"/>
            <w:tcMar>
              <w:top w:w="40" w:type="dxa"/>
              <w:left w:w="45" w:type="dxa"/>
              <w:bottom w:w="40" w:type="dxa"/>
              <w:right w:w="45" w:type="dxa"/>
            </w:tcMar>
            <w:vAlign w:val="bottom"/>
          </w:tcPr>
          <w:p w14:paraId="3AB698D9">
            <w:pPr>
              <w:keepNext w:val="0"/>
              <w:keepLines w:val="0"/>
              <w:widowControl/>
              <w:suppressLineNumbers w:val="0"/>
              <w:jc w:val="right"/>
              <w:textAlignment w:val="bottom"/>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0.690 </w:t>
            </w:r>
          </w:p>
        </w:tc>
        <w:tc>
          <w:tcPr>
            <w:tcW w:w="379" w:type="pct"/>
            <w:tcBorders>
              <w:top w:val="nil"/>
              <w:left w:val="nil"/>
              <w:bottom w:val="nil"/>
              <w:right w:val="nil"/>
            </w:tcBorders>
            <w:shd w:val="clear" w:color="auto" w:fill="FFFFFF"/>
            <w:tcMar>
              <w:top w:w="40" w:type="dxa"/>
              <w:left w:w="45" w:type="dxa"/>
              <w:bottom w:w="40" w:type="dxa"/>
              <w:right w:w="45" w:type="dxa"/>
            </w:tcMar>
            <w:vAlign w:val="center"/>
          </w:tcPr>
          <w:p w14:paraId="3CD2E7BD">
            <w:pPr>
              <w:snapToGrid w:val="0"/>
              <w:spacing w:before="0" w:after="0"/>
              <w:ind w:left="0" w:leftChars="0" w:right="0" w:rightChars="0" w:firstLine="0" w:firstLineChars="0"/>
              <w:jc w:val="center"/>
              <w:rPr>
                <w:rFonts w:hint="default" w:ascii="Times New Roman" w:hAnsi="Times New Roman" w:cs="Times New Roman" w:eastAsiaTheme="minorEastAsia"/>
                <w:b w:val="0"/>
                <w:color w:val="auto"/>
                <w:kern w:val="2"/>
                <w:sz w:val="18"/>
                <w:szCs w:val="18"/>
                <w:lang w:val="en-US" w:eastAsia="zh-CN" w:bidi="ar-SA"/>
              </w:rPr>
            </w:pPr>
            <w:r>
              <w:rPr>
                <w:rFonts w:hint="default" w:ascii="Times New Roman" w:hAnsi="Times New Roman" w:cs="Times New Roman"/>
                <w:b w:val="0"/>
                <w:color w:val="auto"/>
                <w:sz w:val="18"/>
                <w:szCs w:val="18"/>
              </w:rPr>
              <w:t>-1.60 (-6.65, +3.45)</w:t>
            </w:r>
          </w:p>
        </w:tc>
        <w:tc>
          <w:tcPr>
            <w:tcW w:w="458" w:type="dxa"/>
            <w:tcBorders>
              <w:top w:val="nil"/>
              <w:left w:val="nil"/>
              <w:bottom w:val="nil"/>
              <w:right w:val="nil"/>
            </w:tcBorders>
            <w:shd w:val="clear" w:color="auto" w:fill="FFFFFF"/>
            <w:tcMar>
              <w:top w:w="40" w:type="dxa"/>
              <w:left w:w="45" w:type="dxa"/>
              <w:bottom w:w="40" w:type="dxa"/>
              <w:right w:w="45" w:type="dxa"/>
            </w:tcMar>
            <w:vAlign w:val="bottom"/>
          </w:tcPr>
          <w:p w14:paraId="2E1AAA72">
            <w:pPr>
              <w:keepNext w:val="0"/>
              <w:keepLines w:val="0"/>
              <w:widowControl/>
              <w:suppressLineNumbers w:val="0"/>
              <w:jc w:val="right"/>
              <w:textAlignment w:val="bottom"/>
              <w:rPr>
                <w:rFonts w:hint="default" w:ascii="Times New Roman" w:hAnsi="Times New Roman" w:cs="Times New Roman" w:eastAsiaTheme="minorEastAsia"/>
                <w:b w:val="0"/>
                <w:color w:val="auto"/>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0.520 </w:t>
            </w:r>
          </w:p>
        </w:tc>
        <w:tc>
          <w:tcPr>
            <w:tcW w:w="390" w:type="pct"/>
            <w:tcBorders>
              <w:top w:val="nil"/>
              <w:left w:val="nil"/>
              <w:bottom w:val="nil"/>
              <w:right w:val="nil"/>
            </w:tcBorders>
            <w:shd w:val="clear" w:color="auto" w:fill="FFFFFF"/>
            <w:tcMar>
              <w:top w:w="40" w:type="dxa"/>
              <w:left w:w="45" w:type="dxa"/>
              <w:bottom w:w="40" w:type="dxa"/>
              <w:right w:w="45" w:type="dxa"/>
            </w:tcMar>
            <w:vAlign w:val="center"/>
          </w:tcPr>
          <w:p w14:paraId="33C1D261">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-0.28 (-4.89, +4.33)</w:t>
            </w:r>
          </w:p>
        </w:tc>
        <w:tc>
          <w:tcPr>
            <w:tcW w:w="458" w:type="dxa"/>
            <w:tcBorders>
              <w:top w:val="nil"/>
              <w:left w:val="nil"/>
              <w:bottom w:val="nil"/>
              <w:right w:val="nil"/>
            </w:tcBorders>
            <w:shd w:val="clear" w:color="auto" w:fill="FFFFFF"/>
            <w:tcMar>
              <w:top w:w="40" w:type="dxa"/>
              <w:left w:w="45" w:type="dxa"/>
              <w:bottom w:w="40" w:type="dxa"/>
              <w:right w:w="45" w:type="dxa"/>
            </w:tcMar>
            <w:vAlign w:val="bottom"/>
          </w:tcPr>
          <w:p w14:paraId="5E7E4421">
            <w:pPr>
              <w:keepNext w:val="0"/>
              <w:keepLines w:val="0"/>
              <w:widowControl/>
              <w:suppressLineNumbers w:val="0"/>
              <w:jc w:val="right"/>
              <w:textAlignment w:val="bottom"/>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0.901 </w:t>
            </w:r>
          </w:p>
        </w:tc>
        <w:tc>
          <w:tcPr>
            <w:tcW w:w="473" w:type="pct"/>
            <w:tcBorders>
              <w:top w:val="nil"/>
              <w:left w:val="nil"/>
              <w:bottom w:val="nil"/>
              <w:right w:val="nil"/>
            </w:tcBorders>
            <w:shd w:val="clear" w:color="auto" w:fill="FFFFFF"/>
            <w:tcMar>
              <w:top w:w="40" w:type="dxa"/>
              <w:left w:w="45" w:type="dxa"/>
              <w:bottom w:w="40" w:type="dxa"/>
              <w:right w:w="45" w:type="dxa"/>
            </w:tcMar>
            <w:vAlign w:val="center"/>
          </w:tcPr>
          <w:p w14:paraId="6DFD4CAE">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-2.96 (-8.20, +2.28)</w:t>
            </w:r>
          </w:p>
        </w:tc>
        <w:tc>
          <w:tcPr>
            <w:tcW w:w="458" w:type="dxa"/>
            <w:tcBorders>
              <w:top w:val="nil"/>
              <w:left w:val="nil"/>
              <w:bottom w:val="nil"/>
              <w:right w:val="nil"/>
            </w:tcBorders>
            <w:shd w:val="clear" w:color="auto" w:fill="FFFFFF"/>
            <w:tcMar>
              <w:top w:w="40" w:type="dxa"/>
              <w:left w:w="45" w:type="dxa"/>
              <w:bottom w:w="40" w:type="dxa"/>
              <w:right w:w="45" w:type="dxa"/>
            </w:tcMar>
            <w:vAlign w:val="bottom"/>
          </w:tcPr>
          <w:p w14:paraId="55E70817">
            <w:pPr>
              <w:keepNext w:val="0"/>
              <w:keepLines w:val="0"/>
              <w:widowControl/>
              <w:suppressLineNumbers w:val="0"/>
              <w:jc w:val="right"/>
              <w:textAlignment w:val="bottom"/>
              <w:rPr>
                <w:rFonts w:hint="default" w:ascii="Times New Roman" w:hAnsi="Times New Roman" w:cs="Times New Roman"/>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0.255 </w:t>
            </w:r>
          </w:p>
        </w:tc>
        <w:tc>
          <w:tcPr>
            <w:tcW w:w="437" w:type="pct"/>
            <w:tcBorders>
              <w:top w:val="nil"/>
              <w:left w:val="nil"/>
              <w:bottom w:val="nil"/>
              <w:right w:val="nil"/>
            </w:tcBorders>
            <w:shd w:val="clear" w:color="auto" w:fill="FFFFFF"/>
            <w:tcMar>
              <w:top w:w="40" w:type="dxa"/>
              <w:left w:w="45" w:type="dxa"/>
              <w:bottom w:w="40" w:type="dxa"/>
              <w:right w:w="45" w:type="dxa"/>
            </w:tcMar>
            <w:vAlign w:val="center"/>
          </w:tcPr>
          <w:p w14:paraId="0C7ADC6B">
            <w:pPr>
              <w:snapToGrid w:val="0"/>
              <w:spacing w:before="0" w:after="0"/>
              <w:ind w:left="0" w:leftChars="0" w:right="0" w:rightChars="0" w:firstLine="0" w:firstLineChars="0"/>
              <w:jc w:val="center"/>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b w:val="0"/>
                <w:color w:val="auto"/>
                <w:sz w:val="18"/>
                <w:szCs w:val="18"/>
                <w:lang w:val="en-US" w:eastAsia="zh-CN"/>
              </w:rPr>
              <w:t>-2.68(-9.92, +4.56)</w:t>
            </w:r>
          </w:p>
        </w:tc>
        <w:tc>
          <w:tcPr>
            <w:tcW w:w="458" w:type="dxa"/>
            <w:tcBorders>
              <w:top w:val="nil"/>
              <w:left w:val="nil"/>
              <w:bottom w:val="nil"/>
              <w:right w:val="nil"/>
            </w:tcBorders>
            <w:shd w:val="clear" w:color="auto" w:fill="FFFFFF"/>
            <w:tcMar>
              <w:top w:w="40" w:type="dxa"/>
              <w:left w:w="45" w:type="dxa"/>
              <w:bottom w:w="40" w:type="dxa"/>
              <w:right w:w="45" w:type="dxa"/>
            </w:tcMar>
            <w:vAlign w:val="bottom"/>
          </w:tcPr>
          <w:p w14:paraId="1AFE1E98">
            <w:pPr>
              <w:keepNext w:val="0"/>
              <w:keepLines w:val="0"/>
              <w:widowControl/>
              <w:suppressLineNumbers w:val="0"/>
              <w:jc w:val="right"/>
              <w:textAlignment w:val="bottom"/>
              <w:rPr>
                <w:rFonts w:hint="default" w:ascii="Times New Roman" w:hAnsi="Times New Roman" w:cs="Times New Roman"/>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0.453 </w:t>
            </w:r>
          </w:p>
        </w:tc>
      </w:tr>
      <w:tr w14:paraId="4E23B01E">
        <w:tblPrEx>
          <w:tblCellMar>
            <w:top w:w="0" w:type="dxa"/>
            <w:left w:w="108" w:type="dxa"/>
            <w:bottom w:w="0" w:type="dxa"/>
            <w:right w:w="108" w:type="dxa"/>
          </w:tblCellMar>
        </w:tblPrEx>
        <w:trPr>
          <w:trHeight w:val="0" w:hRule="atLeast"/>
          <w:jc w:val="center"/>
        </w:trPr>
        <w:tc>
          <w:tcPr>
            <w:tcW w:w="547" w:type="pct"/>
            <w:tcBorders>
              <w:top w:val="nil"/>
              <w:left w:val="nil"/>
              <w:bottom w:val="nil"/>
              <w:right w:val="nil"/>
            </w:tcBorders>
            <w:shd w:val="clear" w:color="auto" w:fill="FFFFFF"/>
            <w:tcMar>
              <w:top w:w="40" w:type="dxa"/>
              <w:left w:w="45" w:type="dxa"/>
              <w:bottom w:w="40" w:type="dxa"/>
              <w:right w:w="45" w:type="dxa"/>
            </w:tcMar>
            <w:vAlign w:val="center"/>
          </w:tcPr>
          <w:p w14:paraId="609550ED">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MAP, mmHg</w:t>
            </w:r>
          </w:p>
        </w:tc>
        <w:tc>
          <w:tcPr>
            <w:tcW w:w="402" w:type="pct"/>
            <w:tcBorders>
              <w:top w:val="nil"/>
              <w:left w:val="nil"/>
              <w:bottom w:val="nil"/>
              <w:right w:val="nil"/>
            </w:tcBorders>
            <w:shd w:val="clear" w:color="auto" w:fill="FFFFFF"/>
            <w:tcMar>
              <w:top w:w="40" w:type="dxa"/>
              <w:left w:w="45" w:type="dxa"/>
              <w:bottom w:w="40" w:type="dxa"/>
              <w:right w:w="45" w:type="dxa"/>
            </w:tcMar>
            <w:vAlign w:val="center"/>
          </w:tcPr>
          <w:p w14:paraId="22EA4BF9">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85.96±13.45</w:t>
            </w:r>
          </w:p>
        </w:tc>
        <w:tc>
          <w:tcPr>
            <w:tcW w:w="402" w:type="pct"/>
            <w:tcBorders>
              <w:top w:val="nil"/>
              <w:left w:val="nil"/>
              <w:bottom w:val="nil"/>
              <w:right w:val="nil"/>
            </w:tcBorders>
            <w:shd w:val="clear" w:color="auto" w:fill="FFFFFF"/>
            <w:tcMar>
              <w:top w:w="40" w:type="dxa"/>
              <w:left w:w="45" w:type="dxa"/>
              <w:bottom w:w="40" w:type="dxa"/>
              <w:right w:w="45" w:type="dxa"/>
            </w:tcMar>
            <w:vAlign w:val="center"/>
          </w:tcPr>
          <w:p w14:paraId="43E9F583">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90.00±15.52</w:t>
            </w:r>
          </w:p>
        </w:tc>
        <w:tc>
          <w:tcPr>
            <w:tcW w:w="402" w:type="pct"/>
            <w:tcBorders>
              <w:top w:val="nil"/>
              <w:left w:val="nil"/>
              <w:bottom w:val="nil"/>
              <w:right w:val="nil"/>
            </w:tcBorders>
            <w:shd w:val="clear" w:color="auto" w:fill="FFFFFF"/>
            <w:tcMar>
              <w:top w:w="40" w:type="dxa"/>
              <w:left w:w="45" w:type="dxa"/>
              <w:bottom w:w="40" w:type="dxa"/>
              <w:right w:w="45" w:type="dxa"/>
            </w:tcMar>
            <w:vAlign w:val="center"/>
          </w:tcPr>
          <w:p w14:paraId="7390B10C">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88.12±18.95</w:t>
            </w:r>
          </w:p>
        </w:tc>
        <w:tc>
          <w:tcPr>
            <w:tcW w:w="402" w:type="pct"/>
            <w:tcBorders>
              <w:top w:val="nil"/>
              <w:left w:val="nil"/>
              <w:bottom w:val="nil"/>
              <w:right w:val="nil"/>
            </w:tcBorders>
            <w:shd w:val="clear" w:color="auto" w:fill="FFFFFF"/>
            <w:tcMar>
              <w:top w:w="40" w:type="dxa"/>
              <w:left w:w="45" w:type="dxa"/>
              <w:bottom w:w="40" w:type="dxa"/>
              <w:right w:w="45" w:type="dxa"/>
            </w:tcMar>
            <w:vAlign w:val="center"/>
          </w:tcPr>
          <w:p w14:paraId="0C5FFB95">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87.28±11.96</w:t>
            </w:r>
          </w:p>
        </w:tc>
        <w:tc>
          <w:tcPr>
            <w:tcW w:w="389" w:type="pct"/>
            <w:tcBorders>
              <w:top w:val="nil"/>
              <w:left w:val="nil"/>
              <w:bottom w:val="nil"/>
              <w:right w:val="nil"/>
            </w:tcBorders>
            <w:shd w:val="clear" w:color="auto" w:fill="FFFFFF"/>
            <w:tcMar>
              <w:top w:w="40" w:type="dxa"/>
              <w:left w:w="45" w:type="dxa"/>
              <w:bottom w:w="40" w:type="dxa"/>
              <w:right w:w="45" w:type="dxa"/>
            </w:tcMar>
            <w:vAlign w:val="center"/>
          </w:tcPr>
          <w:p w14:paraId="4C7A18AF">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+4.04 (-0.69, +8.77)</w:t>
            </w:r>
          </w:p>
        </w:tc>
        <w:tc>
          <w:tcPr>
            <w:tcW w:w="458" w:type="dxa"/>
            <w:tcBorders>
              <w:top w:val="nil"/>
              <w:left w:val="nil"/>
              <w:bottom w:val="nil"/>
              <w:right w:val="nil"/>
            </w:tcBorders>
            <w:shd w:val="clear" w:color="auto" w:fill="FFFFFF"/>
            <w:tcMar>
              <w:top w:w="40" w:type="dxa"/>
              <w:left w:w="45" w:type="dxa"/>
              <w:bottom w:w="40" w:type="dxa"/>
              <w:right w:w="45" w:type="dxa"/>
            </w:tcMar>
            <w:vAlign w:val="bottom"/>
          </w:tcPr>
          <w:p w14:paraId="57D1CD7D">
            <w:pPr>
              <w:keepNext w:val="0"/>
              <w:keepLines w:val="0"/>
              <w:widowControl/>
              <w:suppressLineNumbers w:val="0"/>
              <w:jc w:val="right"/>
              <w:textAlignment w:val="bottom"/>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0.090 </w:t>
            </w:r>
          </w:p>
        </w:tc>
        <w:tc>
          <w:tcPr>
            <w:tcW w:w="379" w:type="pct"/>
            <w:tcBorders>
              <w:top w:val="nil"/>
              <w:left w:val="nil"/>
              <w:bottom w:val="nil"/>
              <w:right w:val="nil"/>
            </w:tcBorders>
            <w:shd w:val="clear" w:color="auto" w:fill="FFFFFF"/>
            <w:tcMar>
              <w:top w:w="40" w:type="dxa"/>
              <w:left w:w="45" w:type="dxa"/>
              <w:bottom w:w="40" w:type="dxa"/>
              <w:right w:w="45" w:type="dxa"/>
            </w:tcMar>
            <w:vAlign w:val="center"/>
          </w:tcPr>
          <w:p w14:paraId="28448E43">
            <w:pPr>
              <w:snapToGrid w:val="0"/>
              <w:spacing w:before="0" w:after="0"/>
              <w:ind w:left="0" w:leftChars="0" w:right="0" w:rightChars="0" w:firstLine="0" w:firstLineChars="0"/>
              <w:jc w:val="center"/>
              <w:rPr>
                <w:rFonts w:hint="default" w:ascii="Times New Roman" w:hAnsi="Times New Roman" w:cs="Times New Roman" w:eastAsiaTheme="minorEastAsia"/>
                <w:b w:val="0"/>
                <w:color w:val="auto"/>
                <w:kern w:val="2"/>
                <w:sz w:val="18"/>
                <w:szCs w:val="18"/>
                <w:lang w:val="en-US" w:eastAsia="zh-CN" w:bidi="ar-SA"/>
              </w:rPr>
            </w:pPr>
            <w:r>
              <w:rPr>
                <w:rFonts w:hint="default" w:ascii="Times New Roman" w:hAnsi="Times New Roman" w:cs="Times New Roman"/>
                <w:b w:val="0"/>
                <w:color w:val="auto"/>
                <w:sz w:val="18"/>
                <w:szCs w:val="18"/>
              </w:rPr>
              <w:t>-0.84 (-7.25, +5.57)</w:t>
            </w:r>
          </w:p>
        </w:tc>
        <w:tc>
          <w:tcPr>
            <w:tcW w:w="458" w:type="dxa"/>
            <w:tcBorders>
              <w:top w:val="nil"/>
              <w:left w:val="nil"/>
              <w:bottom w:val="nil"/>
              <w:right w:val="nil"/>
            </w:tcBorders>
            <w:shd w:val="clear" w:color="auto" w:fill="FFFFFF"/>
            <w:tcMar>
              <w:top w:w="40" w:type="dxa"/>
              <w:left w:w="45" w:type="dxa"/>
              <w:bottom w:w="40" w:type="dxa"/>
              <w:right w:w="45" w:type="dxa"/>
            </w:tcMar>
            <w:vAlign w:val="bottom"/>
          </w:tcPr>
          <w:p w14:paraId="5C0FC5E1">
            <w:pPr>
              <w:keepNext w:val="0"/>
              <w:keepLines w:val="0"/>
              <w:widowControl/>
              <w:suppressLineNumbers w:val="0"/>
              <w:jc w:val="right"/>
              <w:textAlignment w:val="bottom"/>
              <w:rPr>
                <w:rFonts w:hint="default" w:ascii="Times New Roman" w:hAnsi="Times New Roman" w:cs="Times New Roman" w:eastAsiaTheme="minorEastAsia"/>
                <w:b w:val="0"/>
                <w:color w:val="auto"/>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0.789 </w:t>
            </w:r>
          </w:p>
        </w:tc>
        <w:tc>
          <w:tcPr>
            <w:tcW w:w="390" w:type="pct"/>
            <w:tcBorders>
              <w:top w:val="nil"/>
              <w:left w:val="nil"/>
              <w:bottom w:val="nil"/>
              <w:right w:val="nil"/>
            </w:tcBorders>
            <w:shd w:val="clear" w:color="auto" w:fill="FFFFFF"/>
            <w:tcMar>
              <w:top w:w="40" w:type="dxa"/>
              <w:left w:w="45" w:type="dxa"/>
              <w:bottom w:w="40" w:type="dxa"/>
              <w:right w:w="45" w:type="dxa"/>
            </w:tcMar>
            <w:vAlign w:val="center"/>
          </w:tcPr>
          <w:p w14:paraId="668CF8DF">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+2.16 (-5.06, +9.38)</w:t>
            </w:r>
          </w:p>
        </w:tc>
        <w:tc>
          <w:tcPr>
            <w:tcW w:w="458" w:type="dxa"/>
            <w:tcBorders>
              <w:top w:val="nil"/>
              <w:left w:val="nil"/>
              <w:bottom w:val="nil"/>
              <w:right w:val="nil"/>
            </w:tcBorders>
            <w:shd w:val="clear" w:color="auto" w:fill="FFFFFF"/>
            <w:tcMar>
              <w:top w:w="40" w:type="dxa"/>
              <w:left w:w="45" w:type="dxa"/>
              <w:bottom w:w="40" w:type="dxa"/>
              <w:right w:w="45" w:type="dxa"/>
            </w:tcMar>
            <w:vAlign w:val="bottom"/>
          </w:tcPr>
          <w:p w14:paraId="71D3E64B">
            <w:pPr>
              <w:keepNext w:val="0"/>
              <w:keepLines w:val="0"/>
              <w:widowControl/>
              <w:suppressLineNumbers w:val="0"/>
              <w:jc w:val="right"/>
              <w:textAlignment w:val="bottom"/>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0.543 </w:t>
            </w:r>
          </w:p>
        </w:tc>
        <w:tc>
          <w:tcPr>
            <w:tcW w:w="473" w:type="pct"/>
            <w:tcBorders>
              <w:top w:val="nil"/>
              <w:left w:val="nil"/>
              <w:bottom w:val="nil"/>
              <w:right w:val="nil"/>
            </w:tcBorders>
            <w:shd w:val="clear" w:color="auto" w:fill="FFFFFF"/>
            <w:tcMar>
              <w:top w:w="40" w:type="dxa"/>
              <w:left w:w="45" w:type="dxa"/>
              <w:bottom w:w="40" w:type="dxa"/>
              <w:right w:w="45" w:type="dxa"/>
            </w:tcMar>
            <w:vAlign w:val="center"/>
          </w:tcPr>
          <w:p w14:paraId="1555ACC5">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-2.72 (-9.50, +4.06)</w:t>
            </w:r>
          </w:p>
        </w:tc>
        <w:tc>
          <w:tcPr>
            <w:tcW w:w="458" w:type="dxa"/>
            <w:tcBorders>
              <w:top w:val="nil"/>
              <w:left w:val="nil"/>
              <w:bottom w:val="nil"/>
              <w:right w:val="nil"/>
            </w:tcBorders>
            <w:shd w:val="clear" w:color="auto" w:fill="FFFFFF"/>
            <w:tcMar>
              <w:top w:w="40" w:type="dxa"/>
              <w:left w:w="45" w:type="dxa"/>
              <w:bottom w:w="40" w:type="dxa"/>
              <w:right w:w="45" w:type="dxa"/>
            </w:tcMar>
            <w:vAlign w:val="bottom"/>
          </w:tcPr>
          <w:p w14:paraId="7DF55321">
            <w:pPr>
              <w:keepNext w:val="0"/>
              <w:keepLines w:val="0"/>
              <w:widowControl/>
              <w:suppressLineNumbers w:val="0"/>
              <w:jc w:val="right"/>
              <w:textAlignment w:val="bottom"/>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0.416 </w:t>
            </w:r>
          </w:p>
        </w:tc>
        <w:tc>
          <w:tcPr>
            <w:tcW w:w="437" w:type="pct"/>
            <w:tcBorders>
              <w:top w:val="nil"/>
              <w:left w:val="nil"/>
              <w:bottom w:val="nil"/>
              <w:right w:val="nil"/>
            </w:tcBorders>
            <w:shd w:val="clear" w:color="auto" w:fill="FFFFFF"/>
            <w:tcMar>
              <w:top w:w="40" w:type="dxa"/>
              <w:left w:w="45" w:type="dxa"/>
              <w:bottom w:w="40" w:type="dxa"/>
              <w:right w:w="45" w:type="dxa"/>
            </w:tcMar>
            <w:vAlign w:val="center"/>
          </w:tcPr>
          <w:p w14:paraId="0103D5F1">
            <w:pPr>
              <w:snapToGrid w:val="0"/>
              <w:spacing w:before="0" w:after="0"/>
              <w:ind w:left="0" w:leftChars="0" w:right="0" w:rightChars="0" w:firstLine="0" w:firstLineChars="0"/>
              <w:jc w:val="center"/>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b w:val="0"/>
                <w:color w:val="auto"/>
                <w:sz w:val="18"/>
                <w:szCs w:val="18"/>
                <w:lang w:val="en-US" w:eastAsia="zh-CN"/>
              </w:rPr>
              <w:t>-4.88(-13.16,+3.40)</w:t>
            </w:r>
          </w:p>
        </w:tc>
        <w:tc>
          <w:tcPr>
            <w:tcW w:w="458" w:type="dxa"/>
            <w:tcBorders>
              <w:top w:val="nil"/>
              <w:left w:val="nil"/>
              <w:bottom w:val="nil"/>
              <w:right w:val="nil"/>
            </w:tcBorders>
            <w:shd w:val="clear" w:color="auto" w:fill="FFFFFF"/>
            <w:tcMar>
              <w:top w:w="40" w:type="dxa"/>
              <w:left w:w="45" w:type="dxa"/>
              <w:bottom w:w="40" w:type="dxa"/>
              <w:right w:w="45" w:type="dxa"/>
            </w:tcMar>
            <w:vAlign w:val="bottom"/>
          </w:tcPr>
          <w:p w14:paraId="39291F15">
            <w:pPr>
              <w:keepNext w:val="0"/>
              <w:keepLines w:val="0"/>
              <w:widowControl/>
              <w:suppressLineNumbers w:val="0"/>
              <w:jc w:val="right"/>
              <w:textAlignment w:val="bottom"/>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0.236 </w:t>
            </w:r>
          </w:p>
        </w:tc>
      </w:tr>
      <w:tr w14:paraId="6C6185F0">
        <w:tblPrEx>
          <w:tblCellMar>
            <w:top w:w="0" w:type="dxa"/>
            <w:left w:w="108" w:type="dxa"/>
            <w:bottom w:w="0" w:type="dxa"/>
            <w:right w:w="108" w:type="dxa"/>
          </w:tblCellMar>
        </w:tblPrEx>
        <w:trPr>
          <w:trHeight w:val="0" w:hRule="atLeast"/>
          <w:jc w:val="center"/>
        </w:trPr>
        <w:tc>
          <w:tcPr>
            <w:tcW w:w="547"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2373F1B0">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Norepinephrine, µg/kg/min</w:t>
            </w:r>
          </w:p>
        </w:tc>
        <w:tc>
          <w:tcPr>
            <w:tcW w:w="402"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226B3CFC">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0.06±0.11</w:t>
            </w:r>
          </w:p>
        </w:tc>
        <w:tc>
          <w:tcPr>
            <w:tcW w:w="402"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0CC56CA2">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0.06±0.11</w:t>
            </w:r>
          </w:p>
        </w:tc>
        <w:tc>
          <w:tcPr>
            <w:tcW w:w="402"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6A7B592F">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0.05±0.10</w:t>
            </w:r>
          </w:p>
        </w:tc>
        <w:tc>
          <w:tcPr>
            <w:tcW w:w="402"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01B1E444">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0.05±0.10</w:t>
            </w:r>
          </w:p>
        </w:tc>
        <w:tc>
          <w:tcPr>
            <w:tcW w:w="389"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4797C755">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+0.00 (-0.00, +0.01)</w:t>
            </w:r>
          </w:p>
        </w:tc>
        <w:tc>
          <w:tcPr>
            <w:tcW w:w="458" w:type="dxa"/>
            <w:tcBorders>
              <w:top w:val="nil"/>
              <w:left w:val="nil"/>
              <w:bottom w:val="single" w:color="000000" w:sz="4" w:space="0"/>
              <w:right w:val="nil"/>
            </w:tcBorders>
            <w:shd w:val="clear" w:color="auto" w:fill="FFFFFF"/>
            <w:tcMar>
              <w:top w:w="40" w:type="dxa"/>
              <w:left w:w="45" w:type="dxa"/>
              <w:bottom w:w="40" w:type="dxa"/>
              <w:right w:w="45" w:type="dxa"/>
            </w:tcMar>
            <w:vAlign w:val="bottom"/>
          </w:tcPr>
          <w:p w14:paraId="10727D95">
            <w:pPr>
              <w:keepNext w:val="0"/>
              <w:keepLines w:val="0"/>
              <w:widowControl/>
              <w:suppressLineNumbers w:val="0"/>
              <w:jc w:val="right"/>
              <w:textAlignment w:val="bottom"/>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0.515 </w:t>
            </w:r>
          </w:p>
        </w:tc>
        <w:tc>
          <w:tcPr>
            <w:tcW w:w="379"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6AA391B3">
            <w:pPr>
              <w:snapToGrid w:val="0"/>
              <w:spacing w:before="0" w:after="0"/>
              <w:ind w:left="0" w:leftChars="0" w:right="0" w:rightChars="0" w:firstLine="0" w:firstLineChars="0"/>
              <w:jc w:val="center"/>
              <w:rPr>
                <w:rFonts w:hint="default" w:ascii="Times New Roman" w:hAnsi="Times New Roman" w:cs="Times New Roman" w:eastAsiaTheme="minorEastAsia"/>
                <w:b w:val="0"/>
                <w:color w:val="auto"/>
                <w:kern w:val="2"/>
                <w:sz w:val="18"/>
                <w:szCs w:val="18"/>
                <w:lang w:val="en-US" w:eastAsia="zh-CN" w:bidi="ar-SA"/>
              </w:rPr>
            </w:pPr>
            <w:r>
              <w:rPr>
                <w:rFonts w:hint="default" w:ascii="Times New Roman" w:hAnsi="Times New Roman" w:cs="Times New Roman"/>
                <w:b w:val="0"/>
                <w:color w:val="auto"/>
                <w:sz w:val="18"/>
                <w:szCs w:val="18"/>
              </w:rPr>
              <w:t>-0.00 (-0.02, +0.01)</w:t>
            </w:r>
          </w:p>
        </w:tc>
        <w:tc>
          <w:tcPr>
            <w:tcW w:w="458" w:type="dxa"/>
            <w:tcBorders>
              <w:top w:val="nil"/>
              <w:left w:val="nil"/>
              <w:bottom w:val="single" w:color="000000" w:sz="4" w:space="0"/>
              <w:right w:val="nil"/>
            </w:tcBorders>
            <w:shd w:val="clear" w:color="auto" w:fill="FFFFFF"/>
            <w:tcMar>
              <w:top w:w="40" w:type="dxa"/>
              <w:left w:w="45" w:type="dxa"/>
              <w:bottom w:w="40" w:type="dxa"/>
              <w:right w:w="45" w:type="dxa"/>
            </w:tcMar>
            <w:vAlign w:val="bottom"/>
          </w:tcPr>
          <w:p w14:paraId="1D9722EA">
            <w:pPr>
              <w:keepNext w:val="0"/>
              <w:keepLines w:val="0"/>
              <w:widowControl/>
              <w:suppressLineNumbers w:val="0"/>
              <w:jc w:val="right"/>
              <w:textAlignment w:val="bottom"/>
              <w:rPr>
                <w:rFonts w:hint="default" w:ascii="Times New Roman" w:hAnsi="Times New Roman" w:cs="Times New Roman" w:eastAsiaTheme="minorEastAsia"/>
                <w:b w:val="0"/>
                <w:color w:val="auto"/>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0.403 </w:t>
            </w:r>
          </w:p>
        </w:tc>
        <w:tc>
          <w:tcPr>
            <w:tcW w:w="390"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2B0B85BC">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-0.00 (-0.01, +0.01)</w:t>
            </w:r>
          </w:p>
        </w:tc>
        <w:tc>
          <w:tcPr>
            <w:tcW w:w="458" w:type="dxa"/>
            <w:tcBorders>
              <w:top w:val="nil"/>
              <w:left w:val="nil"/>
              <w:bottom w:val="single" w:color="000000" w:sz="4" w:space="0"/>
              <w:right w:val="nil"/>
            </w:tcBorders>
            <w:shd w:val="clear" w:color="auto" w:fill="FFFFFF"/>
            <w:tcMar>
              <w:top w:w="40" w:type="dxa"/>
              <w:left w:w="45" w:type="dxa"/>
              <w:bottom w:w="40" w:type="dxa"/>
              <w:right w:w="45" w:type="dxa"/>
            </w:tcMar>
            <w:vAlign w:val="bottom"/>
          </w:tcPr>
          <w:p w14:paraId="687241FA">
            <w:pPr>
              <w:keepNext w:val="0"/>
              <w:keepLines w:val="0"/>
              <w:widowControl/>
              <w:suppressLineNumbers w:val="0"/>
              <w:jc w:val="right"/>
              <w:textAlignment w:val="bottom"/>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0.762 </w:t>
            </w:r>
          </w:p>
        </w:tc>
        <w:tc>
          <w:tcPr>
            <w:tcW w:w="473"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234AD76D">
            <w:pPr>
              <w:snapToGrid w:val="0"/>
              <w:spacing w:before="0" w:after="0"/>
              <w:ind w:left="0" w:leftChars="0" w:right="0" w:rightChars="0" w:firstLine="0" w:firstLineChars="0"/>
              <w:jc w:val="center"/>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-0.01 (-0.03, +0.01)</w:t>
            </w:r>
          </w:p>
        </w:tc>
        <w:tc>
          <w:tcPr>
            <w:tcW w:w="458" w:type="dxa"/>
            <w:tcBorders>
              <w:top w:val="nil"/>
              <w:left w:val="nil"/>
              <w:bottom w:val="single" w:color="000000" w:sz="4" w:space="0"/>
              <w:right w:val="nil"/>
            </w:tcBorders>
            <w:shd w:val="clear" w:color="auto" w:fill="FFFFFF"/>
            <w:tcMar>
              <w:top w:w="40" w:type="dxa"/>
              <w:left w:w="45" w:type="dxa"/>
              <w:bottom w:w="40" w:type="dxa"/>
              <w:right w:w="45" w:type="dxa"/>
            </w:tcMar>
            <w:vAlign w:val="bottom"/>
          </w:tcPr>
          <w:p w14:paraId="7BE08577">
            <w:pPr>
              <w:keepNext w:val="0"/>
              <w:keepLines w:val="0"/>
              <w:widowControl/>
              <w:suppressLineNumbers w:val="0"/>
              <w:jc w:val="right"/>
              <w:textAlignment w:val="bottom"/>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0.314 </w:t>
            </w:r>
          </w:p>
        </w:tc>
        <w:tc>
          <w:tcPr>
            <w:tcW w:w="437"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578DB2FA">
            <w:pPr>
              <w:snapToGrid w:val="0"/>
              <w:spacing w:before="0" w:after="0"/>
              <w:ind w:left="0" w:leftChars="0" w:right="0" w:rightChars="0" w:firstLine="0" w:firstLineChars="0"/>
              <w:jc w:val="center"/>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b w:val="0"/>
                <w:color w:val="auto"/>
                <w:sz w:val="18"/>
                <w:szCs w:val="18"/>
                <w:lang w:val="en-US" w:eastAsia="zh-CN"/>
              </w:rPr>
              <w:t>-0.01(-0.020,+0.01)</w:t>
            </w:r>
          </w:p>
        </w:tc>
        <w:tc>
          <w:tcPr>
            <w:tcW w:w="458" w:type="dxa"/>
            <w:tcBorders>
              <w:top w:val="nil"/>
              <w:left w:val="nil"/>
              <w:bottom w:val="single" w:color="000000" w:sz="4" w:space="0"/>
              <w:right w:val="nil"/>
            </w:tcBorders>
            <w:shd w:val="clear" w:color="auto" w:fill="FFFFFF"/>
            <w:tcMar>
              <w:top w:w="40" w:type="dxa"/>
              <w:left w:w="45" w:type="dxa"/>
              <w:bottom w:w="40" w:type="dxa"/>
              <w:right w:w="45" w:type="dxa"/>
            </w:tcMar>
            <w:vAlign w:val="bottom"/>
          </w:tcPr>
          <w:p w14:paraId="2D02A8D9">
            <w:pPr>
              <w:keepNext w:val="0"/>
              <w:keepLines w:val="0"/>
              <w:widowControl/>
              <w:suppressLineNumbers w:val="0"/>
              <w:jc w:val="right"/>
              <w:textAlignment w:val="bottom"/>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0.300 </w:t>
            </w:r>
          </w:p>
        </w:tc>
      </w:tr>
    </w:tbl>
    <w:p w14:paraId="27C47FA5">
      <w:pPr>
        <w:keepNext/>
        <w:spacing w:after="80"/>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Values are mean ± SD. Mean differences are paired within-patient differences with 95% confidence intervals.</w:t>
      </w:r>
    </w:p>
    <w:p w14:paraId="47E56EE3">
      <w:pPr>
        <w:keepNext/>
        <w:spacing w:after="80"/>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CI, confidence interval; iNO, inhaled nitric oxide; MAP, mean arterial pressure; PPV, prone position ventilation; q, false discovery rate-adjusted p-value; SD, standard deviation; SPV, supine position ventilation.</w:t>
      </w:r>
    </w:p>
    <w:p w14:paraId="0036FB23">
      <w:pPr>
        <w:keepNext/>
        <w:spacing w:after="80"/>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q values are Benjamini–Hochberg false-discovery-rate-adjusted p values within the hemodynamic outcome family. Bold q values indicate q &lt; 0.05.</w:t>
      </w:r>
    </w:p>
    <w:p w14:paraId="34BD4358">
      <w:pP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br w:type="page"/>
      </w:r>
    </w:p>
    <w:p w14:paraId="78E50887">
      <w:pPr>
        <w:keepNext/>
        <w:spacing w:after="80"/>
        <w:rPr>
          <w:rFonts w:hint="default" w:ascii="Times New Roman" w:hAnsi="Times New Roman" w:cs="Times New Roman"/>
          <w:color w:val="auto"/>
          <w:sz w:val="18"/>
          <w:szCs w:val="18"/>
        </w:rPr>
      </w:pPr>
      <w:r>
        <w:rPr>
          <w:rFonts w:hint="default" w:ascii="Times New Roman" w:hAnsi="Times New Roman" w:cs="Times New Roman"/>
          <w:b/>
          <w:color w:val="auto"/>
          <w:sz w:val="18"/>
          <w:szCs w:val="18"/>
        </w:rPr>
        <w:t xml:space="preserve">Table </w:t>
      </w:r>
      <w:r>
        <w:rPr>
          <w:rFonts w:hint="default" w:ascii="Times New Roman" w:hAnsi="Times New Roman" w:cs="Times New Roman"/>
          <w:b/>
          <w:color w:val="auto"/>
          <w:sz w:val="18"/>
          <w:szCs w:val="18"/>
          <w:lang w:val="en-US" w:eastAsia="zh-CN"/>
        </w:rPr>
        <w:t>S2</w:t>
      </w:r>
      <w:r>
        <w:rPr>
          <w:rFonts w:hint="default" w:ascii="Times New Roman" w:hAnsi="Times New Roman" w:cs="Times New Roman"/>
          <w:b/>
          <w:color w:val="auto"/>
          <w:sz w:val="18"/>
          <w:szCs w:val="18"/>
        </w:rPr>
        <w:t xml:space="preserve">. </w:t>
      </w:r>
      <w:r>
        <w:rPr>
          <w:rFonts w:hint="default" w:ascii="Times New Roman" w:hAnsi="Times New Roman" w:cs="Times New Roman"/>
          <w:b/>
          <w:color w:val="auto"/>
          <w:sz w:val="18"/>
          <w:szCs w:val="18"/>
          <w:lang w:val="en-US" w:eastAsia="zh-CN"/>
        </w:rPr>
        <w:t xml:space="preserve">Regional </w:t>
      </w:r>
      <w:r>
        <w:rPr>
          <w:rFonts w:hint="default" w:ascii="Times New Roman" w:hAnsi="Times New Roman" w:cs="Times New Roman"/>
          <w:b/>
          <w:color w:val="auto"/>
          <w:sz w:val="18"/>
          <w:szCs w:val="18"/>
        </w:rPr>
        <w:t>EIT-derived ventilation/perfusion variables across four sequential study conditions</w:t>
      </w:r>
    </w:p>
    <w:tbl>
      <w:tblPr>
        <w:tblStyle w:val="2"/>
        <w:tblW w:w="5000" w:type="pct"/>
        <w:jc w:val="center"/>
        <w:tblLayout w:type="autofit"/>
        <w:tblCellMar>
          <w:top w:w="0" w:type="dxa"/>
          <w:left w:w="108" w:type="dxa"/>
          <w:bottom w:w="0" w:type="dxa"/>
          <w:right w:w="108" w:type="dxa"/>
        </w:tblCellMar>
      </w:tblPr>
      <w:tblGrid>
        <w:gridCol w:w="2109"/>
        <w:gridCol w:w="944"/>
        <w:gridCol w:w="1011"/>
        <w:gridCol w:w="951"/>
        <w:gridCol w:w="1034"/>
        <w:gridCol w:w="1407"/>
        <w:gridCol w:w="536"/>
        <w:gridCol w:w="1404"/>
        <w:gridCol w:w="536"/>
        <w:gridCol w:w="1388"/>
        <w:gridCol w:w="536"/>
        <w:gridCol w:w="1391"/>
        <w:gridCol w:w="644"/>
        <w:gridCol w:w="1407"/>
        <w:gridCol w:w="644"/>
      </w:tblGrid>
      <w:tr w14:paraId="00C4B159">
        <w:tblPrEx>
          <w:tblCellMar>
            <w:top w:w="0" w:type="dxa"/>
            <w:left w:w="108" w:type="dxa"/>
            <w:bottom w:w="0" w:type="dxa"/>
            <w:right w:w="108" w:type="dxa"/>
          </w:tblCellMar>
        </w:tblPrEx>
        <w:trPr>
          <w:trHeight w:val="0" w:hRule="atLeast"/>
          <w:tblHeader/>
          <w:jc w:val="center"/>
        </w:trPr>
        <w:tc>
          <w:tcPr>
            <w:tcW w:w="661" w:type="pct"/>
            <w:tcBorders>
              <w:top w:val="single" w:color="000000" w:sz="4" w:space="0"/>
              <w:left w:val="nil"/>
              <w:bottom w:val="nil"/>
              <w:right w:val="nil"/>
              <w:tl2br w:val="nil"/>
            </w:tcBorders>
            <w:shd w:val="clear" w:color="auto" w:fill="FFFFFF"/>
            <w:tcMar>
              <w:top w:w="40" w:type="dxa"/>
              <w:left w:w="45" w:type="dxa"/>
              <w:bottom w:w="40" w:type="dxa"/>
              <w:right w:w="45" w:type="dxa"/>
            </w:tcMar>
            <w:vAlign w:val="center"/>
          </w:tcPr>
          <w:p w14:paraId="4060045D">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Variable</w:t>
            </w:r>
          </w:p>
        </w:tc>
        <w:tc>
          <w:tcPr>
            <w:tcW w:w="1235" w:type="pct"/>
            <w:gridSpan w:val="4"/>
            <w:tcBorders>
              <w:top w:val="single" w:color="000000" w:sz="4" w:space="0"/>
              <w:left w:val="nil"/>
              <w:bottom w:val="nil"/>
              <w:right w:val="nil"/>
            </w:tcBorders>
            <w:shd w:val="clear" w:color="auto" w:fill="FFFFFF"/>
            <w:tcMar>
              <w:top w:w="40" w:type="dxa"/>
              <w:left w:w="45" w:type="dxa"/>
              <w:bottom w:w="40" w:type="dxa"/>
              <w:right w:w="45" w:type="dxa"/>
            </w:tcMar>
            <w:vAlign w:val="center"/>
          </w:tcPr>
          <w:p w14:paraId="57D21E81">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Study condition (Mean ± SD)</w:t>
            </w:r>
          </w:p>
        </w:tc>
        <w:tc>
          <w:tcPr>
            <w:tcW w:w="609" w:type="pct"/>
            <w:gridSpan w:val="2"/>
            <w:tcBorders>
              <w:top w:val="single" w:color="000000" w:sz="4" w:space="0"/>
              <w:left w:val="nil"/>
              <w:bottom w:val="nil"/>
              <w:right w:val="nil"/>
            </w:tcBorders>
            <w:shd w:val="clear" w:color="auto" w:fill="FFFFFF"/>
            <w:tcMar>
              <w:top w:w="40" w:type="dxa"/>
              <w:left w:w="45" w:type="dxa"/>
              <w:bottom w:w="40" w:type="dxa"/>
              <w:right w:w="45" w:type="dxa"/>
            </w:tcMar>
            <w:vAlign w:val="center"/>
          </w:tcPr>
          <w:p w14:paraId="59EB579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SPV+iNO vs SPV</w:t>
            </w:r>
          </w:p>
        </w:tc>
        <w:tc>
          <w:tcPr>
            <w:tcW w:w="608" w:type="pct"/>
            <w:gridSpan w:val="2"/>
            <w:tcBorders>
              <w:top w:val="single" w:color="000000" w:sz="4" w:space="0"/>
              <w:left w:val="nil"/>
              <w:bottom w:val="nil"/>
              <w:right w:val="nil"/>
            </w:tcBorders>
            <w:shd w:val="clear" w:color="auto" w:fill="FFFFFF"/>
            <w:tcMar>
              <w:top w:w="40" w:type="dxa"/>
              <w:left w:w="45" w:type="dxa"/>
              <w:bottom w:w="40" w:type="dxa"/>
              <w:right w:w="45" w:type="dxa"/>
            </w:tcMar>
            <w:vAlign w:val="center"/>
          </w:tcPr>
          <w:p w14:paraId="614853EE">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PPV+iNO vs PPV</w:t>
            </w:r>
          </w:p>
        </w:tc>
        <w:tc>
          <w:tcPr>
            <w:tcW w:w="603" w:type="pct"/>
            <w:gridSpan w:val="2"/>
            <w:tcBorders>
              <w:top w:val="single" w:color="000000" w:sz="4" w:space="0"/>
              <w:left w:val="nil"/>
              <w:bottom w:val="nil"/>
              <w:right w:val="nil"/>
            </w:tcBorders>
            <w:shd w:val="clear" w:color="auto" w:fill="FFFFFF"/>
            <w:tcMar>
              <w:top w:w="40" w:type="dxa"/>
              <w:left w:w="45" w:type="dxa"/>
              <w:bottom w:w="40" w:type="dxa"/>
              <w:right w:w="45" w:type="dxa"/>
            </w:tcMar>
            <w:vAlign w:val="center"/>
          </w:tcPr>
          <w:p w14:paraId="6923A290">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PPV vs SPV</w:t>
            </w:r>
          </w:p>
        </w:tc>
        <w:tc>
          <w:tcPr>
            <w:tcW w:w="638" w:type="pct"/>
            <w:gridSpan w:val="2"/>
            <w:tcBorders>
              <w:top w:val="single" w:color="000000" w:sz="4" w:space="0"/>
              <w:left w:val="nil"/>
              <w:bottom w:val="nil"/>
              <w:right w:val="nil"/>
            </w:tcBorders>
            <w:shd w:val="clear" w:color="auto" w:fill="FFFFFF"/>
            <w:tcMar>
              <w:top w:w="40" w:type="dxa"/>
              <w:left w:w="45" w:type="dxa"/>
              <w:bottom w:w="40" w:type="dxa"/>
              <w:right w:w="45" w:type="dxa"/>
            </w:tcMar>
            <w:vAlign w:val="center"/>
          </w:tcPr>
          <w:p w14:paraId="7D16A24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PPV+iNO vs SPV+iNO</w:t>
            </w:r>
          </w:p>
        </w:tc>
        <w:tc>
          <w:tcPr>
            <w:tcW w:w="643" w:type="pct"/>
            <w:gridSpan w:val="2"/>
            <w:tcBorders>
              <w:top w:val="single" w:color="000000" w:sz="4" w:space="0"/>
              <w:left w:val="nil"/>
              <w:bottom w:val="nil"/>
              <w:right w:val="nil"/>
            </w:tcBorders>
            <w:shd w:val="clear" w:color="auto" w:fill="FFFFFF"/>
            <w:tcMar>
              <w:top w:w="40" w:type="dxa"/>
              <w:left w:w="45" w:type="dxa"/>
              <w:bottom w:w="40" w:type="dxa"/>
              <w:right w:w="45" w:type="dxa"/>
            </w:tcMar>
            <w:vAlign w:val="center"/>
          </w:tcPr>
          <w:p w14:paraId="73AB3F5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Exploratory DiD</w:t>
            </w:r>
          </w:p>
        </w:tc>
      </w:tr>
      <w:tr w14:paraId="7EFA0086">
        <w:tblPrEx>
          <w:tblCellMar>
            <w:top w:w="0" w:type="dxa"/>
            <w:left w:w="108" w:type="dxa"/>
            <w:bottom w:w="0" w:type="dxa"/>
            <w:right w:w="108" w:type="dxa"/>
          </w:tblCellMar>
        </w:tblPrEx>
        <w:trPr>
          <w:trHeight w:val="0" w:hRule="atLeast"/>
          <w:tblHeader/>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0924CD8C">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4A46EBC2">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SPV</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76DBFE1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SPV+iNO</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5DB3D5B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PPV</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747F8E61">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PPV+iNO</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2898E672">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Mean diff (95% CI)</w:t>
            </w:r>
          </w:p>
        </w:tc>
        <w:tc>
          <w:tcPr>
            <w:tcW w:w="167" w:type="pct"/>
            <w:tcBorders>
              <w:top w:val="nil"/>
              <w:left w:val="nil"/>
              <w:bottom w:val="nil"/>
              <w:right w:val="nil"/>
            </w:tcBorders>
            <w:shd w:val="clear" w:color="auto" w:fill="FFFFFF"/>
            <w:tcMar>
              <w:top w:w="40" w:type="dxa"/>
              <w:left w:w="45" w:type="dxa"/>
              <w:bottom w:w="40" w:type="dxa"/>
              <w:right w:w="45" w:type="dxa"/>
            </w:tcMar>
            <w:vAlign w:val="center"/>
          </w:tcPr>
          <w:p w14:paraId="16B71C4F">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q</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066013DD">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Mean diff (95% CI)</w:t>
            </w:r>
          </w:p>
        </w:tc>
        <w:tc>
          <w:tcPr>
            <w:tcW w:w="167" w:type="pct"/>
            <w:tcBorders>
              <w:top w:val="nil"/>
              <w:left w:val="nil"/>
              <w:bottom w:val="nil"/>
              <w:right w:val="nil"/>
            </w:tcBorders>
            <w:shd w:val="clear" w:color="auto" w:fill="FFFFFF"/>
            <w:tcMar>
              <w:top w:w="40" w:type="dxa"/>
              <w:left w:w="45" w:type="dxa"/>
              <w:bottom w:w="40" w:type="dxa"/>
              <w:right w:w="45" w:type="dxa"/>
            </w:tcMar>
            <w:vAlign w:val="center"/>
          </w:tcPr>
          <w:p w14:paraId="7AD1097D">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q</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2D9C5DF1">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Mean diff (95% CI)</w:t>
            </w:r>
          </w:p>
        </w:tc>
        <w:tc>
          <w:tcPr>
            <w:tcW w:w="167" w:type="pct"/>
            <w:tcBorders>
              <w:top w:val="nil"/>
              <w:left w:val="nil"/>
              <w:bottom w:val="nil"/>
              <w:right w:val="nil"/>
            </w:tcBorders>
            <w:shd w:val="clear" w:color="auto" w:fill="FFFFFF"/>
            <w:tcMar>
              <w:top w:w="40" w:type="dxa"/>
              <w:left w:w="45" w:type="dxa"/>
              <w:bottom w:w="40" w:type="dxa"/>
              <w:right w:w="45" w:type="dxa"/>
            </w:tcMar>
            <w:vAlign w:val="center"/>
          </w:tcPr>
          <w:p w14:paraId="436271CB">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q</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130AE6D7">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Mean diff (95% CI)</w:t>
            </w:r>
          </w:p>
        </w:tc>
        <w:tc>
          <w:tcPr>
            <w:tcW w:w="202" w:type="pct"/>
            <w:tcBorders>
              <w:top w:val="nil"/>
              <w:left w:val="nil"/>
              <w:bottom w:val="nil"/>
              <w:right w:val="nil"/>
            </w:tcBorders>
            <w:shd w:val="clear" w:color="auto" w:fill="FFFFFF"/>
            <w:tcMar>
              <w:top w:w="40" w:type="dxa"/>
              <w:left w:w="45" w:type="dxa"/>
              <w:bottom w:w="40" w:type="dxa"/>
              <w:right w:w="45" w:type="dxa"/>
            </w:tcMar>
            <w:vAlign w:val="center"/>
          </w:tcPr>
          <w:p w14:paraId="5CC53BB2">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q</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794C2215">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Mean diff (95% CI)</w:t>
            </w:r>
          </w:p>
        </w:tc>
        <w:tc>
          <w:tcPr>
            <w:tcW w:w="202" w:type="pct"/>
            <w:tcBorders>
              <w:top w:val="nil"/>
              <w:left w:val="nil"/>
              <w:bottom w:val="nil"/>
              <w:right w:val="nil"/>
            </w:tcBorders>
            <w:shd w:val="clear" w:color="auto" w:fill="FFFFFF"/>
            <w:tcMar>
              <w:top w:w="40" w:type="dxa"/>
              <w:left w:w="45" w:type="dxa"/>
              <w:bottom w:w="40" w:type="dxa"/>
              <w:right w:w="45" w:type="dxa"/>
            </w:tcMar>
            <w:vAlign w:val="center"/>
          </w:tcPr>
          <w:p w14:paraId="335F48C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q</w:t>
            </w:r>
          </w:p>
        </w:tc>
      </w:tr>
      <w:tr w14:paraId="0169E0B5">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51FA5C0F">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Ventral V,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48EAE25B">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58.95 ± 12.00</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6D6FFABF">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59.43 ± 10.16</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2C671282">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59.79 ± 16.07</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093E0047">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59.20 ± 14.97</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51F2975F">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+0.48 (-2.79, 3.76)</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26C21BE0">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0.765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3CA16751">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-0.59 (-2.92, 1.75)</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2BA4B052">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0.611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241EFF69">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+0.84 (-6.05, 7.74)</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24F5152B">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0.804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5A432B31">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-0.22 (-4.63, 4.18)</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39FBDE53">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0.917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1932FCB5">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-1.07 (-4.99, 2.85)</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271E269C">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0.581 </w:t>
            </w:r>
          </w:p>
        </w:tc>
      </w:tr>
      <w:tr w14:paraId="3437E781">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60309F8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Dorsal V,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40D0A054">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41.05 ± 12.00</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27A63FFA">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40.57 ± 10.16</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37B33294">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40.21 ± 16.07</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5D1A49E9">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40.80 ± 14.97</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604B92B2">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-0.48 (-3.76, 2.79)</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29750235">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0.765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306BA624">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+0.59 (-1.75, 2.92)</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6CAFF1BC">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0.611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229D2F09">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-0.84 (-7.74, 6.05)</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649E8B9E">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0.804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00F5B779">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+0.22 (-4.18, 4.63)</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58B375FA">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0.917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3853CFBD">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+1.07 (-2.85, 4.99)</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013AC6BC">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0.581 </w:t>
            </w:r>
          </w:p>
        </w:tc>
      </w:tr>
      <w:tr w14:paraId="6196296C">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58F0798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Ventral Q,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14C0053D">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54.69 ± 14.81</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56EA0C8C">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53.62 ± 12.32</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607ED35A">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53.67 ± 13.16</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1B05D593">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53.64 ± 11.14</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48B041F6">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-1.06 (-4.19, 2.06)</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2D656B43">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0.490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362F0B02">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-0.03 (-4.02, 3.96)</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182FDB02">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0.987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409D3019">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-1.02 (-7.25, 5.22)</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7C843A3E">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0.740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4A92C83D">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+0.01 (-3.75, 3.78)</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5012DEB1">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0.994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48219AB6">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+1.03 (-4.03, 6.09)</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445C1C3D">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0.679 </w:t>
            </w:r>
          </w:p>
        </w:tc>
      </w:tr>
      <w:tr w14:paraId="16A77B2B">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2CB64981">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Dorsal Q,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73934561">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45.31 ± 14.81</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158B76C5">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46.38 ± 12.32</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4EDD2DEC">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46.33 ± 13.16</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0D794EA8">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46.36 ± 11.14</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2047D5E4">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+1.06 (-2.06, 4.19)</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01FC2FAF">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0.490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4756D9BF">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+0.03 (-3.96, 4.02)</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094E8543">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0.987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5F44EA9C">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+1.02 (-5.22, 7.25)</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34107750">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0.740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4822DEC4">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-0.01 (-3.78, 3.75)</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6943E601">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0.994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06B83218">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-1.03 (-6.09, 4.03)</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26824F0E">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0.679 </w:t>
            </w:r>
          </w:p>
        </w:tc>
      </w:tr>
      <w:tr w14:paraId="0F79F24E">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3BE2CB47">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Non-ventilated (ventral),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51261434">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4.71 ± 5.46</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6BA2D2E7">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3.69 ± 4.11</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7EC3F614">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5.77 ± 6.15</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5BBEEEF4">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5.54 ± 4.68</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6C6DFFA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-1.02 (-2.57, 0.53)</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416F04FA">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0.188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457E8669">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-0.23 (-2.48, 2.02)</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22DAEAEC">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0.837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46E8EF8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+1.06 (-2.00, 4.11)</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174967FA">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0.484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46972A5C">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+1.85 (-0.25, 3.95)</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65A8DD58">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0.082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2D08EE80">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+0.79 (-2.29, 3.87)</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5EC44F55">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0.602 </w:t>
            </w:r>
          </w:p>
        </w:tc>
      </w:tr>
      <w:tr w14:paraId="74005781">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0163AF98">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Low V/Q (ventral),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1FC161CE">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23.09 ± 11.01</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4FFB5348">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24.31 ± 13.10</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29C19596">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25.75 ± 15.34</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01A176C8">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26.98 ± 12.19</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5BD98A07">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+1.22 (-2.91, 5.34)</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44D93005">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0.550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2B8395E5">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+1.23 (-4.30, 6.76)</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5A31CCDD">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0.652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18EC0556">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+2.66 (-3.97, 9.28)</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7D569175">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0.418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1818002E">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+2.67 (-1.48, 6.82)</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493BE3D1">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0.198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578EB84F">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+0.01 (-6.21, 6.24)</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3F34C071">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0.996 </w:t>
            </w:r>
          </w:p>
        </w:tc>
      </w:tr>
      <w:tr w14:paraId="4052B138">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4D4AC851">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Normal V/Q (ventral),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3C16956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8.91 ± 6.40</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113F8190">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10.88 ± 7.89</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27F873A2">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8.67</w:t>
            </w:r>
            <w:bookmarkStart w:id="0" w:name="_GoBack"/>
            <w:bookmarkEnd w:id="0"/>
            <w:r>
              <w:rPr>
                <w:rFonts w:hint="default" w:ascii="Times New Roman" w:hAnsi="Times New Roman" w:cs="Times New Roman"/>
                <w:b w:val="0"/>
                <w:color w:val="000000"/>
                <w:sz w:val="18"/>
                <w:szCs w:val="18"/>
              </w:rPr>
              <w:t xml:space="preserve"> ± 6.55</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54515FAC">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8.43 ± 6.00</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748A48DD">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+1.97 (-0.90, 4.84)</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153AF84B">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0.171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617B72ED">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-0.24 (-3.10, 2.62)</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28E76F76">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0.864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6C7F1376">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-0.24 (-3.46, 2.98)</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0EE6CCC2">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0.879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7BE09ACE">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-2.45 (-5.32, 0.43)</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7898ABC1">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0.092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4357958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-2.21 (-5.08, 0.67)</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5D664456">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0.127 </w:t>
            </w:r>
          </w:p>
        </w:tc>
      </w:tr>
      <w:tr w14:paraId="31325253">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3056926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High V/Q (ventral),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6999B6E0">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6.40 ± 7.86</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0B5140D7">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7.31 ± 9.33</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68F13C4F">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5.60 ± 6.02</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211FFCB2">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5.14 ± 7.07</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4E803C75">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+0.90 (-1.98, 3.79)</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79959DC6">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0.526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465A7718">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-0.46 (-2.88, 1.96)</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363A893E">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0.701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4D117A44">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-0.80 (-4.09, 2.48)</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38FE64FD">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0.620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0BCF50C0">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-2.17 (-5.02, 0.69)</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0F5BA6E9">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0.131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7527CE64">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-1.36 (-4.49, 1.76)</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6088DB61">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0.379 </w:t>
            </w:r>
          </w:p>
        </w:tc>
      </w:tr>
      <w:tr w14:paraId="2C93E712">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03923E1E">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Non-perfused (ventral),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708AC71E">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10.73 ± 7.48</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1953CBE5">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6.98 ± 6.70</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4CDFD8BE">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6.04 ± 5.01</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589AE825">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4.92 ± 4.37</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6986EAB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-3.75 (-6.19, -1.31)</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2B73912E">
            <w:pPr>
              <w:keepNext w:val="0"/>
              <w:keepLines w:val="0"/>
              <w:widowControl/>
              <w:suppressLineNumbers w:val="0"/>
              <w:jc w:val="right"/>
              <w:textAlignment w:val="bottom"/>
              <w:rPr>
                <w:rFonts w:hint="default" w:ascii="Times New Roman" w:hAnsi="Times New Roman" w:cs="Times New Roman"/>
                <w:b/>
                <w:bCs/>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 xml:space="preserve">0.004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3527B63E">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-1.11 (-3.38, 1.16)</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378EE1EE">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0.323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2D408E2D">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-4.69 (-8.00, -1.38)</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39AC02C3">
            <w:pPr>
              <w:keepNext w:val="0"/>
              <w:keepLines w:val="0"/>
              <w:widowControl/>
              <w:suppressLineNumbers w:val="0"/>
              <w:jc w:val="right"/>
              <w:textAlignment w:val="bottom"/>
              <w:rPr>
                <w:rFonts w:hint="default" w:ascii="Times New Roman" w:hAnsi="Times New Roman" w:cs="Times New Roman"/>
                <w:b/>
                <w:bCs/>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 xml:space="preserve">0.007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778C3E71">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-2.05 (-4.86, 0.75)</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1D00529A">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0.145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31EF78FE">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+2.64 (-0.74, 6.01)</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5B9E96F8">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0.121 </w:t>
            </w:r>
          </w:p>
        </w:tc>
      </w:tr>
      <w:tr w14:paraId="555CC419">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043958E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Non-ventilated (dorsal),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6EFA8F8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7.29 ± 6.26</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7FE711FE">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7.46 ± 5.39</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09F08C70">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7.91 ± 8.91</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7EA430F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8.26 ± 7.92</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3662A50D">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+0.17 (-1.99, 2.33)</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11367FB0">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0.870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261212DD">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+0.34 (-2.56, 3.25)</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3C54E606">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0.810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0B191736">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+0.63 (-3.60, 4.86)</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7E17ABE9">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0.763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50821315">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+0.80 (-2.24, 3.84)</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24E99F15">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0.594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5EA8F27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+0.17 (-3.55, 3.89)</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28AB1DF9">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0.926 </w:t>
            </w:r>
          </w:p>
        </w:tc>
      </w:tr>
      <w:tr w14:paraId="33E41B53">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423A45BD">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Low V/Q (dorsal),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3FA3BE86">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23.83 ± 13.60</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0D283DFF">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27.17 ± 13.77</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13A5D956">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27.63 ± 13.69</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33547B87">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31.64 ± 13.02</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519386CB">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+3.34 (-0.44, 7.12)</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6CC898AA">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0.081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01D225BE">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+4.01 (0.32, 7.70)</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0B800213">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b/>
                <w:bCs/>
                <w:i w:val="0"/>
                <w:iCs w:val="0"/>
                <w:color w:val="000000"/>
                <w:kern w:val="0"/>
                <w:sz w:val="18"/>
                <w:szCs w:val="18"/>
                <w:u w:val="none"/>
                <w:lang w:val="en-US" w:eastAsia="zh-CN" w:bidi="ar"/>
              </w:rPr>
              <w:t>0.034</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36D7CF37">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+3.80 (-0.54, 8.13)</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1DC3F2FB">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0.084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5CE23B28">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+4.47 (0.78, 8.15)</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14D78785">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 xml:space="preserve">0.019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7DB580A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+0.67 (-4.81, 6.15)</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5D8618CB">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0.804 </w:t>
            </w:r>
          </w:p>
        </w:tc>
      </w:tr>
      <w:tr w14:paraId="651776DB">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0CB3375D">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Normal V/Q (dorsal),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48DE81E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4.94 ± 4.03</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1CE39425">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5.78 ± 5.52</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596C92B6">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6.39 ± 7.49</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0810A5A7">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4.00 ± 5.18</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2F713DEB">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+0.84 (-0.72, 2.39)</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3665F421">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0.278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76ED2B16">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-2.39 (-5.34, 0.57)</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20A26446">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0.109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3D7B7A9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+1.45 (-1.41, 4.31)</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533EC20A">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0.306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0B382EAD">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-1.77 (-4.00, 0.45)</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7FEB5757">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0.114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6B0AAC7D">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-3.23 (-6.72, 0.26)</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661ADEDA">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0.069 </w:t>
            </w:r>
          </w:p>
        </w:tc>
      </w:tr>
      <w:tr w14:paraId="1FB7E044">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79B1829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High V/Q (dorsal),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327998A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2.96 ± 3.96</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3BBE9A9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2.83 ± 5.90</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7FE72CA4">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3.16 ± 6.67</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7309A5AD">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2.46 ± 5.12</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5FDA05DD">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-0.12 (-2.21, 1.96)</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4AEE4B95">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0.904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44D30D0D">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-0.70 (-2.66, 1.26)</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6154C54A">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0.470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7D7F57A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+0.20 (-1.85, 2.25)</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37A7C3DC">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0.842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4A5E5247">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-0.37 (-2.55, 1.80)</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3309C772">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0.727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040380C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-0.58 (-3.60, 2.45)</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0E956748">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0.699 </w:t>
            </w:r>
          </w:p>
        </w:tc>
      </w:tr>
      <w:tr w14:paraId="70DBD3CC">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04BC37C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Non-perfused (dorsal),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0BE808A0">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7.13 ± 6.21</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248B8240">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3.61 ± 3.07</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368F8571">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3.06 ± 3.07</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592594BC">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2.62 ± 3.36</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0CFA700E">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-3.53 (-5.48, -1.57)</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5727B030">
            <w:pPr>
              <w:keepNext w:val="0"/>
              <w:keepLines w:val="0"/>
              <w:widowControl/>
              <w:suppressLineNumbers w:val="0"/>
              <w:jc w:val="right"/>
              <w:textAlignment w:val="bottom"/>
              <w:rPr>
                <w:rFonts w:hint="default" w:ascii="Times New Roman" w:hAnsi="Times New Roman" w:cs="Times New Roman"/>
                <w:b/>
                <w:bCs/>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 xml:space="preserve">0.001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23DCB8C5">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-0.44 (-2.03, 1.14)</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1575C005">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0.571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101D2191">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-4.07 (-6.50, -1.65)</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25C50651">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0.002</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1DB962B1">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-0.99 (-2.72, 0.75)</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702399A9">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0.254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2AEC5D55">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+3.08 (0.82, 5.35)</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3426A4DD">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0.009</w:t>
            </w:r>
            <w:r>
              <w:rPr>
                <w:rFonts w:hint="default" w:ascii="Times New Roman" w:hAnsi="Times New Roman" w:eastAsia="宋体" w:cs="Times New Roman"/>
                <w:i w:val="0"/>
                <w:iCs w:val="0"/>
                <w:color w:val="000000"/>
                <w:kern w:val="0"/>
                <w:sz w:val="18"/>
                <w:szCs w:val="18"/>
                <w:u w:val="none"/>
                <w:lang w:val="en-US" w:eastAsia="zh-CN" w:bidi="ar"/>
              </w:rPr>
              <w:t xml:space="preserve"> </w:t>
            </w:r>
          </w:p>
        </w:tc>
      </w:tr>
      <w:tr w14:paraId="633F0E11">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5147B374">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Wasted ventilation (ventral),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664CDE86">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12.00 ± 8.43</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1ADFF9FF">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7.61 ± 6.01</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324CA9E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7.75 ± 7.53</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7EBBD0CE">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6.07 ± 6.12</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59BD27E1">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-4.39 (-7.11, -1.68)</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62E6C6FA">
            <w:pPr>
              <w:keepNext w:val="0"/>
              <w:keepLines w:val="0"/>
              <w:widowControl/>
              <w:suppressLineNumbers w:val="0"/>
              <w:jc w:val="right"/>
              <w:textAlignment w:val="bottom"/>
              <w:rPr>
                <w:rFonts w:hint="default" w:ascii="Times New Roman" w:hAnsi="Times New Roman" w:cs="Times New Roman"/>
                <w:b/>
                <w:bCs/>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 xml:space="preserve">0.003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6BBDFD3B">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-1.68 (-4.50, 1.14)</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02937D7F">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0.232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7003AAAF">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-4.25 (-8.34, -0.16)</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2E932960">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 xml:space="preserve">0.042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2521C1A5">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-1.54 (-3.49, 0.42)</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47D4E129">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0.119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5C4B7CC2">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+2.71 (-1.50, 6.93)</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064F7209">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0.197 </w:t>
            </w:r>
          </w:p>
        </w:tc>
      </w:tr>
      <w:tr w14:paraId="1C713F2F">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356A6DAF">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Wasted ventilation (dorsal),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372790EB">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6.57 ± 11.72</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6DCC665F">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2.82 ± 4.24</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078E7810">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2.86 ± 4.62</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2836BC8B">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2.29 ± 4.17</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3512305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-3.75 (-6.94, -0.56)</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6ED0F09F">
            <w:pPr>
              <w:keepNext w:val="0"/>
              <w:keepLines w:val="0"/>
              <w:widowControl/>
              <w:suppressLineNumbers w:val="0"/>
              <w:jc w:val="right"/>
              <w:textAlignment w:val="bottom"/>
              <w:rPr>
                <w:rFonts w:hint="default" w:ascii="Times New Roman" w:hAnsi="Times New Roman" w:cs="Times New Roman"/>
                <w:b/>
                <w:bCs/>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 xml:space="preserve">0.023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4D4491B0">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-0.57 (-2.41, 1.27)</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6E57DFFA">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0.530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47619C9E">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-3.71 (-8.40, 0.97)</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07C9A8CD">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0.115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0ABDEBBF">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-0.54 (-2.79, 1.72)</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2327D987">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0.629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14FD475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+3.18 (-0.54, 6.90)</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20D072E6">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0.091 </w:t>
            </w:r>
          </w:p>
        </w:tc>
      </w:tr>
      <w:tr w14:paraId="59430BAA">
        <w:tblPrEx>
          <w:tblCellMar>
            <w:top w:w="0" w:type="dxa"/>
            <w:left w:w="108" w:type="dxa"/>
            <w:bottom w:w="0" w:type="dxa"/>
            <w:right w:w="108" w:type="dxa"/>
          </w:tblCellMar>
        </w:tblPrEx>
        <w:trPr>
          <w:trHeight w:val="0" w:hRule="atLeast"/>
          <w:jc w:val="center"/>
        </w:trPr>
        <w:tc>
          <w:tcPr>
            <w:tcW w:w="661" w:type="pct"/>
            <w:tcBorders>
              <w:top w:val="nil"/>
              <w:left w:val="nil"/>
              <w:bottom w:val="nil"/>
              <w:right w:val="nil"/>
            </w:tcBorders>
            <w:shd w:val="clear" w:color="auto" w:fill="FFFFFF"/>
            <w:tcMar>
              <w:top w:w="40" w:type="dxa"/>
              <w:left w:w="45" w:type="dxa"/>
              <w:bottom w:w="40" w:type="dxa"/>
              <w:right w:w="45" w:type="dxa"/>
            </w:tcMar>
            <w:vAlign w:val="center"/>
          </w:tcPr>
          <w:p w14:paraId="33657227">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Wasted perfusion (ventral), %</w:t>
            </w:r>
          </w:p>
        </w:tc>
        <w:tc>
          <w:tcPr>
            <w:tcW w:w="296" w:type="pct"/>
            <w:tcBorders>
              <w:top w:val="nil"/>
              <w:left w:val="nil"/>
              <w:bottom w:val="nil"/>
              <w:right w:val="nil"/>
            </w:tcBorders>
            <w:shd w:val="clear" w:color="auto" w:fill="FFFFFF"/>
            <w:tcMar>
              <w:top w:w="40" w:type="dxa"/>
              <w:left w:w="45" w:type="dxa"/>
              <w:bottom w:w="40" w:type="dxa"/>
              <w:right w:w="45" w:type="dxa"/>
            </w:tcMar>
            <w:vAlign w:val="center"/>
          </w:tcPr>
          <w:p w14:paraId="38D318E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15.32 ± 8.11</w:t>
            </w:r>
          </w:p>
        </w:tc>
        <w:tc>
          <w:tcPr>
            <w:tcW w:w="317" w:type="pct"/>
            <w:tcBorders>
              <w:top w:val="nil"/>
              <w:left w:val="nil"/>
              <w:bottom w:val="nil"/>
              <w:right w:val="nil"/>
            </w:tcBorders>
            <w:shd w:val="clear" w:color="auto" w:fill="FFFFFF"/>
            <w:tcMar>
              <w:top w:w="40" w:type="dxa"/>
              <w:left w:w="45" w:type="dxa"/>
              <w:bottom w:w="40" w:type="dxa"/>
              <w:right w:w="45" w:type="dxa"/>
            </w:tcMar>
            <w:vAlign w:val="center"/>
          </w:tcPr>
          <w:p w14:paraId="1FF451B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11.89 ± 6.35</w:t>
            </w:r>
          </w:p>
        </w:tc>
        <w:tc>
          <w:tcPr>
            <w:tcW w:w="298" w:type="pct"/>
            <w:tcBorders>
              <w:top w:val="nil"/>
              <w:left w:val="nil"/>
              <w:bottom w:val="nil"/>
              <w:right w:val="nil"/>
            </w:tcBorders>
            <w:shd w:val="clear" w:color="auto" w:fill="FFFFFF"/>
            <w:tcMar>
              <w:top w:w="40" w:type="dxa"/>
              <w:left w:w="45" w:type="dxa"/>
              <w:bottom w:w="40" w:type="dxa"/>
              <w:right w:w="45" w:type="dxa"/>
            </w:tcMar>
            <w:vAlign w:val="center"/>
          </w:tcPr>
          <w:p w14:paraId="60868FF2">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14.96 ± 7.57</w:t>
            </w:r>
          </w:p>
        </w:tc>
        <w:tc>
          <w:tcPr>
            <w:tcW w:w="323" w:type="pct"/>
            <w:tcBorders>
              <w:top w:val="nil"/>
              <w:left w:val="nil"/>
              <w:bottom w:val="nil"/>
              <w:right w:val="nil"/>
            </w:tcBorders>
            <w:shd w:val="clear" w:color="auto" w:fill="FFFFFF"/>
            <w:tcMar>
              <w:top w:w="40" w:type="dxa"/>
              <w:left w:w="45" w:type="dxa"/>
              <w:bottom w:w="40" w:type="dxa"/>
              <w:right w:w="45" w:type="dxa"/>
            </w:tcMar>
            <w:vAlign w:val="center"/>
          </w:tcPr>
          <w:p w14:paraId="251D5A0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14.39 ± 5.40</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08C2DA8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-3.43 (-5.67, -1.19)</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57E06DE1">
            <w:pPr>
              <w:keepNext w:val="0"/>
              <w:keepLines w:val="0"/>
              <w:widowControl/>
              <w:suppressLineNumbers w:val="0"/>
              <w:jc w:val="right"/>
              <w:textAlignment w:val="bottom"/>
              <w:rPr>
                <w:rFonts w:hint="default" w:ascii="Times New Roman" w:hAnsi="Times New Roman" w:cs="Times New Roman"/>
                <w:b/>
                <w:bCs/>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 xml:space="preserve">0.004 </w:t>
            </w:r>
          </w:p>
        </w:tc>
        <w:tc>
          <w:tcPr>
            <w:tcW w:w="440" w:type="pct"/>
            <w:tcBorders>
              <w:top w:val="nil"/>
              <w:left w:val="nil"/>
              <w:bottom w:val="nil"/>
              <w:right w:val="nil"/>
            </w:tcBorders>
            <w:shd w:val="clear" w:color="auto" w:fill="FFFFFF"/>
            <w:tcMar>
              <w:top w:w="40" w:type="dxa"/>
              <w:left w:w="45" w:type="dxa"/>
              <w:bottom w:w="40" w:type="dxa"/>
              <w:right w:w="45" w:type="dxa"/>
            </w:tcMar>
            <w:vAlign w:val="center"/>
          </w:tcPr>
          <w:p w14:paraId="288202CB">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-0.57 (-3.72, 2.57)</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089D26D7">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0.712 </w:t>
            </w:r>
          </w:p>
        </w:tc>
        <w:tc>
          <w:tcPr>
            <w:tcW w:w="435" w:type="pct"/>
            <w:tcBorders>
              <w:top w:val="nil"/>
              <w:left w:val="nil"/>
              <w:bottom w:val="nil"/>
              <w:right w:val="nil"/>
            </w:tcBorders>
            <w:shd w:val="clear" w:color="auto" w:fill="FFFFFF"/>
            <w:tcMar>
              <w:top w:w="40" w:type="dxa"/>
              <w:left w:w="45" w:type="dxa"/>
              <w:bottom w:w="40" w:type="dxa"/>
              <w:right w:w="45" w:type="dxa"/>
            </w:tcMar>
            <w:vAlign w:val="center"/>
          </w:tcPr>
          <w:p w14:paraId="7CA36F8B">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-0.36 (-4.59, 3.87)</w:t>
            </w:r>
          </w:p>
        </w:tc>
        <w:tc>
          <w:tcPr>
            <w:tcW w:w="536" w:type="dxa"/>
            <w:tcBorders>
              <w:top w:val="nil"/>
              <w:left w:val="nil"/>
              <w:bottom w:val="nil"/>
              <w:right w:val="nil"/>
            </w:tcBorders>
            <w:shd w:val="clear" w:color="auto" w:fill="FFFFFF"/>
            <w:tcMar>
              <w:top w:w="40" w:type="dxa"/>
              <w:left w:w="45" w:type="dxa"/>
              <w:bottom w:w="40" w:type="dxa"/>
              <w:right w:w="45" w:type="dxa"/>
            </w:tcMar>
            <w:vAlign w:val="bottom"/>
          </w:tcPr>
          <w:p w14:paraId="6792C7A5">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0.864 </w:t>
            </w:r>
          </w:p>
        </w:tc>
        <w:tc>
          <w:tcPr>
            <w:tcW w:w="436" w:type="pct"/>
            <w:tcBorders>
              <w:top w:val="nil"/>
              <w:left w:val="nil"/>
              <w:bottom w:val="nil"/>
              <w:right w:val="nil"/>
            </w:tcBorders>
            <w:shd w:val="clear" w:color="auto" w:fill="FFFFFF"/>
            <w:tcMar>
              <w:top w:w="40" w:type="dxa"/>
              <w:left w:w="45" w:type="dxa"/>
              <w:bottom w:w="40" w:type="dxa"/>
              <w:right w:w="45" w:type="dxa"/>
            </w:tcMar>
            <w:vAlign w:val="center"/>
          </w:tcPr>
          <w:p w14:paraId="6C12841F">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+2.50 (0.24, 4.76)</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1D3D1684">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0.031</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441" w:type="pct"/>
            <w:tcBorders>
              <w:top w:val="nil"/>
              <w:left w:val="nil"/>
              <w:bottom w:val="nil"/>
              <w:right w:val="nil"/>
            </w:tcBorders>
            <w:shd w:val="clear" w:color="auto" w:fill="FFFFFF"/>
            <w:tcMar>
              <w:top w:w="40" w:type="dxa"/>
              <w:left w:w="45" w:type="dxa"/>
              <w:bottom w:w="40" w:type="dxa"/>
              <w:right w:w="45" w:type="dxa"/>
            </w:tcMar>
            <w:vAlign w:val="center"/>
          </w:tcPr>
          <w:p w14:paraId="5933AF22">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+2.86 (-0.82, 6.54)</w:t>
            </w:r>
          </w:p>
        </w:tc>
        <w:tc>
          <w:tcPr>
            <w:tcW w:w="202" w:type="pct"/>
            <w:tcBorders>
              <w:top w:val="nil"/>
              <w:left w:val="nil"/>
              <w:bottom w:val="nil"/>
              <w:right w:val="nil"/>
            </w:tcBorders>
            <w:shd w:val="clear" w:color="auto" w:fill="FFFFFF"/>
            <w:tcMar>
              <w:top w:w="40" w:type="dxa"/>
              <w:left w:w="45" w:type="dxa"/>
              <w:bottom w:w="40" w:type="dxa"/>
              <w:right w:w="45" w:type="dxa"/>
            </w:tcMar>
            <w:vAlign w:val="bottom"/>
          </w:tcPr>
          <w:p w14:paraId="49FDA0B7">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0.123 </w:t>
            </w:r>
          </w:p>
        </w:tc>
      </w:tr>
      <w:tr w14:paraId="00EA1FC6">
        <w:tblPrEx>
          <w:tblCellMar>
            <w:top w:w="0" w:type="dxa"/>
            <w:left w:w="108" w:type="dxa"/>
            <w:bottom w:w="0" w:type="dxa"/>
            <w:right w:w="108" w:type="dxa"/>
          </w:tblCellMar>
        </w:tblPrEx>
        <w:trPr>
          <w:trHeight w:val="0" w:hRule="atLeast"/>
          <w:jc w:val="center"/>
        </w:trPr>
        <w:tc>
          <w:tcPr>
            <w:tcW w:w="661"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01842C63">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Wasted perfusion (dorsal), %</w:t>
            </w:r>
          </w:p>
        </w:tc>
        <w:tc>
          <w:tcPr>
            <w:tcW w:w="296"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105DBD77">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17.79 ± 9.32</w:t>
            </w:r>
          </w:p>
        </w:tc>
        <w:tc>
          <w:tcPr>
            <w:tcW w:w="317"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00CF0B42">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15.32 ± 7.77</w:t>
            </w:r>
          </w:p>
        </w:tc>
        <w:tc>
          <w:tcPr>
            <w:tcW w:w="298"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43409234">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15.86 ± 8.83</w:t>
            </w:r>
          </w:p>
        </w:tc>
        <w:tc>
          <w:tcPr>
            <w:tcW w:w="323"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08F21129">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15.86 ± 7.18</w:t>
            </w:r>
          </w:p>
        </w:tc>
        <w:tc>
          <w:tcPr>
            <w:tcW w:w="441"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0674EE2D">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-2.46 (-4.78, -0.15)</w:t>
            </w:r>
          </w:p>
        </w:tc>
        <w:tc>
          <w:tcPr>
            <w:tcW w:w="536" w:type="dxa"/>
            <w:tcBorders>
              <w:top w:val="nil"/>
              <w:left w:val="nil"/>
              <w:bottom w:val="single" w:color="000000" w:sz="4" w:space="0"/>
              <w:right w:val="nil"/>
            </w:tcBorders>
            <w:shd w:val="clear" w:color="auto" w:fill="FFFFFF"/>
            <w:tcMar>
              <w:top w:w="40" w:type="dxa"/>
              <w:left w:w="45" w:type="dxa"/>
              <w:bottom w:w="40" w:type="dxa"/>
              <w:right w:w="45" w:type="dxa"/>
            </w:tcMar>
            <w:vAlign w:val="bottom"/>
          </w:tcPr>
          <w:p w14:paraId="1809322D">
            <w:pPr>
              <w:keepNext w:val="0"/>
              <w:keepLines w:val="0"/>
              <w:widowControl/>
              <w:suppressLineNumbers w:val="0"/>
              <w:jc w:val="right"/>
              <w:textAlignment w:val="bottom"/>
              <w:rPr>
                <w:rFonts w:hint="default" w:ascii="Times New Roman" w:hAnsi="Times New Roman" w:cs="Times New Roman"/>
                <w:b/>
                <w:bCs/>
                <w:color w:val="000000"/>
                <w:sz w:val="18"/>
                <w:szCs w:val="18"/>
              </w:rPr>
            </w:pPr>
            <w:r>
              <w:rPr>
                <w:rFonts w:hint="default" w:ascii="Times New Roman" w:hAnsi="Times New Roman" w:eastAsia="宋体" w:cs="Times New Roman"/>
                <w:b/>
                <w:bCs/>
                <w:i w:val="0"/>
                <w:iCs w:val="0"/>
                <w:color w:val="000000"/>
                <w:kern w:val="0"/>
                <w:sz w:val="18"/>
                <w:szCs w:val="18"/>
                <w:u w:val="none"/>
                <w:lang w:val="en-US" w:eastAsia="zh-CN" w:bidi="ar"/>
              </w:rPr>
              <w:t xml:space="preserve">0.038 </w:t>
            </w:r>
          </w:p>
        </w:tc>
        <w:tc>
          <w:tcPr>
            <w:tcW w:w="440"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58B941B3">
            <w:pPr>
              <w:snapToGrid w:val="0"/>
              <w:spacing w:before="0" w:after="0"/>
              <w:ind w:left="0" w:leftChars="0" w:right="0" w:rightChars="0" w:firstLine="0" w:firstLineChars="0"/>
              <w:jc w:val="center"/>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cs="Times New Roman"/>
                <w:b w:val="0"/>
                <w:color w:val="000000"/>
                <w:sz w:val="18"/>
                <w:szCs w:val="18"/>
              </w:rPr>
              <w:t>+0.00 (-3.37, 3.37)</w:t>
            </w:r>
          </w:p>
        </w:tc>
        <w:tc>
          <w:tcPr>
            <w:tcW w:w="536" w:type="dxa"/>
            <w:tcBorders>
              <w:top w:val="nil"/>
              <w:left w:val="nil"/>
              <w:bottom w:val="single" w:color="000000" w:sz="4" w:space="0"/>
              <w:right w:val="nil"/>
            </w:tcBorders>
            <w:shd w:val="clear" w:color="auto" w:fill="FFFFFF"/>
            <w:tcMar>
              <w:top w:w="40" w:type="dxa"/>
              <w:left w:w="45" w:type="dxa"/>
              <w:bottom w:w="40" w:type="dxa"/>
              <w:right w:w="45" w:type="dxa"/>
            </w:tcMar>
            <w:vAlign w:val="bottom"/>
          </w:tcPr>
          <w:p w14:paraId="0B9424A9">
            <w:pPr>
              <w:keepNext w:val="0"/>
              <w:keepLines w:val="0"/>
              <w:widowControl/>
              <w:suppressLineNumbers w:val="0"/>
              <w:jc w:val="right"/>
              <w:textAlignment w:val="bottom"/>
              <w:rPr>
                <w:rFonts w:hint="default" w:ascii="Times New Roman" w:hAnsi="Times New Roman" w:cs="Times New Roman" w:eastAsiaTheme="minorEastAsia"/>
                <w:b w:val="0"/>
                <w:color w:val="000000"/>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1.000 </w:t>
            </w:r>
          </w:p>
        </w:tc>
        <w:tc>
          <w:tcPr>
            <w:tcW w:w="435"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25E2E0D5">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-1.93 (-6.42, 2.56)</w:t>
            </w:r>
          </w:p>
        </w:tc>
        <w:tc>
          <w:tcPr>
            <w:tcW w:w="536" w:type="dxa"/>
            <w:tcBorders>
              <w:top w:val="nil"/>
              <w:left w:val="nil"/>
              <w:bottom w:val="single" w:color="000000" w:sz="4" w:space="0"/>
              <w:right w:val="nil"/>
            </w:tcBorders>
            <w:shd w:val="clear" w:color="auto" w:fill="FFFFFF"/>
            <w:tcMar>
              <w:top w:w="40" w:type="dxa"/>
              <w:left w:w="45" w:type="dxa"/>
              <w:bottom w:w="40" w:type="dxa"/>
              <w:right w:w="45" w:type="dxa"/>
            </w:tcMar>
            <w:vAlign w:val="bottom"/>
          </w:tcPr>
          <w:p w14:paraId="3BD831AE">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0.386 </w:t>
            </w:r>
          </w:p>
        </w:tc>
        <w:tc>
          <w:tcPr>
            <w:tcW w:w="436"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09A6F1FA">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+0.54 (-1.83, 2.91)</w:t>
            </w:r>
          </w:p>
        </w:tc>
        <w:tc>
          <w:tcPr>
            <w:tcW w:w="202" w:type="pct"/>
            <w:tcBorders>
              <w:top w:val="nil"/>
              <w:left w:val="nil"/>
              <w:bottom w:val="single" w:color="000000" w:sz="4" w:space="0"/>
              <w:right w:val="nil"/>
            </w:tcBorders>
            <w:shd w:val="clear" w:color="auto" w:fill="FFFFFF"/>
            <w:tcMar>
              <w:top w:w="40" w:type="dxa"/>
              <w:left w:w="45" w:type="dxa"/>
              <w:bottom w:w="40" w:type="dxa"/>
              <w:right w:w="45" w:type="dxa"/>
            </w:tcMar>
            <w:vAlign w:val="bottom"/>
          </w:tcPr>
          <w:p w14:paraId="1870635C">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0.647 </w:t>
            </w:r>
          </w:p>
        </w:tc>
        <w:tc>
          <w:tcPr>
            <w:tcW w:w="441" w:type="pct"/>
            <w:tcBorders>
              <w:top w:val="nil"/>
              <w:left w:val="nil"/>
              <w:bottom w:val="single" w:color="000000" w:sz="4" w:space="0"/>
              <w:right w:val="nil"/>
            </w:tcBorders>
            <w:shd w:val="clear" w:color="auto" w:fill="FFFFFF"/>
            <w:tcMar>
              <w:top w:w="40" w:type="dxa"/>
              <w:left w:w="45" w:type="dxa"/>
              <w:bottom w:w="40" w:type="dxa"/>
              <w:right w:w="45" w:type="dxa"/>
            </w:tcMar>
            <w:vAlign w:val="center"/>
          </w:tcPr>
          <w:p w14:paraId="457A9294">
            <w:pPr>
              <w:snapToGrid w:val="0"/>
              <w:spacing w:before="0" w:after="0"/>
              <w:ind w:left="0" w:leftChars="0" w:right="0" w:rightChars="0" w:firstLine="0" w:firstLineChars="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+2.46 (-1.10, 6.03)</w:t>
            </w:r>
          </w:p>
        </w:tc>
        <w:tc>
          <w:tcPr>
            <w:tcW w:w="202" w:type="pct"/>
            <w:tcBorders>
              <w:top w:val="nil"/>
              <w:left w:val="nil"/>
              <w:bottom w:val="single" w:color="000000" w:sz="4" w:space="0"/>
              <w:right w:val="nil"/>
            </w:tcBorders>
            <w:shd w:val="clear" w:color="auto" w:fill="FFFFFF"/>
            <w:tcMar>
              <w:top w:w="40" w:type="dxa"/>
              <w:left w:w="45" w:type="dxa"/>
              <w:bottom w:w="40" w:type="dxa"/>
              <w:right w:w="45" w:type="dxa"/>
            </w:tcMar>
            <w:vAlign w:val="bottom"/>
          </w:tcPr>
          <w:p w14:paraId="4A8E2721">
            <w:pPr>
              <w:keepNext w:val="0"/>
              <w:keepLines w:val="0"/>
              <w:widowControl/>
              <w:suppressLineNumbers w:val="0"/>
              <w:jc w:val="right"/>
              <w:textAlignment w:val="bottom"/>
              <w:rPr>
                <w:rFonts w:hint="default" w:ascii="Times New Roman" w:hAnsi="Times New Roman" w:cs="Times New Roman"/>
                <w:b w:val="0"/>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 xml:space="preserve">0.167 </w:t>
            </w:r>
          </w:p>
        </w:tc>
      </w:tr>
    </w:tbl>
    <w:p w14:paraId="3C484CC9">
      <w:pPr>
        <w:spacing w:before="80" w:after="0"/>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Values are mean ± SD.</w:t>
      </w:r>
    </w:p>
    <w:p w14:paraId="2078B3FC">
      <w:pPr>
        <w:spacing w:before="80" w:after="0"/>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CI, confidence interval; DiD, difference-in-differences; EIT, electrical impedance tomography; GIper, global inhomogeneity index for perfusion; GIven, global inhomogeneity index for ventilation; GIvq, global inhomogeneity index for ventilation/perfusion matching; iNO, inhaled nitric oxide; PPV, prone position ventilation; q, false discovery rate-adjusted p-value; Q, perfusion; SD, standard deviation; SPV, supine position ventilation; V, ventilation; V/Q, ventilation-to-perfusion ratio.</w:t>
      </w:r>
    </w:p>
    <w:p w14:paraId="013E6D26">
      <w:pPr>
        <w:spacing w:before="80" w:after="0"/>
        <w:rPr>
          <w:rFonts w:hint="default" w:ascii="Times New Roman" w:hAnsi="Times New Roman" w:cs="Times New Roman"/>
          <w:b w:val="0"/>
          <w:color w:val="auto"/>
          <w:sz w:val="18"/>
          <w:szCs w:val="18"/>
        </w:rPr>
      </w:pPr>
      <w:r>
        <w:rPr>
          <w:rFonts w:hint="default" w:ascii="Times New Roman" w:hAnsi="Times New Roman" w:cs="Times New Roman"/>
          <w:b w:val="0"/>
          <w:color w:val="auto"/>
          <w:sz w:val="18"/>
          <w:szCs w:val="18"/>
        </w:rPr>
        <w:t>q values are Benjamini–Hochberg adjusted p values within this table. Bold q values indicate q &lt; 0.05.</w:t>
      </w:r>
    </w:p>
    <w:p w14:paraId="27DB5927">
      <w:pP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br w:type="page"/>
      </w:r>
    </w:p>
    <w:p w14:paraId="2C1AAE11">
      <w:pPr>
        <w:spacing w:before="80" w:after="0"/>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Supplementary Figure 1. Heatmap of paired effect sizes across prespecified between-condition contrasts for selected EIT-derived variables.</w:t>
      </w:r>
    </w:p>
    <w:p w14:paraId="436CF397">
      <w:pPr>
        <w:rPr>
          <w:rFonts w:hint="default" w:ascii="Times New Roman" w:hAnsi="Times New Roman" w:cs="Times New Roman" w:eastAsiaTheme="minorEastAsia"/>
          <w:b w:val="0"/>
          <w:bCs w:val="0"/>
          <w:color w:val="auto"/>
          <w:sz w:val="18"/>
          <w:szCs w:val="18"/>
          <w:lang w:eastAsia="zh-CN"/>
        </w:rPr>
      </w:pPr>
      <w:r>
        <w:rPr>
          <w:rFonts w:hint="default" w:ascii="Times New Roman" w:hAnsi="Times New Roman" w:cs="Times New Roman" w:eastAsiaTheme="minorEastAsia"/>
          <w:b w:val="0"/>
          <w:bCs w:val="0"/>
          <w:color w:val="auto"/>
          <w:sz w:val="18"/>
          <w:szCs w:val="18"/>
          <w:lang w:eastAsia="zh-CN"/>
        </w:rPr>
        <w:drawing>
          <wp:anchor distT="0" distB="0" distL="114300" distR="114300" simplePos="0" relativeHeight="251659264" behindDoc="0" locked="0" layoutInCell="1" allowOverlap="1">
            <wp:simplePos x="0" y="0"/>
            <wp:positionH relativeFrom="column">
              <wp:posOffset>112395</wp:posOffset>
            </wp:positionH>
            <wp:positionV relativeFrom="paragraph">
              <wp:posOffset>180975</wp:posOffset>
            </wp:positionV>
            <wp:extent cx="6795770" cy="5754370"/>
            <wp:effectExtent l="0" t="0" r="1270" b="6350"/>
            <wp:wrapTopAndBottom/>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
                  </pic:blipFill>
                  <pic:spPr>
                    <a:xfrm>
                      <a:off x="0" y="0"/>
                      <a:ext cx="6795770" cy="5754370"/>
                    </a:xfrm>
                    <a:prstGeom prst="rect">
                      <a:avLst/>
                    </a:prstGeom>
                  </pic:spPr>
                </pic:pic>
              </a:graphicData>
            </a:graphic>
          </wp:anchor>
        </w:drawing>
      </w:r>
    </w:p>
    <w:p w14:paraId="22144B85">
      <w:pPr>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The heatmap summarizes the direction and magnitude of changes in selected EIT-derived variables across prespecified within-patient contrasts among the four sequential study conditions. Cell values indicate paired effect sizes, and asterisks denote comparisons remaining significant after false-discovery-rate adjustment. Warmer and cooler colors indicate opposite directions of effect according to the scale shown. This figure is intended to provide an overview of response patterns across variables rather than a standalone basis for statistical inference.</w:t>
      </w:r>
    </w:p>
    <w:p w14:paraId="6969245C">
      <w:pPr>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br w:type="page"/>
      </w:r>
    </w:p>
    <w:p w14:paraId="7972DBC9">
      <w:pP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 xml:space="preserve">Supplementary Figure </w:t>
      </w:r>
      <w:r>
        <w:rPr>
          <w:rFonts w:hint="default" w:ascii="Times New Roman" w:hAnsi="Times New Roman" w:cs="Times New Roman"/>
          <w:b/>
          <w:bCs/>
          <w:color w:val="auto"/>
          <w:sz w:val="18"/>
          <w:szCs w:val="18"/>
          <w:lang w:val="en-US" w:eastAsia="zh-CN"/>
        </w:rPr>
        <w:t>2</w:t>
      </w:r>
      <w:r>
        <w:rPr>
          <w:rFonts w:hint="default" w:ascii="Times New Roman" w:hAnsi="Times New Roman" w:cs="Times New Roman"/>
          <w:b/>
          <w:bCs/>
          <w:color w:val="auto"/>
          <w:sz w:val="18"/>
          <w:szCs w:val="18"/>
        </w:rPr>
        <w:t>. Regional wasted perfusion across the four sequential study conditions.</w:t>
      </w:r>
    </w:p>
    <w:p w14:paraId="20D865B0">
      <w:pPr>
        <w:rPr>
          <w:rFonts w:hint="default" w:ascii="Times New Roman" w:hAnsi="Times New Roman" w:cs="Times New Roman" w:eastAsiaTheme="minorEastAsia"/>
          <w:b w:val="0"/>
          <w:bCs w:val="0"/>
          <w:color w:val="auto"/>
          <w:sz w:val="18"/>
          <w:szCs w:val="18"/>
          <w:lang w:eastAsia="zh-CN"/>
        </w:rPr>
      </w:pPr>
      <w:r>
        <w:drawing>
          <wp:inline distT="0" distB="0" distL="114300" distR="114300">
            <wp:extent cx="5292725" cy="3271520"/>
            <wp:effectExtent l="0" t="0" r="10795" b="5080"/>
            <wp:docPr id="3" name="图片 2" descr="C:/Users/11142/Downloads/ChatGPT Image 2026年6月27日 07_25_46.pngChatGPT Image 2026年6月27日 07_25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Users/11142/Downloads/ChatGPT Image 2026年6月27日 07_25_46.pngChatGPT Image 2026年6月27日 07_25_46"/>
                    <pic:cNvPicPr>
                      <a:picLocks noChangeAspect="1"/>
                    </pic:cNvPicPr>
                  </pic:nvPicPr>
                  <pic:blipFill>
                    <a:blip r:embed="rId5"/>
                    <a:srcRect l="1495" r="1495"/>
                    <a:stretch>
                      <a:fillRect/>
                    </a:stretch>
                  </pic:blipFill>
                  <pic:spPr>
                    <a:xfrm>
                      <a:off x="0" y="0"/>
                      <a:ext cx="5292725" cy="3271520"/>
                    </a:xfrm>
                    <a:prstGeom prst="rect">
                      <a:avLst/>
                    </a:prstGeom>
                    <a:noFill/>
                    <a:ln>
                      <a:noFill/>
                    </a:ln>
                  </pic:spPr>
                </pic:pic>
              </a:graphicData>
            </a:graphic>
          </wp:inline>
        </w:drawing>
      </w:r>
    </w:p>
    <w:p w14:paraId="1198F92B">
      <w:pPr>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Wasted perfusion in ventral (A) and dorsal (B) lung regions across SPV, SPV + iNO, PPV, and PPV + iNO conditions. Data are presented as individual paired observations overlaid on box plots (median and interquartile range; whiskers indicate range). Colored dots represent individual patient measurements, and gray lines indicate within-subject paired changes across sequential conditions. Black diamonds connected by a solid line indicate group medians.</w:t>
      </w:r>
    </w:p>
    <w:p w14:paraId="624C4EB8">
      <w:pPr>
        <w:rPr>
          <w:rFonts w:hint="default" w:ascii="Times New Roman" w:hAnsi="Times New Roman" w:cs="Times New Roman"/>
          <w:b w:val="0"/>
          <w:bCs w:val="0"/>
          <w:color w:val="auto"/>
          <w:sz w:val="18"/>
          <w:szCs w:val="18"/>
        </w:rPr>
      </w:pPr>
    </w:p>
    <w:p w14:paraId="69E34E16">
      <w:pPr>
        <w:rPr>
          <w:rFonts w:hint="default" w:ascii="Times New Roman" w:hAnsi="Times New Roman" w:cs="Times New Roman"/>
          <w:b w:val="0"/>
          <w:bCs w:val="0"/>
          <w:color w:val="auto"/>
          <w:sz w:val="18"/>
          <w:szCs w:val="18"/>
        </w:rPr>
      </w:pPr>
      <w:r>
        <w:rPr>
          <w:rFonts w:hint="default" w:ascii="Times New Roman" w:hAnsi="Times New Roman" w:cs="Times New Roman"/>
          <w:b w:val="0"/>
          <w:bCs w:val="0"/>
          <w:color w:val="auto"/>
          <w:sz w:val="18"/>
          <w:szCs w:val="18"/>
        </w:rPr>
        <w:t>To ensure visual comparability, the y-axis scale is identical in panels A and B (0–60%).</w:t>
      </w:r>
    </w:p>
    <w:p w14:paraId="4F3280CB">
      <w:pPr>
        <w:rPr>
          <w:rFonts w:hint="default" w:ascii="Times New Roman" w:hAnsi="Times New Roman" w:cs="Times New Roman"/>
          <w:b w:val="0"/>
          <w:bCs w:val="0"/>
          <w:color w:val="auto"/>
          <w:sz w:val="18"/>
          <w:szCs w:val="18"/>
        </w:rPr>
      </w:pPr>
    </w:p>
    <w:p w14:paraId="126DB415">
      <w:pPr>
        <w:rPr>
          <w:rFonts w:hint="default" w:ascii="Times New Roman" w:hAnsi="Times New Roman" w:cs="Times New Roman" w:eastAsiaTheme="minorEastAsia"/>
          <w:b w:val="0"/>
          <w:bCs w:val="0"/>
          <w:color w:val="auto"/>
          <w:sz w:val="18"/>
          <w:szCs w:val="18"/>
          <w:lang w:eastAsia="zh-CN"/>
        </w:rPr>
      </w:pPr>
      <w:r>
        <w:rPr>
          <w:rFonts w:hint="default" w:ascii="Times New Roman" w:hAnsi="Times New Roman" w:cs="Times New Roman"/>
          <w:b w:val="0"/>
          <w:bCs w:val="0"/>
          <w:color w:val="auto"/>
          <w:sz w:val="18"/>
          <w:szCs w:val="18"/>
        </w:rPr>
        <w:t>Statistical analysis was performed using prespecified within-patient paired comparisons across the four sequential conditions (SPV, SPV+iNO, PPV, PPV+iNO). Continuous variables were analyzed using paired mean differences with 95% confidence intervals. Because of multiple comparisons across outcome domains, false discovery rate (FDR) correction using the Benjamini–Hochberg method was applied, with adjusted q values &lt; 0.05 considered statistically significant. Given the fixed sequential study design, all comparisons should be interpreted as exploratory physiological analyses rather than causal effects.</w:t>
      </w:r>
    </w:p>
    <w:sectPr>
      <w:pgSz w:w="16838" w:h="11906" w:orient="landscape"/>
      <w:pgMar w:top="720" w:right="493" w:bottom="720" w:left="4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E806CE"/>
    <w:rsid w:val="06655EF0"/>
    <w:rsid w:val="06873CA3"/>
    <w:rsid w:val="0CC815A3"/>
    <w:rsid w:val="0DC90B02"/>
    <w:rsid w:val="0EAC1DBE"/>
    <w:rsid w:val="101E3DAE"/>
    <w:rsid w:val="1092654A"/>
    <w:rsid w:val="10B65D95"/>
    <w:rsid w:val="11E15093"/>
    <w:rsid w:val="14B460BF"/>
    <w:rsid w:val="165D5D0C"/>
    <w:rsid w:val="1A565730"/>
    <w:rsid w:val="1C4F60A6"/>
    <w:rsid w:val="22162B37"/>
    <w:rsid w:val="245F614A"/>
    <w:rsid w:val="253F23A5"/>
    <w:rsid w:val="266320C3"/>
    <w:rsid w:val="2AC670C5"/>
    <w:rsid w:val="2C9254B0"/>
    <w:rsid w:val="30D36097"/>
    <w:rsid w:val="30F66A79"/>
    <w:rsid w:val="31206915"/>
    <w:rsid w:val="320A08DF"/>
    <w:rsid w:val="354D466A"/>
    <w:rsid w:val="36203B2D"/>
    <w:rsid w:val="37500442"/>
    <w:rsid w:val="378660C8"/>
    <w:rsid w:val="38B95B73"/>
    <w:rsid w:val="3C8E413E"/>
    <w:rsid w:val="3D330220"/>
    <w:rsid w:val="400A3D6D"/>
    <w:rsid w:val="40864ED4"/>
    <w:rsid w:val="4141009C"/>
    <w:rsid w:val="42A11B51"/>
    <w:rsid w:val="44E93C84"/>
    <w:rsid w:val="450E6E58"/>
    <w:rsid w:val="472E597E"/>
    <w:rsid w:val="47CE1DE5"/>
    <w:rsid w:val="48435459"/>
    <w:rsid w:val="48DA2C66"/>
    <w:rsid w:val="4BA3693A"/>
    <w:rsid w:val="53F02939"/>
    <w:rsid w:val="543640C4"/>
    <w:rsid w:val="551C7A68"/>
    <w:rsid w:val="570670F2"/>
    <w:rsid w:val="58DF0258"/>
    <w:rsid w:val="5A274BDA"/>
    <w:rsid w:val="5AAB420F"/>
    <w:rsid w:val="5AE42ACB"/>
    <w:rsid w:val="5C402895"/>
    <w:rsid w:val="5C53209F"/>
    <w:rsid w:val="5D6A092C"/>
    <w:rsid w:val="5E227E56"/>
    <w:rsid w:val="5FF26ACB"/>
    <w:rsid w:val="615F10FE"/>
    <w:rsid w:val="622A5268"/>
    <w:rsid w:val="62404A8B"/>
    <w:rsid w:val="628232F6"/>
    <w:rsid w:val="62B114E5"/>
    <w:rsid w:val="660C2F09"/>
    <w:rsid w:val="66B477F6"/>
    <w:rsid w:val="67B34415"/>
    <w:rsid w:val="6CBC11B2"/>
    <w:rsid w:val="6EAB7671"/>
    <w:rsid w:val="6F122880"/>
    <w:rsid w:val="70A97C9F"/>
    <w:rsid w:val="711C44E0"/>
    <w:rsid w:val="7184086A"/>
    <w:rsid w:val="72323E11"/>
    <w:rsid w:val="75297601"/>
    <w:rsid w:val="768B535E"/>
    <w:rsid w:val="76E806CE"/>
    <w:rsid w:val="78EC2E1F"/>
    <w:rsid w:val="7B3F7B7E"/>
    <w:rsid w:val="7E78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1259</Words>
  <Characters>6989</Characters>
  <Lines>0</Lines>
  <Paragraphs>0</Paragraphs>
  <TotalTime>10</TotalTime>
  <ScaleCrop>false</ScaleCrop>
  <LinksUpToDate>false</LinksUpToDate>
  <CharactersWithSpaces>7984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2026-04-13T02:33:00Z</dcterms:created>
  <dc:creator>清风徐来</dc:creator>
  <cp:lastModifiedBy>清风徐来</cp:lastModifiedBy>
  <dcterms:modified xsi:type="dcterms:W3CDTF">2026-06-27T00:41:03Z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0D99A5F41D3446F28FB4A07E46D4270B_11</vt:lpwstr>
  </property>
  <property fmtid="{D5CDD505-2E9C-101B-9397-08002B2CF9AE}" pid="4" name="KSOTemplateDocerSaveRecord">
    <vt:lpwstr>eyJoZGlkIjoiZmFhYmYzYWFkN2NmMzJlNjY2NTZlYzQ0M2EwYzY4NWQiLCJ1c2VySWQiOiIyNTcyOTQzNjkifQ==</vt:lpwstr>
  </property>
</Properties>
</file>