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67A3E" w14:textId="39264E0F" w:rsidR="00D9460F" w:rsidRPr="00D9460F" w:rsidRDefault="00147DF6" w:rsidP="00274CF4">
      <w:pPr>
        <w:pStyle w:val="Heading2"/>
        <w:rPr>
          <w:sz w:val="28"/>
          <w:szCs w:val="28"/>
          <w:lang w:val="en-US" w:eastAsia="zh-CN"/>
        </w:rPr>
      </w:pPr>
      <w:r>
        <w:rPr>
          <w:sz w:val="28"/>
          <w:szCs w:val="28"/>
          <w:lang w:val="en-US" w:eastAsia="zh-CN"/>
        </w:rPr>
        <w:t>Additional File 1</w:t>
      </w:r>
    </w:p>
    <w:p w14:paraId="0B61E910" w14:textId="77777777" w:rsidR="00D9460F" w:rsidRPr="00D9460F" w:rsidRDefault="00D9460F" w:rsidP="00D9460F">
      <w:pPr>
        <w:rPr>
          <w:lang w:eastAsia="zh-CN"/>
        </w:rPr>
      </w:pPr>
    </w:p>
    <w:p w14:paraId="7E0B7409" w14:textId="7C074EC9" w:rsidR="00274CF4" w:rsidRPr="005716DE" w:rsidRDefault="00274CF4" w:rsidP="00274CF4">
      <w:pPr>
        <w:pStyle w:val="Heading2"/>
        <w:rPr>
          <w:lang w:val="en-US" w:eastAsia="zh-CN"/>
        </w:rPr>
      </w:pPr>
      <w:r w:rsidRPr="005716DE">
        <w:rPr>
          <w:lang w:val="en-US" w:eastAsia="zh-CN"/>
        </w:rPr>
        <w:t>Relationship between Mw and ML</w:t>
      </w:r>
    </w:p>
    <w:p w14:paraId="186F76F5" w14:textId="3121BC03" w:rsidR="00274CF4" w:rsidRPr="005716DE" w:rsidRDefault="00274CF4" w:rsidP="00727048">
      <w:pPr>
        <w:pStyle w:val="Body"/>
        <w:rPr>
          <w:lang w:eastAsia="zh-CN"/>
        </w:rPr>
      </w:pPr>
      <w:r w:rsidRPr="005716DE">
        <w:rPr>
          <w:lang w:eastAsia="zh-CN"/>
        </w:rPr>
        <w:t xml:space="preserve">The calculation of moment tensor by </w:t>
      </w:r>
      <w:r w:rsidR="004B5D85">
        <w:rPr>
          <w:lang w:eastAsia="zh-CN"/>
        </w:rPr>
        <w:t xml:space="preserve">using </w:t>
      </w:r>
      <w:r w:rsidRPr="005716DE">
        <w:rPr>
          <w:lang w:eastAsia="zh-CN"/>
        </w:rPr>
        <w:t xml:space="preserve">full waveform inversion is important to clarify the accuracy of </w:t>
      </w:r>
      <w:r w:rsidR="00734262">
        <w:rPr>
          <w:lang w:eastAsia="zh-CN"/>
        </w:rPr>
        <w:t xml:space="preserve">earthquake </w:t>
      </w:r>
      <w:r w:rsidRPr="005716DE">
        <w:rPr>
          <w:lang w:eastAsia="zh-CN"/>
        </w:rPr>
        <w:t xml:space="preserve">source parameter. However, it is </w:t>
      </w:r>
      <w:r w:rsidR="004B5D85">
        <w:rPr>
          <w:lang w:eastAsia="zh-CN"/>
        </w:rPr>
        <w:t xml:space="preserve">generally </w:t>
      </w:r>
      <w:r w:rsidRPr="005716DE">
        <w:rPr>
          <w:lang w:eastAsia="zh-CN"/>
        </w:rPr>
        <w:t xml:space="preserve">difficult to obtain </w:t>
      </w:r>
      <w:r w:rsidR="00734262">
        <w:rPr>
          <w:lang w:eastAsia="zh-CN"/>
        </w:rPr>
        <w:t xml:space="preserve">a </w:t>
      </w:r>
      <w:r w:rsidRPr="005716DE">
        <w:rPr>
          <w:lang w:eastAsia="zh-CN"/>
        </w:rPr>
        <w:t>good accuracy of source parameter</w:t>
      </w:r>
      <w:r w:rsidR="0098410E">
        <w:rPr>
          <w:lang w:eastAsia="zh-CN"/>
        </w:rPr>
        <w:t>s</w:t>
      </w:r>
      <w:r w:rsidRPr="005716DE">
        <w:rPr>
          <w:lang w:eastAsia="zh-CN"/>
        </w:rPr>
        <w:t xml:space="preserve"> </w:t>
      </w:r>
      <w:r w:rsidR="000D2F22">
        <w:rPr>
          <w:lang w:eastAsia="zh-CN"/>
        </w:rPr>
        <w:t>from</w:t>
      </w:r>
      <w:r w:rsidR="00734262">
        <w:rPr>
          <w:lang w:eastAsia="zh-CN"/>
        </w:rPr>
        <w:t xml:space="preserve"> </w:t>
      </w:r>
      <w:r w:rsidRPr="005716DE">
        <w:rPr>
          <w:lang w:eastAsia="zh-CN"/>
        </w:rPr>
        <w:t>small earthquakes</w:t>
      </w:r>
      <w:r w:rsidR="0098410E">
        <w:rPr>
          <w:lang w:eastAsia="zh-CN"/>
        </w:rPr>
        <w:t xml:space="preserve"> </w:t>
      </w:r>
      <w:r w:rsidRPr="005716DE">
        <w:rPr>
          <w:lang w:eastAsia="zh-CN"/>
        </w:rPr>
        <w:t xml:space="preserve">due to the lack of data quality. </w:t>
      </w:r>
      <w:r w:rsidR="00734262">
        <w:rPr>
          <w:lang w:eastAsia="zh-CN"/>
        </w:rPr>
        <w:t>N</w:t>
      </w:r>
      <w:r w:rsidR="0057307C">
        <w:rPr>
          <w:rFonts w:hint="eastAsia"/>
          <w:lang w:eastAsia="zh-CN"/>
        </w:rPr>
        <w:t xml:space="preserve">ew moment magnitudes (Mw) </w:t>
      </w:r>
      <w:r w:rsidR="00734262">
        <w:rPr>
          <w:lang w:eastAsia="zh-CN"/>
        </w:rPr>
        <w:t xml:space="preserve">are obtained </w:t>
      </w:r>
      <w:r w:rsidR="0057307C">
        <w:rPr>
          <w:rFonts w:hint="eastAsia"/>
          <w:lang w:eastAsia="zh-CN"/>
        </w:rPr>
        <w:t>from the moment tensor calculation.</w:t>
      </w:r>
      <w:r w:rsidR="0057307C">
        <w:rPr>
          <w:lang w:eastAsia="zh-CN"/>
        </w:rPr>
        <w:t xml:space="preserve"> </w:t>
      </w:r>
      <w:r w:rsidR="00734262">
        <w:rPr>
          <w:lang w:eastAsia="zh-CN"/>
        </w:rPr>
        <w:t>W</w:t>
      </w:r>
      <w:r w:rsidR="00F73377">
        <w:rPr>
          <w:lang w:eastAsia="zh-CN"/>
        </w:rPr>
        <w:t xml:space="preserve">e compare </w:t>
      </w:r>
      <w:r w:rsidR="00734262">
        <w:rPr>
          <w:lang w:eastAsia="zh-CN"/>
        </w:rPr>
        <w:t xml:space="preserve">the obtained Mw </w:t>
      </w:r>
      <w:r w:rsidR="00F73377" w:rsidRPr="005716DE">
        <w:rPr>
          <w:lang w:eastAsia="zh-CN"/>
        </w:rPr>
        <w:t>from the moment tensor calculation</w:t>
      </w:r>
      <w:r w:rsidR="00F73377">
        <w:rPr>
          <w:lang w:eastAsia="zh-CN"/>
        </w:rPr>
        <w:t xml:space="preserve"> with </w:t>
      </w:r>
      <w:r w:rsidR="008B72CB">
        <w:rPr>
          <w:lang w:eastAsia="zh-CN"/>
        </w:rPr>
        <w:t xml:space="preserve">local magnitude </w:t>
      </w:r>
      <w:r w:rsidR="00036978">
        <w:rPr>
          <w:lang w:eastAsia="zh-CN"/>
        </w:rPr>
        <w:t>(ML)</w:t>
      </w:r>
      <w:r w:rsidR="00430152">
        <w:rPr>
          <w:lang w:eastAsia="zh-CN"/>
        </w:rPr>
        <w:t>,</w:t>
      </w:r>
      <w:r w:rsidR="00036978">
        <w:rPr>
          <w:lang w:eastAsia="zh-CN"/>
        </w:rPr>
        <w:t xml:space="preserve"> </w:t>
      </w:r>
      <w:r w:rsidR="008B72CB">
        <w:rPr>
          <w:lang w:eastAsia="zh-CN"/>
        </w:rPr>
        <w:t xml:space="preserve">which </w:t>
      </w:r>
      <w:r w:rsidR="00E731A8">
        <w:rPr>
          <w:lang w:eastAsia="zh-CN"/>
        </w:rPr>
        <w:t>can be</w:t>
      </w:r>
      <w:r w:rsidR="008B72CB">
        <w:rPr>
          <w:lang w:eastAsia="zh-CN"/>
        </w:rPr>
        <w:t xml:space="preserve"> </w:t>
      </w:r>
      <w:r w:rsidRPr="005716DE">
        <w:rPr>
          <w:lang w:eastAsia="zh-CN"/>
        </w:rPr>
        <w:t xml:space="preserve">used to estimate the size of an earthquake precisely due to less affected </w:t>
      </w:r>
      <w:r w:rsidR="00E731A8">
        <w:rPr>
          <w:lang w:eastAsia="zh-CN"/>
        </w:rPr>
        <w:t xml:space="preserve">by </w:t>
      </w:r>
      <w:r w:rsidRPr="005716DE">
        <w:rPr>
          <w:lang w:eastAsia="zh-CN"/>
        </w:rPr>
        <w:t>attenuation.</w:t>
      </w:r>
      <w:r w:rsidR="008B72CB">
        <w:rPr>
          <w:lang w:eastAsia="zh-CN"/>
        </w:rPr>
        <w:t xml:space="preserve"> </w:t>
      </w:r>
      <w:r w:rsidR="00686EA0">
        <w:rPr>
          <w:lang w:eastAsia="zh-CN"/>
        </w:rPr>
        <w:t>This analysis</w:t>
      </w:r>
      <w:r w:rsidR="008B72CB">
        <w:rPr>
          <w:lang w:eastAsia="zh-CN"/>
        </w:rPr>
        <w:t xml:space="preserve"> aims to clarify</w:t>
      </w:r>
      <w:r w:rsidRPr="005716DE">
        <w:rPr>
          <w:lang w:eastAsia="zh-CN"/>
        </w:rPr>
        <w:t xml:space="preserve"> the scaling relationship especially for </w:t>
      </w:r>
      <w:r w:rsidR="002B0026">
        <w:rPr>
          <w:lang w:eastAsia="zh-CN"/>
        </w:rPr>
        <w:t xml:space="preserve">the </w:t>
      </w:r>
      <w:r w:rsidRPr="005716DE">
        <w:rPr>
          <w:lang w:eastAsia="zh-CN"/>
        </w:rPr>
        <w:t xml:space="preserve">lower magnitude portion to homogenize </w:t>
      </w:r>
      <w:r w:rsidR="002B0026">
        <w:rPr>
          <w:lang w:eastAsia="zh-CN"/>
        </w:rPr>
        <w:t xml:space="preserve">the </w:t>
      </w:r>
      <w:r w:rsidRPr="005716DE">
        <w:rPr>
          <w:lang w:eastAsia="zh-CN"/>
        </w:rPr>
        <w:t xml:space="preserve">earthquake catalog. </w:t>
      </w:r>
    </w:p>
    <w:p w14:paraId="073347E2" w14:textId="77777777" w:rsidR="00274CF4" w:rsidRPr="005716DE" w:rsidRDefault="00274CF4" w:rsidP="005837CF">
      <w:pPr>
        <w:spacing w:line="360" w:lineRule="auto"/>
        <w:jc w:val="center"/>
        <w:rPr>
          <w:rFonts w:ascii="Times New Roman" w:hAnsi="Times New Roman" w:cs="Times New Roman"/>
          <w:sz w:val="24"/>
          <w:szCs w:val="24"/>
          <w:lang w:eastAsia="zh-CN"/>
        </w:rPr>
      </w:pPr>
      <w:r w:rsidRPr="005716DE">
        <w:rPr>
          <w:noProof/>
        </w:rPr>
        <w:drawing>
          <wp:inline distT="0" distB="0" distL="0" distR="0" wp14:anchorId="460A0815" wp14:editId="09E4E18D">
            <wp:extent cx="3359889" cy="3630743"/>
            <wp:effectExtent l="0" t="0" r="0" b="8255"/>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scatter chart&#10;&#10;Description automatically generated"/>
                    <pic:cNvPicPr>
                      <a:picLocks noChangeAspect="1" noChangeArrowheads="1"/>
                    </pic:cNvPicPr>
                  </pic:nvPicPr>
                  <pic:blipFill rotWithShape="1">
                    <a:blip r:embed="rId5">
                      <a:extLst>
                        <a:ext uri="{28A0092B-C50C-407E-A947-70E740481C1C}">
                          <a14:useLocalDpi xmlns:a14="http://schemas.microsoft.com/office/drawing/2010/main" val="0"/>
                        </a:ext>
                      </a:extLst>
                    </a:blip>
                    <a:srcRect l="19850" r="21526"/>
                    <a:stretch/>
                  </pic:blipFill>
                  <pic:spPr bwMode="auto">
                    <a:xfrm>
                      <a:off x="0" y="0"/>
                      <a:ext cx="3360062" cy="3630930"/>
                    </a:xfrm>
                    <a:prstGeom prst="rect">
                      <a:avLst/>
                    </a:prstGeom>
                    <a:noFill/>
                    <a:ln>
                      <a:noFill/>
                    </a:ln>
                    <a:extLst>
                      <a:ext uri="{53640926-AAD7-44D8-BBD7-CCE9431645EC}">
                        <a14:shadowObscured xmlns:a14="http://schemas.microsoft.com/office/drawing/2010/main"/>
                      </a:ext>
                    </a:extLst>
                  </pic:spPr>
                </pic:pic>
              </a:graphicData>
            </a:graphic>
          </wp:inline>
        </w:drawing>
      </w:r>
    </w:p>
    <w:p w14:paraId="55596964" w14:textId="77777777" w:rsidR="00274CF4" w:rsidRPr="005716DE" w:rsidRDefault="00274CF4" w:rsidP="005837CF">
      <w:pPr>
        <w:spacing w:after="0" w:line="360" w:lineRule="auto"/>
        <w:jc w:val="center"/>
        <w:rPr>
          <w:rFonts w:ascii="Times New Roman" w:hAnsi="Times New Roman" w:cs="Times New Roman"/>
          <w:b/>
          <w:bCs/>
          <w:sz w:val="24"/>
          <w:szCs w:val="24"/>
          <w:lang w:eastAsia="zh-CN"/>
        </w:rPr>
      </w:pPr>
    </w:p>
    <w:p w14:paraId="622CF552" w14:textId="78284D7A" w:rsidR="00274CF4" w:rsidRPr="005716DE" w:rsidRDefault="00F24993" w:rsidP="005837CF">
      <w:pPr>
        <w:spacing w:line="360" w:lineRule="auto"/>
        <w:jc w:val="both"/>
        <w:rPr>
          <w:lang w:eastAsia="zh-CN"/>
        </w:rPr>
      </w:pPr>
      <w:r>
        <w:rPr>
          <w:rFonts w:ascii="Times New Roman" w:hAnsi="Times New Roman" w:cs="Times New Roman"/>
          <w:b/>
          <w:bCs/>
        </w:rPr>
        <w:t>Fig</w:t>
      </w:r>
      <w:r w:rsidR="00A31AB4">
        <w:rPr>
          <w:rFonts w:ascii="Times New Roman" w:hAnsi="Times New Roman" w:cs="Times New Roman"/>
          <w:b/>
          <w:bCs/>
        </w:rPr>
        <w:t>.</w:t>
      </w:r>
      <w:r>
        <w:rPr>
          <w:rFonts w:ascii="Times New Roman" w:hAnsi="Times New Roman" w:cs="Times New Roman"/>
          <w:b/>
          <w:bCs/>
        </w:rPr>
        <w:t xml:space="preserve"> </w:t>
      </w:r>
      <w:r w:rsidR="00671EEB">
        <w:rPr>
          <w:rFonts w:ascii="Times New Roman" w:hAnsi="Times New Roman" w:cs="Times New Roman"/>
          <w:b/>
          <w:bCs/>
        </w:rPr>
        <w:t>A</w:t>
      </w:r>
      <w:r w:rsidR="005837CF" w:rsidRPr="008E76DE">
        <w:rPr>
          <w:rFonts w:ascii="Times New Roman" w:hAnsi="Times New Roman" w:cs="Times New Roman"/>
          <w:b/>
          <w:bCs/>
        </w:rPr>
        <w:t>1</w:t>
      </w:r>
      <w:r w:rsidR="00A31AB4">
        <w:rPr>
          <w:rFonts w:ascii="Times New Roman" w:hAnsi="Times New Roman" w:cs="Times New Roman"/>
          <w:b/>
          <w:bCs/>
        </w:rPr>
        <w:t xml:space="preserve"> </w:t>
      </w:r>
      <w:r w:rsidR="00274CF4" w:rsidRPr="005716DE">
        <w:rPr>
          <w:rFonts w:ascii="Times New Roman" w:hAnsi="Times New Roman" w:cs="Times New Roman"/>
        </w:rPr>
        <w:t>The relationship between</w:t>
      </w:r>
      <w:r w:rsidR="002B0026">
        <w:rPr>
          <w:rFonts w:ascii="Times New Roman" w:hAnsi="Times New Roman" w:cs="Times New Roman"/>
        </w:rPr>
        <w:t xml:space="preserve"> the</w:t>
      </w:r>
      <w:r w:rsidR="00274CF4" w:rsidRPr="005716DE">
        <w:rPr>
          <w:rFonts w:ascii="Times New Roman" w:hAnsi="Times New Roman" w:cs="Times New Roman"/>
        </w:rPr>
        <w:t xml:space="preserve"> </w:t>
      </w:r>
      <w:r w:rsidR="00274CF4" w:rsidRPr="005716DE">
        <w:rPr>
          <w:rFonts w:ascii="Times New Roman" w:hAnsi="Times New Roman" w:cs="Times New Roman"/>
          <w:lang w:eastAsia="zh-CN"/>
        </w:rPr>
        <w:t>new moment magnitude</w:t>
      </w:r>
      <w:r w:rsidR="00274CF4" w:rsidRPr="005716DE">
        <w:rPr>
          <w:rFonts w:ascii="Times New Roman" w:hAnsi="Times New Roman" w:cs="Times New Roman"/>
        </w:rPr>
        <w:t xml:space="preserve"> and local magnitude in this study. The black bold line represents the line of </w:t>
      </w:r>
      <w:r w:rsidR="00575D2B">
        <w:rPr>
          <w:rFonts w:ascii="Times New Roman" w:hAnsi="Times New Roman" w:cs="Times New Roman"/>
        </w:rPr>
        <w:t xml:space="preserve">the </w:t>
      </w:r>
      <w:r w:rsidR="00274CF4" w:rsidRPr="005716DE">
        <w:rPr>
          <w:rFonts w:ascii="Times New Roman" w:hAnsi="Times New Roman" w:cs="Times New Roman"/>
        </w:rPr>
        <w:t xml:space="preserve">best fit for the observed data. </w:t>
      </w:r>
      <w:r w:rsidR="00274CF4" w:rsidRPr="005716DE">
        <w:rPr>
          <w:rFonts w:ascii="Times New Roman" w:hAnsi="Times New Roman" w:cs="Times New Roman"/>
          <w:lang w:eastAsia="zh-CN"/>
        </w:rPr>
        <w:t xml:space="preserve">The black dashed line represents the line of </w:t>
      </w:r>
      <w:r w:rsidR="00575D2B">
        <w:rPr>
          <w:rFonts w:ascii="Times New Roman" w:hAnsi="Times New Roman" w:cs="Times New Roman"/>
          <w:lang w:eastAsia="zh-CN"/>
        </w:rPr>
        <w:t xml:space="preserve">the </w:t>
      </w:r>
      <w:r w:rsidR="00274CF4" w:rsidRPr="005716DE">
        <w:rPr>
          <w:rFonts w:ascii="Times New Roman" w:hAnsi="Times New Roman" w:cs="Times New Roman"/>
          <w:lang w:eastAsia="zh-CN"/>
        </w:rPr>
        <w:t>best fit from PUSGEN equation.</w:t>
      </w:r>
      <w:r w:rsidR="00DA0A8E">
        <w:rPr>
          <w:rFonts w:ascii="Times New Roman" w:hAnsi="Times New Roman" w:cs="Times New Roman"/>
          <w:lang w:eastAsia="zh-CN"/>
        </w:rPr>
        <w:t xml:space="preserve"> PUSGEN is the </w:t>
      </w:r>
      <w:r w:rsidR="00DA0A8E" w:rsidRPr="005716DE">
        <w:rPr>
          <w:lang w:eastAsia="zh-CN"/>
        </w:rPr>
        <w:t xml:space="preserve">National Center for Earthquake Studies </w:t>
      </w:r>
      <w:r w:rsidR="00DA0A8E">
        <w:rPr>
          <w:lang w:eastAsia="zh-CN"/>
        </w:rPr>
        <w:t xml:space="preserve">of </w:t>
      </w:r>
      <w:r w:rsidR="00DA0A8E" w:rsidRPr="005716DE">
        <w:rPr>
          <w:lang w:eastAsia="zh-CN"/>
        </w:rPr>
        <w:t>Indonesia</w:t>
      </w:r>
      <w:r w:rsidR="00DA0A8E">
        <w:rPr>
          <w:lang w:eastAsia="zh-CN"/>
        </w:rPr>
        <w:t>.</w:t>
      </w:r>
    </w:p>
    <w:p w14:paraId="3F667B02" w14:textId="747E9E0C" w:rsidR="007E3C9D" w:rsidRDefault="00274CF4">
      <w:pPr>
        <w:pStyle w:val="Body"/>
        <w:rPr>
          <w:lang w:eastAsia="zh-CN"/>
        </w:rPr>
      </w:pPr>
      <w:r w:rsidRPr="005716DE">
        <w:rPr>
          <w:lang w:eastAsia="zh-CN"/>
        </w:rPr>
        <w:t>We calculate</w:t>
      </w:r>
      <w:r w:rsidR="00575D2B">
        <w:rPr>
          <w:lang w:eastAsia="zh-CN"/>
        </w:rPr>
        <w:t xml:space="preserve"> the</w:t>
      </w:r>
      <w:r w:rsidRPr="005716DE">
        <w:rPr>
          <w:lang w:eastAsia="zh-CN"/>
        </w:rPr>
        <w:t xml:space="preserve"> local magnitude (ML) as proposed by </w:t>
      </w:r>
      <w:r w:rsidRPr="005716DE">
        <w:rPr>
          <w:lang w:eastAsia="zh-CN"/>
        </w:rPr>
        <w:fldChar w:fldCharType="begin" w:fldLock="1"/>
      </w:r>
      <w:r w:rsidRPr="005716DE">
        <w:rPr>
          <w:lang w:eastAsia="zh-CN"/>
        </w:rPr>
        <w:instrText>ADDIN CSL_CITATION {"citationItems":[{"id":"ITEM-1","itemData":{"ISSN":"1943-3573","abstract":"1. Comparison of the maximum amplitudes recorded at different epicentral distances by the torsion seismometers of the Southern California group makes it possible to rate earthquakes in this region in terms of a magnitude scale. The magnitude assigned is characteristic of the shock as a whole; it thus differs from the intensity, which varies from point to point of the affected area. 2. The magnitude of a shock is defined as the logarithm of the calculated maximum trace amplitude, expressed in microns, with which the standard short-period torsion seismometer (T0) = 0.8, V = 2,800, h = 0.8) would register that shock at an epicentral distance of 100 kilometers. 3. Shock magnitudes can be assigned in routine to the nearest half-unit, and in cases specially studied to the nearest tenth. The smallest shocks recorded are of magnitude 0; the smallest reported felt are of magnitude 1.5. Shocks of magnitude 3 are perceptible over an area some 20 kilometers in radius; those of magnitude 4.5 are capable of causing slight damage near the epicenter; those of magnitude 6 are destructive over a restricted area; those of magnitude 7.5 are at the lower limit of major earthquakes. 4. Representative shocks of various magnitudes are discussed. The Santa Monica Bay earthquake of August 30, 1930, is assigned magnitude 5.2; the Long Beach earthquake of March 10, 1933, 6.2; the Utah earthquake of March 12, 1934, 7.0; the Nevada earthquake of December 20, 1932, 7.5. 5. The amplitude registered by the torsion seismometer at the lower limit of perceptibility to persons is found to be about 50 millimeters. With a period of 0.6 of a second, which applies at moderate distances, this corresponds to an acceleration of 250 milligals. At larger distances the period of the maximum waves increases, and perceptibility decreases more rapidly than amplitude of registration. 6. Beyond 200 kilometers the maximum registered amplitude for a given shock appears to vary nearly as the inverse cube of the epicentral distance. 7. The maximum range to which the torsion seismometer usefully records shocks of various magnitudes is discussed; shocks of magnitude 2.5 and over should be detected within 500 kilometers of Pasadena. 8. Statistics of the frequency of shocks of various magnitudes are given. It is found that the seismic energy liberated in a given region during a given period is almost wholly accounted for by the larger shocks; the smaller shocks are not sufficiently frequent to contribute more th…","author":[{"dropping-particle":"","family":"Richter","given":"Charles F","non-dropping-particle":"","parse-names":false,"suffix":""}],"container-title":"Bulletin of the Seismological Society of America","id":"ITEM-1","issue":"1","issued":{"date-parts":[["1935"]]},"page":"1-32","title":"An instrumental earthquake magnitude scale","type":"article-journal","volume":"25"},"uris":["http://www.mendeley.com/documents/?uuid=42d5bec9-baff-45cb-a1e1-da224244db14"]}],"mendeley":{"formattedCitation":"(Richter 1935)","manualFormatting":"Richter (1935)","plainTextFormattedCitation":"(Richter 1935)","previouslyFormattedCitation":"(Richter 1935)"},"properties":{"noteIndex":0},"schema":"https://github.com/citation-style-language/schema/raw/master/csl-citation.json"}</w:instrText>
      </w:r>
      <w:r w:rsidRPr="005716DE">
        <w:rPr>
          <w:lang w:eastAsia="zh-CN"/>
        </w:rPr>
        <w:fldChar w:fldCharType="separate"/>
      </w:r>
      <w:r w:rsidRPr="005716DE">
        <w:rPr>
          <w:noProof/>
          <w:lang w:eastAsia="zh-CN"/>
        </w:rPr>
        <w:t>Richter (1935)</w:t>
      </w:r>
      <w:r w:rsidRPr="005716DE">
        <w:rPr>
          <w:lang w:eastAsia="zh-CN"/>
        </w:rPr>
        <w:fldChar w:fldCharType="end"/>
      </w:r>
      <w:r w:rsidRPr="005716DE">
        <w:rPr>
          <w:lang w:eastAsia="zh-CN"/>
        </w:rPr>
        <w:t xml:space="preserve"> and derived in detail by </w:t>
      </w:r>
      <w:r w:rsidRPr="005716DE">
        <w:rPr>
          <w:lang w:eastAsia="zh-CN"/>
        </w:rPr>
        <w:fldChar w:fldCharType="begin" w:fldLock="1"/>
      </w:r>
      <w:r w:rsidRPr="005716DE">
        <w:rPr>
          <w:lang w:eastAsia="zh-CN"/>
        </w:rPr>
        <w:instrText>ADDIN CSL_CITATION {"citationItems":[{"id":"ITEM-1","itemData":{"ISBN":"9780521708425","author":[{"dropping-particle":"","family":"Shearer","given":"Peter M","non-dropping-particle":"","parse-names":false,"suffix":""}],"id":"ITEM-1","issue":"2","issued":{"date-parts":[["2009"]]},"publisher":"Cambridge University Press","publisher-place":"Cambridge","title":"Introduction to Seismology","type":"book"},"uris":["http://www.mendeley.com/documents/?uuid=9e96151b-20e3-4958-9391-ff08faf6138a"]}],"mendeley":{"formattedCitation":"(Shearer 2009)","plainTextFormattedCitation":"(Shearer 2009)","previouslyFormattedCitation":"(Shearer 2009)"},"properties":{"noteIndex":0},"schema":"https://github.com/citation-style-language/schema/raw/master/csl-citation.json"}</w:instrText>
      </w:r>
      <w:r w:rsidRPr="005716DE">
        <w:rPr>
          <w:lang w:eastAsia="zh-CN"/>
        </w:rPr>
        <w:fldChar w:fldCharType="separate"/>
      </w:r>
      <w:r w:rsidRPr="005716DE">
        <w:rPr>
          <w:noProof/>
          <w:lang w:eastAsia="zh-CN"/>
        </w:rPr>
        <w:t>(Shearer 2009)</w:t>
      </w:r>
      <w:r w:rsidRPr="005716DE">
        <w:rPr>
          <w:lang w:eastAsia="zh-CN"/>
        </w:rPr>
        <w:fldChar w:fldCharType="end"/>
      </w:r>
      <w:r w:rsidRPr="005716DE">
        <w:rPr>
          <w:lang w:eastAsia="zh-CN"/>
        </w:rPr>
        <w:t>. We use the vertical component as a reference for the relationship. We calculate the local magnitude in terms of maximum amplitude of displacement waveform and attenuation law as the hypocentral distance between event and station</w:t>
      </w:r>
      <w:r w:rsidR="001D74CA">
        <w:rPr>
          <w:lang w:eastAsia="zh-CN"/>
        </w:rPr>
        <w:t xml:space="preserve"> (see Eq. 1)</w:t>
      </w:r>
      <w:r w:rsidRPr="005716DE">
        <w:rPr>
          <w:lang w:eastAsia="zh-CN"/>
        </w:rPr>
        <w:t>.</w:t>
      </w:r>
    </w:p>
    <w:p w14:paraId="527E1F83" w14:textId="77777777" w:rsidR="004B7429" w:rsidRPr="005360DB" w:rsidRDefault="004B7429" w:rsidP="004B7429">
      <w:pPr>
        <w:spacing w:line="360" w:lineRule="auto"/>
        <w:jc w:val="both"/>
        <w:rPr>
          <w:rFonts w:eastAsiaTheme="minorEastAsia"/>
          <w:lang w:eastAsia="zh-CN"/>
        </w:rPr>
      </w:pPr>
      <m:oMathPara>
        <m:oMath>
          <m:r>
            <w:rPr>
              <w:rFonts w:ascii="Cambria Math" w:hAnsi="Cambria Math" w:cs="Times New Roman"/>
              <w:sz w:val="24"/>
              <w:szCs w:val="24"/>
              <w:lang w:eastAsia="zh-CN"/>
            </w:rPr>
            <w:lastRenderedPageBreak/>
            <m:t>ML=</m:t>
          </m:r>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log</m:t>
              </m:r>
            </m:e>
            <m:sub>
              <m:r>
                <w:rPr>
                  <w:rFonts w:ascii="Cambria Math" w:hAnsi="Cambria Math" w:cs="Times New Roman"/>
                  <w:sz w:val="24"/>
                  <w:szCs w:val="24"/>
                  <w:lang w:eastAsia="zh-CN"/>
                </w:rPr>
                <m:t>10</m:t>
              </m:r>
            </m:sub>
          </m:sSub>
          <m:r>
            <w:rPr>
              <w:rFonts w:ascii="Cambria Math" w:hAnsi="Cambria Math" w:cs="Times New Roman"/>
              <w:sz w:val="24"/>
              <w:szCs w:val="24"/>
              <w:lang w:eastAsia="zh-CN"/>
            </w:rPr>
            <m:t xml:space="preserve">A+2.56 </m:t>
          </m:r>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log</m:t>
              </m:r>
            </m:e>
            <m:sub>
              <m:r>
                <w:rPr>
                  <w:rFonts w:ascii="Cambria Math" w:hAnsi="Cambria Math" w:cs="Times New Roman"/>
                  <w:sz w:val="24"/>
                  <w:szCs w:val="24"/>
                  <w:lang w:eastAsia="zh-CN"/>
                </w:rPr>
                <m:t>10</m:t>
              </m:r>
            </m:sub>
          </m:sSub>
          <m:r>
            <w:rPr>
              <w:rFonts w:ascii="Cambria Math" w:hAnsi="Cambria Math" w:cs="Times New Roman"/>
              <w:sz w:val="24"/>
              <w:szCs w:val="24"/>
              <w:lang w:eastAsia="zh-CN"/>
            </w:rPr>
            <m:t>X-1.67                                                        (1)</m:t>
          </m:r>
        </m:oMath>
      </m:oMathPara>
    </w:p>
    <w:p w14:paraId="71CC3C61" w14:textId="014866AA" w:rsidR="00274CF4" w:rsidRPr="005716DE" w:rsidRDefault="004B7429">
      <w:pPr>
        <w:pStyle w:val="Body"/>
        <w:rPr>
          <w:lang w:eastAsia="zh-CN"/>
        </w:rPr>
      </w:pPr>
      <w:r>
        <w:rPr>
          <w:lang w:eastAsia="zh-CN"/>
        </w:rPr>
        <w:t>Where A is the maximum amplitude of displacement waveform in microns (</w:t>
      </w:r>
      <m:oMath>
        <m:sSup>
          <m:sSupPr>
            <m:ctrlPr>
              <w:rPr>
                <w:rFonts w:ascii="Cambria Math" w:hAnsi="Cambria Math"/>
                <w:i/>
                <w:lang w:eastAsia="zh-CN"/>
              </w:rPr>
            </m:ctrlPr>
          </m:sSupPr>
          <m:e>
            <m:r>
              <w:rPr>
                <w:rFonts w:ascii="Cambria Math" w:hAnsi="Cambria Math"/>
                <w:lang w:eastAsia="zh-CN"/>
              </w:rPr>
              <m:t>10</m:t>
            </m:r>
          </m:e>
          <m:sup>
            <m:r>
              <w:rPr>
                <w:rFonts w:ascii="Cambria Math" w:hAnsi="Cambria Math"/>
                <w:lang w:eastAsia="zh-CN"/>
              </w:rPr>
              <m:t>-6</m:t>
            </m:r>
          </m:sup>
        </m:sSup>
        <m:r>
          <w:rPr>
            <w:rFonts w:ascii="Cambria Math" w:hAnsi="Cambria Math"/>
            <w:lang w:eastAsia="zh-CN"/>
          </w:rPr>
          <m:t>m)</m:t>
        </m:r>
      </m:oMath>
      <w:r>
        <w:rPr>
          <w:lang w:eastAsia="zh-CN"/>
        </w:rPr>
        <w:t xml:space="preserve"> and X is the epicentral distance in kilometers. </w:t>
      </w:r>
      <w:r w:rsidR="00274CF4" w:rsidRPr="005716DE">
        <w:rPr>
          <w:lang w:eastAsia="zh-CN"/>
        </w:rPr>
        <w:fldChar w:fldCharType="begin" w:fldLock="1"/>
      </w:r>
      <w:r w:rsidR="00274CF4" w:rsidRPr="005716DE">
        <w:rPr>
          <w:lang w:eastAsia="zh-CN"/>
        </w:rPr>
        <w:instrText>ADDIN CSL_CITATION {"citationItems":[{"id":"ITEM-1","itemData":{"DOI":"10.1016/0040-1951(83)90273-1","ISSN":"00401951","abstract":"Despite various shortcomings, the earthquake magnitude scale is one of the most fundamental earthquake source parameters to be used for catalogs. Although use of a uniform scale is desirable, it is not always possible because of changes in instrumentation, the data reduction method and the magnitude formula, the station distribution, etc. As a result, various magnitude scales have been developed and are currently in use. Recent developments in seismometry and earthquake source theories provide more quantitative source parameters than the magnitude. In order to maintain continuity and uniformity of the data, it is important to relate these magnitude scales and the new parameters. In view of this importance, relations between different magnitude scales are examined with an emphasis on the difference in the period of the waves used for the magnitude determination. Use of several magnitude scales determined at different periods provides a convenient method for characterizing earthquakes. The moment magnitude can be used to quantify both shallow and deep earthquakes on the basis of wave energy radiated, and provides a uniform scheme. © 1983.","author":[{"dropping-particle":"","family":"Kanamori","given":"Hiroo","non-dropping-particle":"","parse-names":false,"suffix":""}],"container-title":"Tectonophysics","id":"ITEM-1","issue":"3-4","issued":{"date-parts":[["1983"]]},"page":"185-199","title":"Magnitude scale and quantification of earthquakes","type":"article-journal","volume":"93"},"uris":["http://www.mendeley.com/documents/?uuid=957282cf-4f03-4f14-bd73-a64a009119df"]}],"mendeley":{"formattedCitation":"(Kanamori 1983)","manualFormatting":"Kanamori (1983)","plainTextFormattedCitation":"(Kanamori 1983)","previouslyFormattedCitation":"(Kanamori 1983)"},"properties":{"noteIndex":0},"schema":"https://github.com/citation-style-language/schema/raw/master/csl-citation.json"}</w:instrText>
      </w:r>
      <w:r w:rsidR="00274CF4" w:rsidRPr="005716DE">
        <w:rPr>
          <w:lang w:eastAsia="zh-CN"/>
        </w:rPr>
        <w:fldChar w:fldCharType="separate"/>
      </w:r>
      <w:r w:rsidR="00274CF4" w:rsidRPr="005716DE">
        <w:rPr>
          <w:noProof/>
          <w:lang w:eastAsia="zh-CN"/>
        </w:rPr>
        <w:t>Kanamori (1983)</w:t>
      </w:r>
      <w:r w:rsidR="00274CF4" w:rsidRPr="005716DE">
        <w:rPr>
          <w:lang w:eastAsia="zh-CN"/>
        </w:rPr>
        <w:fldChar w:fldCharType="end"/>
      </w:r>
      <w:r w:rsidR="00274CF4" w:rsidRPr="005716DE">
        <w:rPr>
          <w:lang w:eastAsia="zh-CN"/>
        </w:rPr>
        <w:t xml:space="preserve"> shows that the relationship between moment and local magnitudes are similar (</w:t>
      </w:r>
      <m:oMath>
        <m:r>
          <w:rPr>
            <w:rFonts w:ascii="Cambria Math" w:hAnsi="Cambria Math"/>
            <w:lang w:eastAsia="zh-CN"/>
          </w:rPr>
          <m:t>Mw≈ML)</m:t>
        </m:r>
      </m:oMath>
      <w:r w:rsidR="00274CF4" w:rsidRPr="005716DE">
        <w:rPr>
          <w:rFonts w:eastAsiaTheme="minorEastAsia"/>
          <w:lang w:eastAsia="zh-CN"/>
        </w:rPr>
        <w:t xml:space="preserve"> for moderate magnitude events (4 &lt; Mw &lt; 6). Our result shows the relationship as expressed by Equation </w:t>
      </w:r>
      <w:r>
        <w:rPr>
          <w:rFonts w:eastAsiaTheme="minorEastAsia"/>
          <w:lang w:eastAsia="zh-CN"/>
        </w:rPr>
        <w:t>2</w:t>
      </w:r>
      <w:r w:rsidR="00274CF4" w:rsidRPr="005716DE">
        <w:rPr>
          <w:rFonts w:eastAsiaTheme="minorEastAsia"/>
          <w:lang w:eastAsia="zh-CN"/>
        </w:rPr>
        <w:t>.</w:t>
      </w:r>
    </w:p>
    <w:p w14:paraId="43353D2A" w14:textId="31964E85" w:rsidR="00274CF4" w:rsidRPr="005716DE" w:rsidRDefault="00274CF4">
      <w:pPr>
        <w:spacing w:line="360" w:lineRule="auto"/>
        <w:jc w:val="both"/>
        <w:rPr>
          <w:rFonts w:ascii="Times New Roman" w:eastAsiaTheme="minorEastAsia" w:hAnsi="Times New Roman" w:cs="Times New Roman"/>
          <w:sz w:val="24"/>
          <w:szCs w:val="24"/>
          <w:lang w:eastAsia="zh-CN"/>
        </w:rPr>
      </w:pPr>
      <m:oMathPara>
        <m:oMath>
          <m:r>
            <w:rPr>
              <w:rFonts w:ascii="Cambria Math" w:hAnsi="Cambria Math" w:cs="Times New Roman"/>
              <w:sz w:val="24"/>
              <w:szCs w:val="24"/>
              <w:lang w:eastAsia="zh-CN"/>
            </w:rPr>
            <m:t>Mw=0.89 ML+0.59                                                                                  (2)</m:t>
          </m:r>
        </m:oMath>
      </m:oMathPara>
    </w:p>
    <w:p w14:paraId="6C784BB2" w14:textId="54EEA850" w:rsidR="00274CF4" w:rsidRPr="005716DE" w:rsidRDefault="00A3435A">
      <w:pPr>
        <w:pStyle w:val="Body"/>
        <w:spacing w:after="0"/>
        <w:rPr>
          <w:lang w:eastAsia="zh-CN"/>
        </w:rPr>
      </w:pPr>
      <w:r>
        <w:t>I</w:t>
      </w:r>
      <w:r w:rsidR="00274CF4" w:rsidRPr="005716DE">
        <w:t xml:space="preserve">n </w:t>
      </w:r>
      <w:r w:rsidR="00F24993">
        <w:t>Fig</w:t>
      </w:r>
      <w:r w:rsidR="00A31AB4">
        <w:t>ure</w:t>
      </w:r>
      <w:r w:rsidR="00F24993">
        <w:t xml:space="preserve"> </w:t>
      </w:r>
      <w:r w:rsidR="00671EEB">
        <w:t>A</w:t>
      </w:r>
      <w:r w:rsidR="00F24993">
        <w:t>1</w:t>
      </w:r>
      <w:r w:rsidR="00274CF4" w:rsidRPr="005716DE">
        <w:t>, the fitting shows that the relation between moment magnitude (Mw) and local magnitude (ML) appear</w:t>
      </w:r>
      <w:r w:rsidR="0013124B">
        <w:t>s</w:t>
      </w:r>
      <w:r w:rsidR="00274CF4" w:rsidRPr="005716DE">
        <w:t xml:space="preserve"> as linear described in </w:t>
      </w:r>
      <w:r w:rsidR="00B93489">
        <w:t>E</w:t>
      </w:r>
      <w:r w:rsidR="00274CF4" w:rsidRPr="005716DE">
        <w:t>quation</w:t>
      </w:r>
      <w:r w:rsidR="001F2E98">
        <w:t xml:space="preserve"> 2</w:t>
      </w:r>
      <w:r w:rsidR="00274CF4" w:rsidRPr="005716DE">
        <w:t xml:space="preserve">. </w:t>
      </w:r>
      <w:r w:rsidR="009D5B8B">
        <w:t>Fi</w:t>
      </w:r>
      <w:r w:rsidR="001748F2">
        <w:t>fty percent</w:t>
      </w:r>
      <w:r w:rsidR="00274CF4" w:rsidRPr="005716DE">
        <w:t xml:space="preserve"> of total events </w:t>
      </w:r>
      <w:r w:rsidR="001748F2">
        <w:t xml:space="preserve">(7 events) </w:t>
      </w:r>
      <w:r w:rsidR="00274CF4" w:rsidRPr="005716DE">
        <w:t xml:space="preserve">show the distribution of data may not fit well to the regression </w:t>
      </w:r>
      <w:r w:rsidR="005517DE">
        <w:t>line</w:t>
      </w:r>
      <w:r w:rsidR="00274CF4" w:rsidRPr="005716DE">
        <w:t>. However, we suggest that the regression is adequate</w:t>
      </w:r>
      <w:r w:rsidR="004D2B07" w:rsidRPr="004D2B07">
        <w:t xml:space="preserve"> </w:t>
      </w:r>
      <w:r w:rsidR="004D2B07" w:rsidRPr="005716DE">
        <w:t>from the correlation value (R</w:t>
      </w:r>
      <w:r w:rsidR="004D2B07" w:rsidRPr="005716DE">
        <w:rPr>
          <w:vertAlign w:val="superscript"/>
        </w:rPr>
        <w:t>2</w:t>
      </w:r>
      <w:r w:rsidR="004D2B07" w:rsidRPr="005716DE">
        <w:t>)</w:t>
      </w:r>
      <w:r w:rsidR="00EF455B">
        <w:t>.</w:t>
      </w:r>
      <w:r w:rsidR="00274CF4" w:rsidRPr="005716DE">
        <w:rPr>
          <w:lang w:eastAsia="zh-CN"/>
        </w:rPr>
        <w:t xml:space="preserve"> </w:t>
      </w:r>
    </w:p>
    <w:p w14:paraId="5DFCEAE4" w14:textId="0B8B71F1" w:rsidR="00274CF4" w:rsidRPr="005716DE" w:rsidRDefault="00274CF4">
      <w:pPr>
        <w:pStyle w:val="Body"/>
        <w:spacing w:after="0"/>
        <w:rPr>
          <w:lang w:eastAsia="zh-CN"/>
        </w:rPr>
      </w:pPr>
      <w:r w:rsidRPr="005716DE">
        <w:rPr>
          <w:lang w:eastAsia="zh-CN"/>
        </w:rPr>
        <w:t xml:space="preserve">We also discuss the scaling of Mw-ML based on </w:t>
      </w:r>
      <w:r w:rsidR="00F91FF2">
        <w:rPr>
          <w:lang w:eastAsia="zh-CN"/>
        </w:rPr>
        <w:t xml:space="preserve">the </w:t>
      </w:r>
      <w:r w:rsidRPr="005716DE">
        <w:rPr>
          <w:lang w:eastAsia="zh-CN"/>
        </w:rPr>
        <w:t xml:space="preserve">calculation from </w:t>
      </w:r>
      <w:r w:rsidR="001C7CD2">
        <w:rPr>
          <w:lang w:eastAsia="zh-CN"/>
        </w:rPr>
        <w:t xml:space="preserve">the </w:t>
      </w:r>
      <w:r w:rsidRPr="005716DE">
        <w:rPr>
          <w:lang w:eastAsia="zh-CN"/>
        </w:rPr>
        <w:t>National Center for Earthquake Studies (PUSGEN), Indonesia</w:t>
      </w:r>
      <w:r w:rsidR="00F91FF2">
        <w:rPr>
          <w:lang w:eastAsia="zh-CN"/>
        </w:rPr>
        <w:t>.</w:t>
      </w:r>
      <w:r w:rsidRPr="005716DE">
        <w:rPr>
          <w:lang w:eastAsia="zh-CN"/>
        </w:rPr>
        <w:t xml:space="preserve">  </w:t>
      </w:r>
      <w:r w:rsidR="00F91FF2">
        <w:rPr>
          <w:lang w:eastAsia="zh-CN"/>
        </w:rPr>
        <w:t xml:space="preserve">The Mw-ML </w:t>
      </w:r>
      <w:r w:rsidRPr="005716DE">
        <w:rPr>
          <w:lang w:eastAsia="zh-CN"/>
        </w:rPr>
        <w:t xml:space="preserve">relationship </w:t>
      </w:r>
      <w:r w:rsidR="00F91FF2">
        <w:rPr>
          <w:lang w:eastAsia="zh-CN"/>
        </w:rPr>
        <w:t xml:space="preserve">is </w:t>
      </w:r>
      <w:r w:rsidRPr="005716DE">
        <w:rPr>
          <w:lang w:eastAsia="zh-CN"/>
        </w:rPr>
        <w:t xml:space="preserve">described in </w:t>
      </w:r>
      <w:r w:rsidR="004B7429">
        <w:rPr>
          <w:lang w:eastAsia="zh-CN"/>
        </w:rPr>
        <w:t>E</w:t>
      </w:r>
      <w:r w:rsidR="004B7429" w:rsidRPr="005716DE">
        <w:rPr>
          <w:lang w:eastAsia="zh-CN"/>
        </w:rPr>
        <w:t xml:space="preserve">quation </w:t>
      </w:r>
      <w:r w:rsidR="004B7429">
        <w:rPr>
          <w:lang w:eastAsia="zh-CN"/>
        </w:rPr>
        <w:t>3</w:t>
      </w:r>
      <w:r w:rsidR="004B7429" w:rsidRPr="005716DE">
        <w:rPr>
          <w:lang w:eastAsia="zh-CN"/>
        </w:rPr>
        <w:t xml:space="preserve"> </w:t>
      </w:r>
      <w:r w:rsidRPr="005716DE">
        <w:rPr>
          <w:lang w:eastAsia="zh-CN"/>
        </w:rPr>
        <w:fldChar w:fldCharType="begin" w:fldLock="1"/>
      </w:r>
      <w:r w:rsidR="00967EC3">
        <w:rPr>
          <w:lang w:eastAsia="zh-CN"/>
        </w:rPr>
        <w:instrText>ADDIN CSL_CITATION {"citationItems":[{"id":"ITEM-1","itemData":{"ISBN":"9786025489013","author":[{"dropping-particle":"","family":"Irsyam","given":"Masyhur","non-dropping-particle":"","parse-names":false,"suffix":""},{"dropping-particle":"","family":"Widiyantoro","given":"Sri","non-dropping-particle":"","parse-names":false,"suffix":""},{"dropping-particle":"","family":"Natawidjaja","given":"Danny Hilman","non-dropping-particle":"","parse-names":false,"suffix":""},{"dropping-particle":"","family":"Meilano","given":"Irwan","non-dropping-particle":"","parse-names":false,"suffix":""},{"dropping-particle":"","family":"Rudyanto","given":"Ariska","non-dropping-particle":"","parse-names":false,"suffix":""},{"dropping-particle":"","family":"Hidayati","given":"Sri","non-dropping-particle":"","parse-names":false,"suffix":""},{"dropping-particle":"","family":"Triyoso","given":"Wahyu","non-dropping-particle":"","parse-names":false,"suffix":""},{"dropping-particle":"","family":"Hanifa","given":"Nuraini Rahma","non-dropping-particle":"","parse-names":false,"suffix":""},{"dropping-particle":"","family":"Djarwadi","given":"Didiek","non-dropping-particle":"","parse-names":false,"suffix":""},{"dropping-particle":"","family":"Faizal","given":"Lutfi","non-dropping-particle":"","parse-names":false,"suffix":""}],"id":"ITEM-1","issued":{"date-parts":[["2017"]]},"publisher":"Research and development division, Ministry of Public of Works and Housing.","publisher-place":"Bandung","title":"Map of Source and Earthquake Hazard of Indonesia in 2017 (Manuscript in Indonesian)","type":"book"},"uris":["http://www.mendeley.com/documents/?uuid=ce8ba28a-c5d4-48d3-9a55-f178512977ae"]}],"mendeley":{"formattedCitation":"(Irsyam et al. 2017)","plainTextFormattedCitation":"(Irsyam et al. 2017)","previouslyFormattedCitation":"(Irsyam et al. 2017)"},"properties":{"noteIndex":0},"schema":"https://github.com/citation-style-language/schema/raw/master/csl-citation.json"}</w:instrText>
      </w:r>
      <w:r w:rsidRPr="005716DE">
        <w:rPr>
          <w:lang w:eastAsia="zh-CN"/>
        </w:rPr>
        <w:fldChar w:fldCharType="separate"/>
      </w:r>
      <w:r w:rsidR="005837CF" w:rsidRPr="005837CF">
        <w:rPr>
          <w:noProof/>
          <w:lang w:eastAsia="zh-CN"/>
        </w:rPr>
        <w:t>(Irsyam et al. 2017)</w:t>
      </w:r>
      <w:r w:rsidRPr="005716DE">
        <w:rPr>
          <w:lang w:eastAsia="zh-CN"/>
        </w:rPr>
        <w:fldChar w:fldCharType="end"/>
      </w:r>
      <w:r w:rsidRPr="005716DE">
        <w:rPr>
          <w:lang w:eastAsia="zh-CN"/>
        </w:rPr>
        <w:t xml:space="preserve">. </w:t>
      </w:r>
    </w:p>
    <w:p w14:paraId="4ACC1727" w14:textId="44C3E79E" w:rsidR="00274CF4" w:rsidRPr="005716DE" w:rsidRDefault="00274CF4">
      <w:pPr>
        <w:pStyle w:val="Body"/>
        <w:rPr>
          <w:lang w:eastAsia="zh-CN"/>
        </w:rPr>
      </w:pPr>
      <m:oMathPara>
        <m:oMath>
          <m:r>
            <w:rPr>
              <w:rFonts w:ascii="Cambria Math" w:hAnsi="Cambria Math"/>
              <w:lang w:eastAsia="zh-CN"/>
            </w:rPr>
            <m:t>Mw=0.7473 ML+1.0651                                                                       (3)</m:t>
          </m:r>
        </m:oMath>
      </m:oMathPara>
    </w:p>
    <w:p w14:paraId="3B8E1C38" w14:textId="1D9D5B25" w:rsidR="00595E10" w:rsidRDefault="00274CF4" w:rsidP="00595E10">
      <w:pPr>
        <w:pStyle w:val="Body"/>
        <w:rPr>
          <w:lang w:eastAsia="zh-CN"/>
        </w:rPr>
      </w:pPr>
      <w:r w:rsidRPr="005716DE">
        <w:rPr>
          <w:lang w:eastAsia="zh-CN"/>
        </w:rPr>
        <w:t xml:space="preserve">We </w:t>
      </w:r>
      <w:r w:rsidR="001C7CD2">
        <w:rPr>
          <w:lang w:eastAsia="zh-CN"/>
        </w:rPr>
        <w:t>conclude</w:t>
      </w:r>
      <w:r w:rsidRPr="005716DE">
        <w:rPr>
          <w:lang w:eastAsia="zh-CN"/>
        </w:rPr>
        <w:t xml:space="preserve"> that our result is not significantly different </w:t>
      </w:r>
      <w:r w:rsidR="001C7CD2">
        <w:rPr>
          <w:lang w:eastAsia="zh-CN"/>
        </w:rPr>
        <w:t>from</w:t>
      </w:r>
      <w:r w:rsidRPr="005716DE">
        <w:rPr>
          <w:lang w:eastAsia="zh-CN"/>
        </w:rPr>
        <w:t xml:space="preserve"> the calculation from PUSGEN even though the correlation value is lower.</w:t>
      </w:r>
      <w:r w:rsidRPr="005716DE">
        <w:rPr>
          <w:rFonts w:ascii="Arial" w:hAnsi="Arial" w:cs="Arial"/>
          <w:sz w:val="21"/>
          <w:szCs w:val="21"/>
        </w:rPr>
        <w:t xml:space="preserve"> </w:t>
      </w:r>
      <w:r w:rsidR="00461D74">
        <w:rPr>
          <w:lang w:eastAsia="zh-CN"/>
        </w:rPr>
        <w:t>The d</w:t>
      </w:r>
      <w:r w:rsidR="00F91FF2">
        <w:rPr>
          <w:lang w:eastAsia="zh-CN"/>
        </w:rPr>
        <w:t xml:space="preserve">ifferent </w:t>
      </w:r>
      <w:r w:rsidRPr="005716DE">
        <w:rPr>
          <w:lang w:eastAsia="zh-CN"/>
        </w:rPr>
        <w:t xml:space="preserve">correlation value is probably due to </w:t>
      </w:r>
      <w:r w:rsidRPr="005716DE">
        <w:t>lack of data in our analysis</w:t>
      </w:r>
      <w:r w:rsidRPr="005716DE">
        <w:rPr>
          <w:lang w:eastAsia="zh-CN"/>
        </w:rPr>
        <w:t xml:space="preserve">. Although the total of data in our analysis is rather small, this result may suggest the scaling of Mw-ML. </w:t>
      </w:r>
      <w:r w:rsidR="0057307C" w:rsidRPr="00147DF6">
        <w:rPr>
          <w:rFonts w:hint="eastAsia"/>
        </w:rPr>
        <w:t>The scaling investigated in this study is applicable for lower magnitude</w:t>
      </w:r>
      <w:r w:rsidR="00F91FF2" w:rsidRPr="00147DF6">
        <w:t>s</w:t>
      </w:r>
      <w:r w:rsidR="0057307C" w:rsidRPr="00147DF6">
        <w:rPr>
          <w:rFonts w:hint="eastAsia"/>
        </w:rPr>
        <w:t xml:space="preserve"> only.</w:t>
      </w:r>
      <w:r w:rsidR="0057307C">
        <w:rPr>
          <w:rFonts w:hint="eastAsia"/>
        </w:rPr>
        <w:t xml:space="preserve"> </w:t>
      </w:r>
      <w:r w:rsidRPr="005716DE">
        <w:rPr>
          <w:lang w:eastAsia="zh-CN"/>
        </w:rPr>
        <w:t xml:space="preserve">Our result also seems consistent with a previous study in a different region, such as the Central Lesser Antilles, Eastern Caribbean, which shows a linear relationship between local and moment magnitudes for moderate earthquakes </w:t>
      </w:r>
      <w:r w:rsidRPr="005716DE">
        <w:rPr>
          <w:lang w:eastAsia="zh-CN"/>
        </w:rPr>
        <w:fldChar w:fldCharType="begin" w:fldLock="1"/>
      </w:r>
      <w:r w:rsidRPr="005716DE">
        <w:rPr>
          <w:lang w:eastAsia="zh-CN"/>
        </w:rPr>
        <w:instrText>ADDIN CSL_CITATION {"citationItems":[{"id":"ITEM-1","itemData":{"DOI":"10.1016/j.tecto.2017.06.024","ISSN":"00401951","abstract":"Using waveform data gathered from the seismological networks of the Lesser Antilles, we calculate 38 moment tensors for earthquakes with M ≥ 3, from 2013 to middle of 2015 by full waveform inversion. Nine of these moment tensor solutions are in good agreement with those previously reported by other institutions, it provides some guarantee for 29 new moment tensors for the central region of the Lesser Antilles. For earthquakes within the upper Caribbean lithosphere, our results evidence that extensional and strike-slip focal mechanisms are predominant, resulting from the intra-plate deformation produced by the subduction of the North America and South American Plates under the Caribbean Plate, whereas very few thrust events are observed. For deeper earthquakes (&gt; 90 km), our results compare well with older focal mechanisms from previous studies, showing normal oblique or strike slip faulting within the subducted slab. However, the inversion for most of the deeper events is less reliable (as documented, for example, by their larger condition numbers). We use the newly obtained moment magnitudes to estimate the scaling relationship with the local magnitude MLv computed by the regional seismic network. The two magnitudes are consistent for earthquakes with magnitudes M &gt; 4, with a slope close to unity. Further work is needed to precise the scaling relation for M &lt; 4.","author":[{"dropping-particle":"","family":"González","given":"O'Leary L.","non-dropping-particle":"","parse-names":false,"suffix":""},{"dropping-particle":"","family":"Clouard","given":"Valerie","non-dropping-particle":"","parse-names":false,"suffix":""},{"dropping-particle":"","family":"Zahradnik","given":"Jiri","non-dropping-particle":"","parse-names":false,"suffix":""}],"container-title":"Tectonophysics","id":"ITEM-1","issue":"September","issued":{"date-parts":[["2017"]]},"page":"214-225","publisher":"Elsevier B.V.","title":"Moment tensor solutions along the central Lesser Antilles using regional broadband stations","type":"article-journal","volume":"717"},"uris":["http://www.mendeley.com/documents/?uuid=6b9b4279-2351-4d90-8e59-431f1c7580f7"]}],"mendeley":{"formattedCitation":"(González et al. 2017)","plainTextFormattedCitation":"(González et al. 2017)","previouslyFormattedCitation":"(González et al. 2017)"},"properties":{"noteIndex":0},"schema":"https://github.com/citation-style-language/schema/raw/master/csl-citation.json"}</w:instrText>
      </w:r>
      <w:r w:rsidRPr="005716DE">
        <w:rPr>
          <w:lang w:eastAsia="zh-CN"/>
        </w:rPr>
        <w:fldChar w:fldCharType="separate"/>
      </w:r>
      <w:r w:rsidRPr="005716DE">
        <w:rPr>
          <w:noProof/>
          <w:lang w:eastAsia="zh-CN"/>
        </w:rPr>
        <w:t>(González et al. 2017)</w:t>
      </w:r>
      <w:r w:rsidRPr="005716DE">
        <w:rPr>
          <w:lang w:eastAsia="zh-CN"/>
        </w:rPr>
        <w:fldChar w:fldCharType="end"/>
      </w:r>
      <w:r w:rsidRPr="005716DE">
        <w:rPr>
          <w:lang w:eastAsia="zh-CN"/>
        </w:rPr>
        <w:t>.</w:t>
      </w:r>
      <w:r w:rsidR="0057307C">
        <w:rPr>
          <w:lang w:eastAsia="zh-CN"/>
        </w:rPr>
        <w:t xml:space="preserve"> </w:t>
      </w:r>
      <w:r w:rsidR="00595E10">
        <w:rPr>
          <w:lang w:eastAsia="zh-CN"/>
        </w:rPr>
        <w:br w:type="page"/>
      </w:r>
    </w:p>
    <w:p w14:paraId="6BC309B9" w14:textId="77777777" w:rsidR="005837CF" w:rsidRDefault="005837CF" w:rsidP="005837CF">
      <w:pPr>
        <w:pStyle w:val="Body"/>
        <w:rPr>
          <w:lang w:eastAsia="zh-CN"/>
        </w:rPr>
      </w:pPr>
      <w:r w:rsidRPr="005837CF">
        <w:rPr>
          <w:b/>
          <w:bCs/>
          <w:lang w:eastAsia="zh-CN"/>
        </w:rPr>
        <w:lastRenderedPageBreak/>
        <w:t>References</w:t>
      </w:r>
      <w:r>
        <w:rPr>
          <w:lang w:eastAsia="zh-CN"/>
        </w:rPr>
        <w:t>:</w:t>
      </w:r>
    </w:p>
    <w:p w14:paraId="331AAFDE" w14:textId="3CF11643" w:rsidR="00967EC3" w:rsidRPr="00967EC3" w:rsidRDefault="005837CF" w:rsidP="00967EC3">
      <w:pPr>
        <w:widowControl w:val="0"/>
        <w:autoSpaceDE w:val="0"/>
        <w:autoSpaceDN w:val="0"/>
        <w:adjustRightInd w:val="0"/>
        <w:spacing w:line="360" w:lineRule="auto"/>
        <w:ind w:left="480" w:hanging="480"/>
        <w:rPr>
          <w:rFonts w:ascii="Times New Roman" w:hAnsi="Times New Roman" w:cs="Times New Roman"/>
          <w:noProof/>
          <w:sz w:val="24"/>
          <w:szCs w:val="24"/>
        </w:rPr>
      </w:pPr>
      <w:r>
        <w:rPr>
          <w:lang w:eastAsia="zh-CN"/>
        </w:rPr>
        <w:fldChar w:fldCharType="begin" w:fldLock="1"/>
      </w:r>
      <w:r>
        <w:rPr>
          <w:lang w:eastAsia="zh-CN"/>
        </w:rPr>
        <w:instrText xml:space="preserve">ADDIN Mendeley Bibliography CSL_BIBLIOGRAPHY </w:instrText>
      </w:r>
      <w:r>
        <w:rPr>
          <w:lang w:eastAsia="zh-CN"/>
        </w:rPr>
        <w:fldChar w:fldCharType="separate"/>
      </w:r>
      <w:r w:rsidR="00967EC3" w:rsidRPr="00967EC3">
        <w:rPr>
          <w:rFonts w:ascii="Times New Roman" w:hAnsi="Times New Roman" w:cs="Times New Roman"/>
          <w:noProof/>
          <w:sz w:val="24"/>
          <w:szCs w:val="24"/>
        </w:rPr>
        <w:t>González OL, Clouard V, Zahradnik J (2017) Moment tensor solutions along the central Lesser Antilles using regional broadband stations. Tectonophysics 717:214–225. https://doi.org/10.1016/j.tecto.2017.06.024</w:t>
      </w:r>
    </w:p>
    <w:p w14:paraId="21D9B0F7" w14:textId="77777777" w:rsidR="00967EC3" w:rsidRPr="00967EC3" w:rsidRDefault="00967EC3" w:rsidP="00967EC3">
      <w:pPr>
        <w:widowControl w:val="0"/>
        <w:autoSpaceDE w:val="0"/>
        <w:autoSpaceDN w:val="0"/>
        <w:adjustRightInd w:val="0"/>
        <w:spacing w:line="360" w:lineRule="auto"/>
        <w:ind w:left="480" w:hanging="480"/>
        <w:rPr>
          <w:rFonts w:ascii="Times New Roman" w:hAnsi="Times New Roman" w:cs="Times New Roman"/>
          <w:noProof/>
          <w:sz w:val="24"/>
          <w:szCs w:val="24"/>
        </w:rPr>
      </w:pPr>
      <w:r w:rsidRPr="00967EC3">
        <w:rPr>
          <w:rFonts w:ascii="Times New Roman" w:hAnsi="Times New Roman" w:cs="Times New Roman"/>
          <w:noProof/>
          <w:sz w:val="24"/>
          <w:szCs w:val="24"/>
        </w:rPr>
        <w:t>Irsyam M, Widiyantoro S, Natawidjaja DH, et al (2017) Map of Source and Earthquake Hazard of Indonesia in 2017 (Manuscript in Indonesian). Research and development division, Ministry of Public of Works and Housing., Bandung</w:t>
      </w:r>
    </w:p>
    <w:p w14:paraId="3766BAFD" w14:textId="77777777" w:rsidR="00967EC3" w:rsidRPr="00967EC3" w:rsidRDefault="00967EC3" w:rsidP="00967EC3">
      <w:pPr>
        <w:widowControl w:val="0"/>
        <w:autoSpaceDE w:val="0"/>
        <w:autoSpaceDN w:val="0"/>
        <w:adjustRightInd w:val="0"/>
        <w:spacing w:line="360" w:lineRule="auto"/>
        <w:ind w:left="480" w:hanging="480"/>
        <w:rPr>
          <w:rFonts w:ascii="Times New Roman" w:hAnsi="Times New Roman" w:cs="Times New Roman"/>
          <w:noProof/>
          <w:sz w:val="24"/>
          <w:szCs w:val="24"/>
        </w:rPr>
      </w:pPr>
      <w:r w:rsidRPr="00967EC3">
        <w:rPr>
          <w:rFonts w:ascii="Times New Roman" w:hAnsi="Times New Roman" w:cs="Times New Roman"/>
          <w:noProof/>
          <w:sz w:val="24"/>
          <w:szCs w:val="24"/>
        </w:rPr>
        <w:t>Kanamori H (1983) Magnitude scale and quantification of earthquakes. Tectonophysics 93:185–199. https://doi.org/10.1016/0040-1951(83)90273-1</w:t>
      </w:r>
    </w:p>
    <w:p w14:paraId="7B204BC8" w14:textId="77777777" w:rsidR="00967EC3" w:rsidRPr="00967EC3" w:rsidRDefault="00967EC3" w:rsidP="00967EC3">
      <w:pPr>
        <w:widowControl w:val="0"/>
        <w:autoSpaceDE w:val="0"/>
        <w:autoSpaceDN w:val="0"/>
        <w:adjustRightInd w:val="0"/>
        <w:spacing w:line="360" w:lineRule="auto"/>
        <w:ind w:left="480" w:hanging="480"/>
        <w:rPr>
          <w:rFonts w:ascii="Times New Roman" w:hAnsi="Times New Roman" w:cs="Times New Roman"/>
          <w:noProof/>
          <w:sz w:val="24"/>
          <w:szCs w:val="24"/>
        </w:rPr>
      </w:pPr>
      <w:r w:rsidRPr="00967EC3">
        <w:rPr>
          <w:rFonts w:ascii="Times New Roman" w:hAnsi="Times New Roman" w:cs="Times New Roman"/>
          <w:noProof/>
          <w:sz w:val="24"/>
          <w:szCs w:val="24"/>
        </w:rPr>
        <w:t>Richter CF (1935) An instrumental earthquake magnitude scale. Bull Seismol Soc Am 25:1–32</w:t>
      </w:r>
    </w:p>
    <w:p w14:paraId="210829A0" w14:textId="77777777" w:rsidR="00967EC3" w:rsidRPr="00967EC3" w:rsidRDefault="00967EC3" w:rsidP="00967EC3">
      <w:pPr>
        <w:widowControl w:val="0"/>
        <w:autoSpaceDE w:val="0"/>
        <w:autoSpaceDN w:val="0"/>
        <w:adjustRightInd w:val="0"/>
        <w:spacing w:line="360" w:lineRule="auto"/>
        <w:ind w:left="480" w:hanging="480"/>
        <w:rPr>
          <w:rFonts w:ascii="Times New Roman" w:hAnsi="Times New Roman" w:cs="Times New Roman"/>
          <w:noProof/>
          <w:sz w:val="24"/>
        </w:rPr>
      </w:pPr>
      <w:r w:rsidRPr="00967EC3">
        <w:rPr>
          <w:rFonts w:ascii="Times New Roman" w:hAnsi="Times New Roman" w:cs="Times New Roman"/>
          <w:noProof/>
          <w:sz w:val="24"/>
          <w:szCs w:val="24"/>
        </w:rPr>
        <w:t>Shearer PM (2009) Introduction to Seismology. Cambridge University Press, Cambridge</w:t>
      </w:r>
    </w:p>
    <w:p w14:paraId="06AE3A07" w14:textId="776A1D40" w:rsidR="00F40DFB" w:rsidRPr="00F40DFB" w:rsidRDefault="005837CF" w:rsidP="00967EC3">
      <w:pPr>
        <w:widowControl w:val="0"/>
        <w:autoSpaceDE w:val="0"/>
        <w:autoSpaceDN w:val="0"/>
        <w:adjustRightInd w:val="0"/>
        <w:spacing w:line="360" w:lineRule="auto"/>
        <w:ind w:left="480" w:hanging="480"/>
        <w:rPr>
          <w:rFonts w:ascii="Times New Roman" w:hAnsi="Times New Roman" w:cs="Times New Roman"/>
          <w:sz w:val="24"/>
          <w:szCs w:val="24"/>
          <w:lang w:eastAsia="zh-CN"/>
        </w:rPr>
      </w:pPr>
      <w:r>
        <w:rPr>
          <w:lang w:eastAsia="zh-CN"/>
        </w:rPr>
        <w:fldChar w:fldCharType="end"/>
      </w:r>
    </w:p>
    <w:sectPr w:rsidR="00F40DFB" w:rsidRPr="00F40DFB" w:rsidSect="00274CF4">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CF4"/>
    <w:rsid w:val="00036978"/>
    <w:rsid w:val="000A0997"/>
    <w:rsid w:val="000D2F22"/>
    <w:rsid w:val="0013124B"/>
    <w:rsid w:val="00147DF6"/>
    <w:rsid w:val="001748F2"/>
    <w:rsid w:val="001C7CD2"/>
    <w:rsid w:val="001D74CA"/>
    <w:rsid w:val="001F2E98"/>
    <w:rsid w:val="00274CF4"/>
    <w:rsid w:val="002B0026"/>
    <w:rsid w:val="00430152"/>
    <w:rsid w:val="00461D74"/>
    <w:rsid w:val="004B5D85"/>
    <w:rsid w:val="004B7429"/>
    <w:rsid w:val="004D2B07"/>
    <w:rsid w:val="005106F2"/>
    <w:rsid w:val="005517DE"/>
    <w:rsid w:val="0057307C"/>
    <w:rsid w:val="00575D2B"/>
    <w:rsid w:val="005837CF"/>
    <w:rsid w:val="00595E10"/>
    <w:rsid w:val="00611390"/>
    <w:rsid w:val="00671EEB"/>
    <w:rsid w:val="00686EA0"/>
    <w:rsid w:val="00727048"/>
    <w:rsid w:val="00734262"/>
    <w:rsid w:val="007E3C9D"/>
    <w:rsid w:val="008B72CB"/>
    <w:rsid w:val="008E40EC"/>
    <w:rsid w:val="008E76DE"/>
    <w:rsid w:val="00910226"/>
    <w:rsid w:val="00923798"/>
    <w:rsid w:val="009642B7"/>
    <w:rsid w:val="00967EC3"/>
    <w:rsid w:val="0098410E"/>
    <w:rsid w:val="009A4551"/>
    <w:rsid w:val="009D5B8B"/>
    <w:rsid w:val="00A31AB4"/>
    <w:rsid w:val="00A3435A"/>
    <w:rsid w:val="00A5204B"/>
    <w:rsid w:val="00AB2903"/>
    <w:rsid w:val="00AC26CB"/>
    <w:rsid w:val="00AC27E4"/>
    <w:rsid w:val="00B90E9B"/>
    <w:rsid w:val="00B93489"/>
    <w:rsid w:val="00BB0F82"/>
    <w:rsid w:val="00CC6728"/>
    <w:rsid w:val="00D9460F"/>
    <w:rsid w:val="00DA0A8E"/>
    <w:rsid w:val="00E0368C"/>
    <w:rsid w:val="00E731A8"/>
    <w:rsid w:val="00ED4728"/>
    <w:rsid w:val="00EF455B"/>
    <w:rsid w:val="00EF5FA7"/>
    <w:rsid w:val="00F24993"/>
    <w:rsid w:val="00F40DFB"/>
    <w:rsid w:val="00F73377"/>
    <w:rsid w:val="00F91FF2"/>
    <w:rsid w:val="00FB692F"/>
    <w:rsid w:val="00FC170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54F31"/>
  <w15:chartTrackingRefBased/>
  <w15:docId w15:val="{0600E12F-78C0-43DC-BDC4-CF4DA326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CF4"/>
    <w:rPr>
      <w:rFonts w:eastAsiaTheme="minorHAnsi"/>
      <w:sz w:val="20"/>
      <w:szCs w:val="20"/>
      <w:lang w:val="en-US"/>
    </w:rPr>
  </w:style>
  <w:style w:type="paragraph" w:styleId="Heading2">
    <w:name w:val="heading 2"/>
    <w:basedOn w:val="Normal"/>
    <w:next w:val="Normal"/>
    <w:link w:val="Heading2Char"/>
    <w:uiPriority w:val="9"/>
    <w:unhideWhenUsed/>
    <w:qFormat/>
    <w:rsid w:val="00274CF4"/>
    <w:pPr>
      <w:spacing w:after="0" w:line="360" w:lineRule="auto"/>
      <w:outlineLvl w:val="1"/>
    </w:pPr>
    <w:rPr>
      <w:rFonts w:ascii="Times New Roman"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274CF4"/>
  </w:style>
  <w:style w:type="character" w:customStyle="1" w:styleId="Heading2Char">
    <w:name w:val="Heading 2 Char"/>
    <w:basedOn w:val="DefaultParagraphFont"/>
    <w:link w:val="Heading2"/>
    <w:uiPriority w:val="9"/>
    <w:rsid w:val="00274CF4"/>
    <w:rPr>
      <w:rFonts w:ascii="Times New Roman" w:eastAsiaTheme="minorHAnsi" w:hAnsi="Times New Roman" w:cs="Times New Roman"/>
      <w:b/>
      <w:bCs/>
      <w:sz w:val="24"/>
      <w:szCs w:val="24"/>
    </w:rPr>
  </w:style>
  <w:style w:type="paragraph" w:customStyle="1" w:styleId="Body">
    <w:name w:val="Body"/>
    <w:basedOn w:val="Normal"/>
    <w:qFormat/>
    <w:rsid w:val="00274CF4"/>
    <w:pPr>
      <w:spacing w:line="36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F40DFB"/>
    <w:rPr>
      <w:color w:val="0563C1" w:themeColor="hyperlink"/>
      <w:u w:val="single"/>
    </w:rPr>
  </w:style>
  <w:style w:type="character" w:styleId="UnresolvedMention">
    <w:name w:val="Unresolved Mention"/>
    <w:basedOn w:val="DefaultParagraphFont"/>
    <w:uiPriority w:val="99"/>
    <w:semiHidden/>
    <w:unhideWhenUsed/>
    <w:rsid w:val="00F40DFB"/>
    <w:rPr>
      <w:color w:val="605E5C"/>
      <w:shd w:val="clear" w:color="auto" w:fill="E1DFDD"/>
    </w:rPr>
  </w:style>
  <w:style w:type="character" w:styleId="CommentReference">
    <w:name w:val="annotation reference"/>
    <w:basedOn w:val="DefaultParagraphFont"/>
    <w:uiPriority w:val="99"/>
    <w:semiHidden/>
    <w:unhideWhenUsed/>
    <w:rsid w:val="00923798"/>
    <w:rPr>
      <w:sz w:val="16"/>
      <w:szCs w:val="16"/>
    </w:rPr>
  </w:style>
  <w:style w:type="paragraph" w:styleId="CommentText">
    <w:name w:val="annotation text"/>
    <w:basedOn w:val="Normal"/>
    <w:link w:val="CommentTextChar"/>
    <w:uiPriority w:val="99"/>
    <w:semiHidden/>
    <w:unhideWhenUsed/>
    <w:rsid w:val="00923798"/>
    <w:pPr>
      <w:spacing w:line="240" w:lineRule="auto"/>
    </w:pPr>
  </w:style>
  <w:style w:type="character" w:customStyle="1" w:styleId="CommentTextChar">
    <w:name w:val="Comment Text Char"/>
    <w:basedOn w:val="DefaultParagraphFont"/>
    <w:link w:val="CommentText"/>
    <w:uiPriority w:val="99"/>
    <w:semiHidden/>
    <w:rsid w:val="00923798"/>
    <w:rPr>
      <w:rFonts w:eastAsiaTheme="minorHAnsi"/>
      <w:sz w:val="20"/>
      <w:szCs w:val="20"/>
      <w:lang w:val="en-US"/>
    </w:rPr>
  </w:style>
  <w:style w:type="paragraph" w:styleId="CommentSubject">
    <w:name w:val="annotation subject"/>
    <w:basedOn w:val="CommentText"/>
    <w:next w:val="CommentText"/>
    <w:link w:val="CommentSubjectChar"/>
    <w:uiPriority w:val="99"/>
    <w:semiHidden/>
    <w:unhideWhenUsed/>
    <w:rsid w:val="00923798"/>
    <w:rPr>
      <w:b/>
      <w:bCs/>
    </w:rPr>
  </w:style>
  <w:style w:type="character" w:customStyle="1" w:styleId="CommentSubjectChar">
    <w:name w:val="Comment Subject Char"/>
    <w:basedOn w:val="CommentTextChar"/>
    <w:link w:val="CommentSubject"/>
    <w:uiPriority w:val="99"/>
    <w:semiHidden/>
    <w:rsid w:val="00923798"/>
    <w:rPr>
      <w:rFonts w:eastAsiaTheme="minorHAnsi"/>
      <w:b/>
      <w:bCs/>
      <w:sz w:val="20"/>
      <w:szCs w:val="20"/>
      <w:lang w:val="en-US"/>
    </w:rPr>
  </w:style>
  <w:style w:type="paragraph" w:styleId="Revision">
    <w:name w:val="Revision"/>
    <w:hidden/>
    <w:uiPriority w:val="99"/>
    <w:semiHidden/>
    <w:rsid w:val="00923798"/>
    <w:pPr>
      <w:spacing w:after="0" w:line="240" w:lineRule="auto"/>
    </w:pPr>
    <w:rPr>
      <w:rFonts w:eastAsiaTheme="minorHAns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9BA119B-CA31-4B2C-A777-2220DCADC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2198</Words>
  <Characters>12532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M</dc:creator>
  <cp:keywords/>
  <dc:description/>
  <cp:lastModifiedBy>Aditya Dwi Prasetio</cp:lastModifiedBy>
  <cp:revision>5</cp:revision>
  <dcterms:created xsi:type="dcterms:W3CDTF">2021-09-22T09:58:00Z</dcterms:created>
  <dcterms:modified xsi:type="dcterms:W3CDTF">2021-10-19T10:38:00Z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http://www.zotero.org/styles/american-institute-of-physics</vt:lpwstr>
  </property>
  <property fmtid="{D5CDD505-2E9C-101B-9397-08002B2CF9AE}" pid="3" name="Mendeley Recent Style Name 0_1">
    <vt:lpwstr>American Institute of Physics</vt:lpwstr>
  </property>
  <property fmtid="{D5CDD505-2E9C-101B-9397-08002B2CF9AE}" pid="4" name="Mendeley Recent Style Id 1_1">
    <vt:lpwstr>https://csl.mendeley.com/styles/578692671/american-institute-of-physics-2</vt:lpwstr>
  </property>
  <property fmtid="{D5CDD505-2E9C-101B-9397-08002B2CF9AE}" pid="5" name="Mendeley Recent Style Name 1_1">
    <vt:lpwstr>American Institute of Physics - Aditya Dwi  Prasetio</vt:lpwstr>
  </property>
  <property fmtid="{D5CDD505-2E9C-101B-9397-08002B2CF9AE}" pid="6" name="Mendeley Recent Style Id 2_1">
    <vt:lpwstr>http://www.zotero.org/styles/american-medical-association</vt:lpwstr>
  </property>
  <property fmtid="{D5CDD505-2E9C-101B-9397-08002B2CF9AE}" pid="7" name="Mendeley Recent Style Name 2_1">
    <vt:lpwstr>American Medical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http://www.zotero.org/styles/elsevier-harvard</vt:lpwstr>
  </property>
  <property fmtid="{D5CDD505-2E9C-101B-9397-08002B2CF9AE}" pid="11" name="Mendeley Recent Style Name 4_1">
    <vt:lpwstr>Elsevier - Harvard (with titles)</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http://www.zotero.org/styles/springer-basic-author-date</vt:lpwstr>
  </property>
  <property fmtid="{D5CDD505-2E9C-101B-9397-08002B2CF9AE}" pid="15" name="Mendeley Recent Style Name 6_1">
    <vt:lpwstr>Springer - Basic (author-date)</vt:lpwstr>
  </property>
  <property fmtid="{D5CDD505-2E9C-101B-9397-08002B2CF9AE}" pid="16" name="Mendeley Recent Style Id 7_1">
    <vt:lpwstr>http://www.zotero.org/styles/vancouver</vt:lpwstr>
  </property>
  <property fmtid="{D5CDD505-2E9C-101B-9397-08002B2CF9AE}" pid="17" name="Mendeley Recent Style Name 7_1">
    <vt:lpwstr>Vancouver</vt:lpwstr>
  </property>
  <property fmtid="{D5CDD505-2E9C-101B-9397-08002B2CF9AE}" pid="18" name="Mendeley Recent Style Id 8_1">
    <vt:lpwstr>http://www.zotero.org/styles/vancouver-fr-ca</vt:lpwstr>
  </property>
  <property fmtid="{D5CDD505-2E9C-101B-9397-08002B2CF9AE}" pid="19" name="Mendeley Recent Style Name 8_1">
    <vt:lpwstr>Vancouver (French - Canada)</vt:lpwstr>
  </property>
  <property fmtid="{D5CDD505-2E9C-101B-9397-08002B2CF9AE}" pid="20" name="Mendeley Recent Style Id 9_1">
    <vt:lpwstr>http://www.zotero.org/styles/vancouver-brackets</vt:lpwstr>
  </property>
  <property fmtid="{D5CDD505-2E9C-101B-9397-08002B2CF9AE}" pid="21" name="Mendeley Recent Style Name 9_1">
    <vt:lpwstr>Vancouver (brackets)</vt:lpwstr>
  </property>
  <property fmtid="{D5CDD505-2E9C-101B-9397-08002B2CF9AE}" pid="22" name="Mendeley Citation Style_1">
    <vt:lpwstr>http://www.zotero.org/styles/springer-basic-author-date</vt:lpwstr>
  </property>
  <property fmtid="{D5CDD505-2E9C-101B-9397-08002B2CF9AE}" pid="23" name="Mendeley Document_1">
    <vt:lpwstr>True</vt:lpwstr>
  </property>
  <property fmtid="{D5CDD505-2E9C-101B-9397-08002B2CF9AE}" pid="24" name="Mendeley Unique User Id_1">
    <vt:lpwstr>4fc6fe28-6797-3515-ad8b-c46e79d05331</vt:lpwstr>
  </property>
</Properties>
</file>