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6951E" w14:textId="62E51109" w:rsidR="000D09E0" w:rsidRDefault="000D09E0" w:rsidP="000D09E0">
      <w:pPr>
        <w:rPr>
          <w:rFonts w:ascii="Times New Roman" w:eastAsia="맑은 고딕" w:hAnsi="Times New Roman" w:cs="Times New Roman"/>
          <w:b/>
          <w:bCs/>
          <w:color w:val="000000" w:themeColor="text1"/>
          <w:lang w:eastAsia="zh-TW"/>
        </w:rPr>
      </w:pPr>
      <w:r w:rsidRPr="006E660A">
        <w:rPr>
          <w:rFonts w:ascii="Times New Roman" w:eastAsia="맑은 고딕" w:hAnsi="Times New Roman" w:cs="Times New Roman"/>
          <w:b/>
          <w:bCs/>
          <w:color w:val="000000" w:themeColor="text1"/>
          <w:lang w:eastAsia="zh-TW"/>
        </w:rPr>
        <w:t xml:space="preserve">List of </w:t>
      </w:r>
      <w:r>
        <w:rPr>
          <w:rFonts w:ascii="Times New Roman" w:eastAsia="맑은 고딕" w:hAnsi="Times New Roman" w:cs="Times New Roman"/>
          <w:b/>
          <w:bCs/>
          <w:color w:val="000000" w:themeColor="text1"/>
          <w:lang w:eastAsia="zh-TW"/>
        </w:rPr>
        <w:t xml:space="preserve">Supplementary </w:t>
      </w:r>
      <w:r w:rsidRPr="006E660A">
        <w:rPr>
          <w:rFonts w:ascii="Times New Roman" w:eastAsia="맑은 고딕" w:hAnsi="Times New Roman" w:cs="Times New Roman"/>
          <w:b/>
          <w:bCs/>
          <w:color w:val="000000" w:themeColor="text1"/>
          <w:lang w:eastAsia="zh-TW"/>
        </w:rPr>
        <w:t>Figures</w:t>
      </w:r>
    </w:p>
    <w:p w14:paraId="0726BA8A" w14:textId="7E9E4A7F" w:rsidR="00130F5A" w:rsidRPr="009134B3" w:rsidRDefault="009134B3" w:rsidP="009134B3">
      <w:pPr>
        <w:ind w:left="-810"/>
        <w:jc w:val="center"/>
        <w:rPr>
          <w:rFonts w:ascii="Times New Roman" w:eastAsia="맑은 고딕" w:hAnsi="Times New Roman" w:cs="Times New Roman"/>
          <w:b/>
          <w:bCs/>
          <w:color w:val="000000" w:themeColor="text1"/>
          <w:lang w:val="en-GB" w:eastAsia="zh-TW"/>
        </w:rPr>
      </w:pPr>
      <w:r w:rsidRPr="009134B3">
        <w:rPr>
          <w:rFonts w:ascii="Times New Roman" w:eastAsia="맑은 고딕" w:hAnsi="Times New Roman" w:cs="Times New Roman"/>
          <w:b/>
          <w:bCs/>
          <w:color w:val="000000" w:themeColor="text1"/>
          <w:lang w:val="en-GB" w:eastAsia="zh-TW"/>
        </w:rPr>
        <w:drawing>
          <wp:inline distT="0" distB="0" distL="0" distR="0" wp14:anchorId="63A8EA9D" wp14:editId="4F291353">
            <wp:extent cx="9253046" cy="3891686"/>
            <wp:effectExtent l="0" t="0" r="5715" b="0"/>
            <wp:docPr id="2026385604" name="Picture 1" descr="A graph of a graph of a wa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85604" name="Picture 1" descr="A graph of a graph of a wave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68108" cy="3898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05670" w14:textId="1AB95BC6" w:rsidR="00130F5A" w:rsidRPr="00130F5A" w:rsidRDefault="00130F5A" w:rsidP="00130F5A">
      <w:pPr>
        <w:jc w:val="both"/>
        <w:rPr>
          <w:rFonts w:asciiTheme="majorBidi" w:hAnsiTheme="majorBidi" w:cstheme="majorBidi"/>
        </w:rPr>
      </w:pPr>
      <w:bookmarkStart w:id="0" w:name="_Hlk169611859"/>
      <w:r>
        <w:rPr>
          <w:rFonts w:asciiTheme="majorBidi" w:hAnsiTheme="majorBidi" w:cstheme="majorBidi"/>
        </w:rPr>
        <w:t xml:space="preserve">Figure S1. </w:t>
      </w:r>
      <w:r>
        <w:rPr>
          <w:rFonts w:asciiTheme="majorBidi" w:hAnsiTheme="majorBidi" w:cstheme="majorBidi" w:hint="eastAsia"/>
        </w:rPr>
        <w:t xml:space="preserve">The Intrinsic Mode Function (IMFs:) </w:t>
      </w:r>
      <w:r w:rsidR="00DA2ED4">
        <w:rPr>
          <w:rFonts w:asciiTheme="majorBidi" w:hAnsiTheme="majorBidi" w:cstheme="majorBidi" w:hint="eastAsia"/>
        </w:rPr>
        <w:t>from the decomposition of</w:t>
      </w:r>
      <w:r>
        <w:rPr>
          <w:rFonts w:asciiTheme="majorBidi" w:hAnsiTheme="majorBidi" w:cstheme="majorBidi" w:hint="eastAsia"/>
        </w:rPr>
        <w:t xml:space="preserve"> daily East Asian </w:t>
      </w:r>
      <w:r>
        <w:rPr>
          <w:rFonts w:asciiTheme="majorBidi" w:hAnsiTheme="majorBidi" w:cstheme="majorBidi"/>
        </w:rPr>
        <w:t>domain</w:t>
      </w:r>
      <w:r>
        <w:rPr>
          <w:rFonts w:asciiTheme="majorBidi" w:hAnsiTheme="majorBidi" w:cstheme="majorBidi" w:hint="eastAsia"/>
        </w:rPr>
        <w:t>-averaged (a)</w:t>
      </w:r>
      <w:r w:rsidR="00DA2ED4">
        <w:rPr>
          <w:rFonts w:asciiTheme="majorBidi" w:hAnsiTheme="majorBidi" w:cstheme="majorBidi" w:hint="eastAsia"/>
        </w:rPr>
        <w:t xml:space="preserve"> using Empirical Model Decomposition (EMD) representing eight oscillations (</w:t>
      </w:r>
      <w:r w:rsidR="007062F4">
        <w:rPr>
          <w:rFonts w:asciiTheme="majorBidi" w:hAnsiTheme="majorBidi" w:cstheme="majorBidi" w:hint="eastAsia"/>
        </w:rPr>
        <w:t xml:space="preserve">IMF1 to IMF8; </w:t>
      </w:r>
      <w:r w:rsidR="00DA2ED4">
        <w:rPr>
          <w:rFonts w:asciiTheme="majorBidi" w:hAnsiTheme="majorBidi" w:cstheme="majorBidi" w:hint="eastAsia"/>
        </w:rPr>
        <w:t xml:space="preserve">b-i) of various temporal scales. </w:t>
      </w:r>
      <w:r w:rsidR="005F2268" w:rsidRPr="005F2268">
        <w:rPr>
          <w:rFonts w:asciiTheme="majorBidi" w:hAnsiTheme="majorBidi" w:cstheme="majorBidi"/>
        </w:rPr>
        <w:t>Each panel also displays the variance contribution of the corresponding IMF to the total variance of the original Hs data, with percentages indicating the relative variance explained.</w:t>
      </w:r>
    </w:p>
    <w:bookmarkEnd w:id="0"/>
    <w:p w14:paraId="534960CE" w14:textId="177C6B6D" w:rsidR="001763D8" w:rsidRPr="001763D8" w:rsidRDefault="001763D8" w:rsidP="001763D8">
      <w:pPr>
        <w:rPr>
          <w:lang w:val="en-GB"/>
        </w:rPr>
      </w:pPr>
    </w:p>
    <w:p w14:paraId="27145F30" w14:textId="77777777" w:rsidR="001763D8" w:rsidRDefault="001763D8" w:rsidP="001763D8">
      <w:pPr>
        <w:rPr>
          <w:lang w:val="en-GB"/>
        </w:rPr>
      </w:pPr>
    </w:p>
    <w:p w14:paraId="326B850C" w14:textId="669C28A4" w:rsidR="001763D8" w:rsidRDefault="001763D8" w:rsidP="001763D8">
      <w:pPr>
        <w:jc w:val="right"/>
        <w:rPr>
          <w:lang w:val="en-GB"/>
        </w:rPr>
        <w:sectPr w:rsidR="001763D8" w:rsidSect="001763D8">
          <w:pgSz w:w="15840" w:h="12240" w:orient="landscape"/>
          <w:pgMar w:top="1440" w:right="1701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4A69F57F" w14:textId="121D7A17" w:rsidR="000D09E0" w:rsidRDefault="005D58B9" w:rsidP="006E660A">
      <w:pPr>
        <w:tabs>
          <w:tab w:val="left" w:pos="1230"/>
        </w:tabs>
        <w:rPr>
          <w:lang w:val="en-GB"/>
        </w:rPr>
      </w:pPr>
      <w:r w:rsidRPr="005D58B9">
        <w:rPr>
          <w:lang w:val="en-GB"/>
        </w:rPr>
        <w:lastRenderedPageBreak/>
        <w:drawing>
          <wp:inline distT="0" distB="0" distL="0" distR="0" wp14:anchorId="1A9B69A7" wp14:editId="0FE18552">
            <wp:extent cx="5943600" cy="6155690"/>
            <wp:effectExtent l="0" t="0" r="0" b="0"/>
            <wp:docPr id="962664730" name="Picture 1" descr="A group of black and white graph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664730" name="Picture 1" descr="A group of black and white graphs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5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D227A" w14:textId="1C85AC26" w:rsidR="006F3A31" w:rsidRDefault="000D09E0" w:rsidP="00495C41">
      <w:pPr>
        <w:jc w:val="both"/>
      </w:pPr>
      <w:bookmarkStart w:id="1" w:name="_Hlk169609657"/>
      <w:r>
        <w:rPr>
          <w:rFonts w:asciiTheme="majorBidi" w:hAnsiTheme="majorBidi" w:cstheme="majorBidi"/>
        </w:rPr>
        <w:t>Figure S</w:t>
      </w:r>
      <w:r w:rsidR="007062F4">
        <w:rPr>
          <w:rFonts w:asciiTheme="majorBidi" w:hAnsiTheme="majorBidi" w:cstheme="majorBidi" w:hint="eastAsia"/>
        </w:rPr>
        <w:t>2</w:t>
      </w:r>
      <w:r>
        <w:rPr>
          <w:rFonts w:asciiTheme="majorBidi" w:hAnsiTheme="majorBidi" w:cstheme="majorBidi"/>
        </w:rPr>
        <w:t xml:space="preserve">. Power Spectral Density of Each Intrinsic Mode Function </w:t>
      </w:r>
      <w:r w:rsidR="00C85FF0">
        <w:rPr>
          <w:rFonts w:asciiTheme="majorBidi" w:hAnsiTheme="majorBidi" w:cstheme="majorBidi" w:hint="eastAsia"/>
        </w:rPr>
        <w:t xml:space="preserve">(IMF1 to IMF8 </w:t>
      </w:r>
      <w:r w:rsidR="00495C41">
        <w:rPr>
          <w:rFonts w:asciiTheme="majorBidi" w:hAnsiTheme="majorBidi" w:cstheme="majorBidi"/>
        </w:rPr>
        <w:t>from</w:t>
      </w:r>
      <w:r w:rsidR="00C85FF0">
        <w:rPr>
          <w:rFonts w:asciiTheme="majorBidi" w:hAnsiTheme="majorBidi" w:cstheme="majorBidi" w:hint="eastAsia"/>
        </w:rPr>
        <w:t xml:space="preserve"> Figure S1</w:t>
      </w:r>
      <w:r w:rsidR="00BB3EDB">
        <w:rPr>
          <w:rFonts w:asciiTheme="majorBidi" w:hAnsiTheme="majorBidi" w:cstheme="majorBidi"/>
        </w:rPr>
        <w:t xml:space="preserve">, for example, panel (a) corresponds to IMF1 in Figure S1 panel (b), panel (b) corresponds to IMF2 in Figure S1 panel (c) and so on), </w:t>
      </w:r>
      <w:r w:rsidR="00C85FF0">
        <w:rPr>
          <w:rFonts w:asciiTheme="majorBidi" w:hAnsiTheme="majorBidi" w:cstheme="majorBidi" w:hint="eastAsia"/>
        </w:rPr>
        <w:t>showing</w:t>
      </w:r>
      <w:r>
        <w:rPr>
          <w:rFonts w:asciiTheme="majorBidi" w:hAnsiTheme="majorBidi" w:cstheme="majorBidi"/>
        </w:rPr>
        <w:t xml:space="preserve"> </w:t>
      </w:r>
      <w:r w:rsidR="00495C41">
        <w:rPr>
          <w:rFonts w:asciiTheme="majorBidi" w:hAnsiTheme="majorBidi" w:cstheme="majorBidi"/>
        </w:rPr>
        <w:t xml:space="preserve">the dominant energy periods. Panels (a-c) correspond to IMFs with the peak with peak periods of less than </w:t>
      </w:r>
      <w:r w:rsidR="001763D8">
        <w:rPr>
          <w:rFonts w:asciiTheme="majorBidi" w:hAnsiTheme="majorBidi" w:cstheme="majorBidi" w:hint="eastAsia"/>
        </w:rPr>
        <w:t>6 months</w:t>
      </w:r>
      <w:r w:rsidR="00495C41">
        <w:rPr>
          <w:rFonts w:asciiTheme="majorBidi" w:hAnsiTheme="majorBidi" w:cstheme="majorBidi"/>
        </w:rPr>
        <w:t>, capturing sub-seasonal variations. Panel (d) shows the seasonal with energy peaks around 1 year. Panels (e-f) depict interannual variations, with dominant periods ranging from 1 to several years. Panels (g-h) highlight decadal signals, with peak periods extending beyond 10 years.</w:t>
      </w:r>
      <w:bookmarkEnd w:id="1"/>
      <w:r w:rsidR="006F3A31">
        <w:br w:type="page"/>
      </w:r>
    </w:p>
    <w:p w14:paraId="094AFC02" w14:textId="77777777" w:rsidR="000D09E0" w:rsidRDefault="000D09E0" w:rsidP="000D09E0">
      <w:pPr>
        <w:tabs>
          <w:tab w:val="left" w:pos="975"/>
        </w:tabs>
      </w:pPr>
    </w:p>
    <w:p w14:paraId="244A1944" w14:textId="77777777" w:rsidR="000D09E0" w:rsidRDefault="000D09E0" w:rsidP="000D09E0">
      <w:pPr>
        <w:jc w:val="both"/>
        <w:rPr>
          <w:rFonts w:asciiTheme="majorBidi" w:hAnsiTheme="majorBidi" w:cstheme="majorBidi"/>
        </w:rPr>
      </w:pPr>
    </w:p>
    <w:p w14:paraId="23406A55" w14:textId="4E674B97" w:rsidR="000D09E0" w:rsidRDefault="006F3A31" w:rsidP="006F3A31">
      <w:pPr>
        <w:jc w:val="both"/>
      </w:pPr>
      <w:r>
        <w:rPr>
          <w:rFonts w:asciiTheme="majorBidi" w:hAnsiTheme="majorBidi" w:cstheme="majorBidi"/>
          <w:noProof/>
        </w:rPr>
        <w:drawing>
          <wp:inline distT="0" distB="0" distL="0" distR="0" wp14:anchorId="55B31A8A" wp14:editId="4BED53AD">
            <wp:extent cx="5937885" cy="2917190"/>
            <wp:effectExtent l="0" t="0" r="5715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917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85141" w14:textId="13B26C5F" w:rsidR="000D09E0" w:rsidRPr="00AB0BAE" w:rsidRDefault="000D09E0" w:rsidP="000D09E0">
      <w:pPr>
        <w:tabs>
          <w:tab w:val="left" w:pos="4020"/>
        </w:tabs>
        <w:rPr>
          <w:rFonts w:asciiTheme="majorBidi" w:hAnsiTheme="majorBidi" w:cstheme="majorBidi"/>
        </w:rPr>
      </w:pPr>
      <w:r w:rsidRPr="00AB0BAE">
        <w:rPr>
          <w:rFonts w:asciiTheme="majorBidi" w:hAnsiTheme="majorBidi" w:cstheme="majorBidi"/>
        </w:rPr>
        <w:t xml:space="preserve">Figure </w:t>
      </w:r>
      <w:r>
        <w:rPr>
          <w:rFonts w:asciiTheme="majorBidi" w:hAnsiTheme="majorBidi" w:cstheme="majorBidi"/>
        </w:rPr>
        <w:t>S3</w:t>
      </w:r>
      <w:r w:rsidRPr="00AB0BAE">
        <w:rPr>
          <w:rFonts w:asciiTheme="majorBidi" w:hAnsiTheme="majorBidi" w:cstheme="majorBidi"/>
        </w:rPr>
        <w:t xml:space="preserve">. </w:t>
      </w:r>
      <w:r>
        <w:rPr>
          <w:rFonts w:asciiTheme="majorBidi" w:hAnsiTheme="majorBidi" w:cstheme="majorBidi"/>
        </w:rPr>
        <w:t>Seasonal long-term trend of EA domain-averaged wind speed (upper panel) and SST (lower panel). Blue and red line indicate winter and summer season respectively.</w:t>
      </w:r>
    </w:p>
    <w:p w14:paraId="38CBE397" w14:textId="0F521F48" w:rsidR="000D09E0" w:rsidRPr="000D09E0" w:rsidRDefault="000D09E0" w:rsidP="000D09E0">
      <w:pPr>
        <w:tabs>
          <w:tab w:val="left" w:pos="4125"/>
        </w:tabs>
      </w:pPr>
    </w:p>
    <w:sectPr w:rsidR="000D09E0" w:rsidRPr="000D09E0" w:rsidSect="00464A7A">
      <w:pgSz w:w="12240" w:h="15840"/>
      <w:pgMar w:top="1701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50B5BB" w14:textId="77777777" w:rsidR="00ED5139" w:rsidRDefault="00ED5139" w:rsidP="000D09E0">
      <w:pPr>
        <w:spacing w:after="0" w:line="240" w:lineRule="auto"/>
      </w:pPr>
      <w:r>
        <w:separator/>
      </w:r>
    </w:p>
  </w:endnote>
  <w:endnote w:type="continuationSeparator" w:id="0">
    <w:p w14:paraId="07A43A0F" w14:textId="77777777" w:rsidR="00ED5139" w:rsidRDefault="00ED5139" w:rsidP="000D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6F867B" w14:textId="77777777" w:rsidR="00ED5139" w:rsidRDefault="00ED5139" w:rsidP="000D09E0">
      <w:pPr>
        <w:spacing w:after="0" w:line="240" w:lineRule="auto"/>
      </w:pPr>
      <w:r>
        <w:separator/>
      </w:r>
    </w:p>
  </w:footnote>
  <w:footnote w:type="continuationSeparator" w:id="0">
    <w:p w14:paraId="5C50487D" w14:textId="77777777" w:rsidR="00ED5139" w:rsidRDefault="00ED5139" w:rsidP="000D09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D4D37"/>
    <w:multiLevelType w:val="multilevel"/>
    <w:tmpl w:val="B0DC5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DE5F3C"/>
    <w:multiLevelType w:val="multilevel"/>
    <w:tmpl w:val="7876C2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7873E68"/>
    <w:multiLevelType w:val="hybridMultilevel"/>
    <w:tmpl w:val="969ECFBA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0443333">
    <w:abstractNumId w:val="0"/>
  </w:num>
  <w:num w:numId="2" w16cid:durableId="1014571350">
    <w:abstractNumId w:val="2"/>
  </w:num>
  <w:num w:numId="3" w16cid:durableId="5414779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07B"/>
    <w:rsid w:val="000124BA"/>
    <w:rsid w:val="000146B0"/>
    <w:rsid w:val="00014FD4"/>
    <w:rsid w:val="0001575B"/>
    <w:rsid w:val="00016F30"/>
    <w:rsid w:val="00037F88"/>
    <w:rsid w:val="00040736"/>
    <w:rsid w:val="00040881"/>
    <w:rsid w:val="000442E1"/>
    <w:rsid w:val="00065E9A"/>
    <w:rsid w:val="00086AE5"/>
    <w:rsid w:val="000A3961"/>
    <w:rsid w:val="000A63A2"/>
    <w:rsid w:val="000B0404"/>
    <w:rsid w:val="000B22B8"/>
    <w:rsid w:val="000B6828"/>
    <w:rsid w:val="000D09E0"/>
    <w:rsid w:val="000F4E01"/>
    <w:rsid w:val="0010052C"/>
    <w:rsid w:val="00117BF2"/>
    <w:rsid w:val="00130F5A"/>
    <w:rsid w:val="0014289D"/>
    <w:rsid w:val="00144FA8"/>
    <w:rsid w:val="00156995"/>
    <w:rsid w:val="00167BEA"/>
    <w:rsid w:val="0017052A"/>
    <w:rsid w:val="00171BB1"/>
    <w:rsid w:val="001763D8"/>
    <w:rsid w:val="00184F5A"/>
    <w:rsid w:val="00185A5B"/>
    <w:rsid w:val="00187AEE"/>
    <w:rsid w:val="00195046"/>
    <w:rsid w:val="001A3ED6"/>
    <w:rsid w:val="001B5B5C"/>
    <w:rsid w:val="001B6B91"/>
    <w:rsid w:val="001E72D4"/>
    <w:rsid w:val="001F6096"/>
    <w:rsid w:val="00230C1F"/>
    <w:rsid w:val="00245AC1"/>
    <w:rsid w:val="00254E0D"/>
    <w:rsid w:val="002647CA"/>
    <w:rsid w:val="00281A89"/>
    <w:rsid w:val="00292793"/>
    <w:rsid w:val="002A08FA"/>
    <w:rsid w:val="002C448C"/>
    <w:rsid w:val="002D4221"/>
    <w:rsid w:val="002E116C"/>
    <w:rsid w:val="002E24DD"/>
    <w:rsid w:val="002E4B83"/>
    <w:rsid w:val="002E5EC4"/>
    <w:rsid w:val="002E70C6"/>
    <w:rsid w:val="002F3BED"/>
    <w:rsid w:val="00306850"/>
    <w:rsid w:val="00320E4A"/>
    <w:rsid w:val="0033135E"/>
    <w:rsid w:val="003342AA"/>
    <w:rsid w:val="003613E1"/>
    <w:rsid w:val="003820E2"/>
    <w:rsid w:val="003B3EE3"/>
    <w:rsid w:val="003B7468"/>
    <w:rsid w:val="003C0756"/>
    <w:rsid w:val="003D2E98"/>
    <w:rsid w:val="003D31E6"/>
    <w:rsid w:val="003D34CC"/>
    <w:rsid w:val="003E2668"/>
    <w:rsid w:val="003E2EDF"/>
    <w:rsid w:val="003F16EC"/>
    <w:rsid w:val="003F25E4"/>
    <w:rsid w:val="00422E49"/>
    <w:rsid w:val="004237C0"/>
    <w:rsid w:val="00432857"/>
    <w:rsid w:val="00432AA4"/>
    <w:rsid w:val="00435497"/>
    <w:rsid w:val="004440A2"/>
    <w:rsid w:val="00444B6B"/>
    <w:rsid w:val="00460BAE"/>
    <w:rsid w:val="00473A2B"/>
    <w:rsid w:val="00491521"/>
    <w:rsid w:val="00495C41"/>
    <w:rsid w:val="004A43DE"/>
    <w:rsid w:val="004C7935"/>
    <w:rsid w:val="004D7603"/>
    <w:rsid w:val="004E096B"/>
    <w:rsid w:val="00500882"/>
    <w:rsid w:val="00513969"/>
    <w:rsid w:val="00567B89"/>
    <w:rsid w:val="00571B22"/>
    <w:rsid w:val="005857B0"/>
    <w:rsid w:val="005A4ABF"/>
    <w:rsid w:val="005A4B97"/>
    <w:rsid w:val="005A707A"/>
    <w:rsid w:val="005B0732"/>
    <w:rsid w:val="005B2875"/>
    <w:rsid w:val="005D1728"/>
    <w:rsid w:val="005D58B9"/>
    <w:rsid w:val="005D778D"/>
    <w:rsid w:val="005E3008"/>
    <w:rsid w:val="005F2268"/>
    <w:rsid w:val="00603E61"/>
    <w:rsid w:val="00610197"/>
    <w:rsid w:val="006112BB"/>
    <w:rsid w:val="00616D4E"/>
    <w:rsid w:val="00620FD2"/>
    <w:rsid w:val="00622AD8"/>
    <w:rsid w:val="006301F2"/>
    <w:rsid w:val="00631D1A"/>
    <w:rsid w:val="0064630B"/>
    <w:rsid w:val="006476E6"/>
    <w:rsid w:val="0065266F"/>
    <w:rsid w:val="00666047"/>
    <w:rsid w:val="006845DD"/>
    <w:rsid w:val="00697868"/>
    <w:rsid w:val="006D487E"/>
    <w:rsid w:val="006E0C92"/>
    <w:rsid w:val="006E5C95"/>
    <w:rsid w:val="006E660A"/>
    <w:rsid w:val="006E74BC"/>
    <w:rsid w:val="006F3A31"/>
    <w:rsid w:val="007062F4"/>
    <w:rsid w:val="00713810"/>
    <w:rsid w:val="00741D51"/>
    <w:rsid w:val="00763ED4"/>
    <w:rsid w:val="00764D65"/>
    <w:rsid w:val="00770FFB"/>
    <w:rsid w:val="0077541C"/>
    <w:rsid w:val="007830E1"/>
    <w:rsid w:val="007958B5"/>
    <w:rsid w:val="00795F3C"/>
    <w:rsid w:val="007A5198"/>
    <w:rsid w:val="007A73C2"/>
    <w:rsid w:val="007C5D3B"/>
    <w:rsid w:val="007D5C40"/>
    <w:rsid w:val="008027A1"/>
    <w:rsid w:val="00803437"/>
    <w:rsid w:val="0081544A"/>
    <w:rsid w:val="0081647B"/>
    <w:rsid w:val="0082003E"/>
    <w:rsid w:val="0082388D"/>
    <w:rsid w:val="0083353E"/>
    <w:rsid w:val="00840AF6"/>
    <w:rsid w:val="00841226"/>
    <w:rsid w:val="00843359"/>
    <w:rsid w:val="0085648E"/>
    <w:rsid w:val="0086719B"/>
    <w:rsid w:val="008940E9"/>
    <w:rsid w:val="008A78AE"/>
    <w:rsid w:val="008B6FBE"/>
    <w:rsid w:val="008C0009"/>
    <w:rsid w:val="008F3D7A"/>
    <w:rsid w:val="008F52CE"/>
    <w:rsid w:val="009134B3"/>
    <w:rsid w:val="00914622"/>
    <w:rsid w:val="009351AE"/>
    <w:rsid w:val="009352B6"/>
    <w:rsid w:val="00954C66"/>
    <w:rsid w:val="00960A3A"/>
    <w:rsid w:val="00961145"/>
    <w:rsid w:val="0096308F"/>
    <w:rsid w:val="00980000"/>
    <w:rsid w:val="00993722"/>
    <w:rsid w:val="009B6594"/>
    <w:rsid w:val="009C304E"/>
    <w:rsid w:val="009D2EBF"/>
    <w:rsid w:val="009D3878"/>
    <w:rsid w:val="009E153B"/>
    <w:rsid w:val="00A17AC7"/>
    <w:rsid w:val="00A318C6"/>
    <w:rsid w:val="00A7513B"/>
    <w:rsid w:val="00A76FE8"/>
    <w:rsid w:val="00A825E1"/>
    <w:rsid w:val="00AA6C80"/>
    <w:rsid w:val="00AC393B"/>
    <w:rsid w:val="00AC5C43"/>
    <w:rsid w:val="00AF15A4"/>
    <w:rsid w:val="00AF3BED"/>
    <w:rsid w:val="00AF4EE8"/>
    <w:rsid w:val="00B056C1"/>
    <w:rsid w:val="00B16349"/>
    <w:rsid w:val="00B17231"/>
    <w:rsid w:val="00B21D84"/>
    <w:rsid w:val="00B24394"/>
    <w:rsid w:val="00B3587B"/>
    <w:rsid w:val="00B46CC0"/>
    <w:rsid w:val="00B51253"/>
    <w:rsid w:val="00B5621E"/>
    <w:rsid w:val="00B74831"/>
    <w:rsid w:val="00B76808"/>
    <w:rsid w:val="00B80FCF"/>
    <w:rsid w:val="00B91028"/>
    <w:rsid w:val="00B9518A"/>
    <w:rsid w:val="00BB3EDB"/>
    <w:rsid w:val="00BC481B"/>
    <w:rsid w:val="00BD1E35"/>
    <w:rsid w:val="00BF0917"/>
    <w:rsid w:val="00BF0CC7"/>
    <w:rsid w:val="00C00D8A"/>
    <w:rsid w:val="00C0394E"/>
    <w:rsid w:val="00C1411E"/>
    <w:rsid w:val="00C17491"/>
    <w:rsid w:val="00C257FF"/>
    <w:rsid w:val="00C316AE"/>
    <w:rsid w:val="00C61425"/>
    <w:rsid w:val="00C71F04"/>
    <w:rsid w:val="00C77A16"/>
    <w:rsid w:val="00C85FF0"/>
    <w:rsid w:val="00CA799E"/>
    <w:rsid w:val="00CC3E72"/>
    <w:rsid w:val="00CD130D"/>
    <w:rsid w:val="00CD2B56"/>
    <w:rsid w:val="00CE5854"/>
    <w:rsid w:val="00D10DCA"/>
    <w:rsid w:val="00D160C4"/>
    <w:rsid w:val="00D206F6"/>
    <w:rsid w:val="00D232C3"/>
    <w:rsid w:val="00D23E20"/>
    <w:rsid w:val="00D24B6E"/>
    <w:rsid w:val="00D31186"/>
    <w:rsid w:val="00D44B42"/>
    <w:rsid w:val="00D51D58"/>
    <w:rsid w:val="00D72D36"/>
    <w:rsid w:val="00D8007B"/>
    <w:rsid w:val="00D908F3"/>
    <w:rsid w:val="00D91977"/>
    <w:rsid w:val="00D97D03"/>
    <w:rsid w:val="00DA2ED4"/>
    <w:rsid w:val="00DC2A00"/>
    <w:rsid w:val="00DE70CB"/>
    <w:rsid w:val="00DF163F"/>
    <w:rsid w:val="00DF57F0"/>
    <w:rsid w:val="00E17FEA"/>
    <w:rsid w:val="00E310AD"/>
    <w:rsid w:val="00E31F80"/>
    <w:rsid w:val="00E35A01"/>
    <w:rsid w:val="00E44497"/>
    <w:rsid w:val="00E44FBA"/>
    <w:rsid w:val="00E541EE"/>
    <w:rsid w:val="00E75AEC"/>
    <w:rsid w:val="00E77B09"/>
    <w:rsid w:val="00E80436"/>
    <w:rsid w:val="00E83788"/>
    <w:rsid w:val="00E95318"/>
    <w:rsid w:val="00EA040F"/>
    <w:rsid w:val="00EC0266"/>
    <w:rsid w:val="00ED5139"/>
    <w:rsid w:val="00ED6867"/>
    <w:rsid w:val="00F017FC"/>
    <w:rsid w:val="00F0437E"/>
    <w:rsid w:val="00F06AF9"/>
    <w:rsid w:val="00F24806"/>
    <w:rsid w:val="00F417D6"/>
    <w:rsid w:val="00F5081E"/>
    <w:rsid w:val="00F65AA9"/>
    <w:rsid w:val="00F82ED0"/>
    <w:rsid w:val="00FD7C49"/>
    <w:rsid w:val="00FF1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B76DAB"/>
  <w15:chartTrackingRefBased/>
  <w15:docId w15:val="{AC4FA724-F3EE-4A7A-BD89-9A364379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8007B"/>
    <w:pPr>
      <w:snapToGrid w:val="0"/>
      <w:textAlignment w:val="baseline"/>
    </w:pPr>
    <w:rPr>
      <w:rFonts w:ascii="맑은 고딕" w:eastAsia="맑은 고딕" w:hAnsi="맑은 고딕" w:cs="Times New Roman"/>
      <w:color w:val="000000"/>
      <w:lang w:eastAsia="zh-TW"/>
    </w:rPr>
  </w:style>
  <w:style w:type="character" w:styleId="Hyperlink">
    <w:name w:val="Hyperlink"/>
    <w:basedOn w:val="DefaultParagraphFont"/>
    <w:uiPriority w:val="99"/>
    <w:unhideWhenUsed/>
    <w:rsid w:val="00D8007B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80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8007B"/>
  </w:style>
  <w:style w:type="paragraph" w:styleId="Header">
    <w:name w:val="header"/>
    <w:basedOn w:val="Normal"/>
    <w:link w:val="HeaderChar"/>
    <w:uiPriority w:val="99"/>
    <w:unhideWhenUsed/>
    <w:rsid w:val="000D0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9E0"/>
  </w:style>
  <w:style w:type="paragraph" w:styleId="Footer">
    <w:name w:val="footer"/>
    <w:basedOn w:val="Normal"/>
    <w:link w:val="FooterChar"/>
    <w:uiPriority w:val="99"/>
    <w:unhideWhenUsed/>
    <w:rsid w:val="000D09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9E0"/>
  </w:style>
  <w:style w:type="paragraph" w:styleId="Caption">
    <w:name w:val="caption"/>
    <w:basedOn w:val="Normal"/>
    <w:next w:val="Normal"/>
    <w:uiPriority w:val="35"/>
    <w:unhideWhenUsed/>
    <w:qFormat/>
    <w:rsid w:val="006301F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75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A0F72-13E4-442A-A9A4-7BEC83A96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188</Words>
  <Characters>1076</Characters>
  <Application>Microsoft Office Word</Application>
  <DocSecurity>0</DocSecurity>
  <Lines>153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Bayhaqi</dc:creator>
  <cp:keywords/>
  <dc:description/>
  <cp:lastModifiedBy>Ahmad Bayhaqi</cp:lastModifiedBy>
  <cp:revision>3</cp:revision>
  <dcterms:created xsi:type="dcterms:W3CDTF">2024-06-20T05:28:00Z</dcterms:created>
  <dcterms:modified xsi:type="dcterms:W3CDTF">2024-07-03T08:03:00Z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12th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9th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