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4"/>
          <w:lang w:val="en-GB"/>
        </w:rPr>
      </w:pPr>
      <w:r>
        <w:rPr>
          <w:rFonts w:ascii="Times New Roman" w:eastAsia="맑은 고딕" w:hAnsi="Times New Roman" w:cs="Times New Roman" w:hint="eastAsia"/>
          <w:b/>
          <w:bCs/>
          <w:noProof/>
          <w:kern w:val="0"/>
          <w:sz w:val="24"/>
          <w:szCs w:val="24"/>
          <w:lang w:val="en-GB"/>
        </w:rPr>
        <w:t>S</w:t>
      </w: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4"/>
          <w:lang w:val="en-GB"/>
        </w:rPr>
        <w:t>upplementary figure</w:t>
      </w:r>
    </w:p>
    <w:p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4"/>
          <w:lang w:val="en-GB"/>
        </w:rPr>
      </w:pPr>
    </w:p>
    <w:p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4"/>
          <w:lang w:val="en-GB"/>
        </w:rPr>
      </w:pPr>
      <w:r>
        <w:rPr>
          <w:noProof/>
        </w:rPr>
        <w:drawing>
          <wp:inline distT="0" distB="0" distL="0" distR="0">
            <wp:extent cx="2662555" cy="223139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Figure S1. (a) Dynamic light scattering result of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mTNs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fabricated with different concentrations of tannic acid.</w:t>
      </w:r>
    </w:p>
    <w:sect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WzMLMwNDEyMDQ2tzBU0lEKTi0uzszPAykwrgUA0PPZrC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98593E-E238-45DD-9C9C-85E5F63D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</w:style>
  <w:style w:type="paragraph" w:styleId="a7">
    <w:name w:val="annotation subject"/>
    <w:basedOn w:val="a6"/>
    <w:next w:val="a6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C2D49-D4C7-4CEA-97B2-EA60E109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변하연</cp:lastModifiedBy>
  <cp:revision>43</cp:revision>
  <dcterms:created xsi:type="dcterms:W3CDTF">2021-05-17T01:00:00Z</dcterms:created>
  <dcterms:modified xsi:type="dcterms:W3CDTF">2022-09-21T07:06:00Z</dcterms:modified>
</cp:coreProperties>
</file>