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5C0" w:rsidRPr="006B2AA4" w:rsidRDefault="00F735C0">
      <w:pPr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 w:eastAsia="ko-KR"/>
        </w:rPr>
      </w:pPr>
    </w:p>
    <w:p w:rsidR="00F735C0" w:rsidRPr="006B2AA4" w:rsidRDefault="006B2AA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</w:pPr>
      <w:bookmarkStart w:id="0" w:name="_Hlk128784044"/>
      <w:bookmarkStart w:id="1" w:name="_Hlk87947740"/>
      <w:bookmarkStart w:id="2" w:name="_Hlk95468306"/>
      <w:bookmarkStart w:id="3" w:name="_Hlk96774015"/>
      <w:bookmarkStart w:id="4" w:name="_GoBack"/>
      <w:bookmarkEnd w:id="4"/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>S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GB"/>
        </w:rPr>
        <w:t>upporting Information</w:t>
      </w:r>
    </w:p>
    <w:bookmarkEnd w:id="0"/>
    <w:bookmarkEnd w:id="1"/>
    <w:bookmarkEnd w:id="2"/>
    <w:bookmarkEnd w:id="3"/>
    <w:p w:rsidR="00F735C0" w:rsidRPr="006B2AA4" w:rsidRDefault="006B2AA4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 w:eastAsia="ko-KR"/>
        </w:rPr>
        <w:t>3</w:t>
      </w:r>
      <w:r w:rsidRPr="006B2AA4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 w:eastAsia="ko-KR"/>
        </w:rPr>
        <w:t>D Printed Fluidic Swab for COVID-19 Testing with Improved Diagnostic Yield and User Comfort</w:t>
      </w:r>
      <w:r w:rsidRPr="006B2AA4"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  <w:t xml:space="preserve"> </w:t>
      </w:r>
    </w:p>
    <w:p w:rsidR="00F735C0" w:rsidRPr="006B2AA4" w:rsidRDefault="006B2AA4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Joochan Kim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1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Jaehyung Jeon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1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Hyowon Jang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2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Youngkwang Moon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1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Abdurhaman Teyib Abafogi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1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Danny van Noort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3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Jinkee Lee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1,4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Taejoon Kang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2,5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*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, Sungsu Park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>1,4*</w:t>
      </w: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 xml:space="preserve">1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School of Mechanical Engineering, Sungkyunkwan University (SKKU), Suwon, Korea</w:t>
      </w: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 xml:space="preserve">2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Bionanotechnology Research Center, Korea Research Institute of Bioscience and Biotechnology (KRIBB), Daejeon, Korea</w:t>
      </w: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 xml:space="preserve">3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Division of Biophysics and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Bioengineering, IFM, Linköping University, Linköping, Sweden</w:t>
      </w: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 xml:space="preserve">4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Department of Biophysics, Institute of Quantum Biophysics (IQB), Sungkyunkwan University (SKKU), Suwon, Korea</w:t>
      </w: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 xml:space="preserve">5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School of Pharmacy, Sungkyunkwan University (SKKU), Suwon, Korea</w:t>
      </w: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</w:p>
    <w:p w:rsidR="00F735C0" w:rsidRPr="006B2AA4" w:rsidRDefault="006B2AA4">
      <w:pPr>
        <w:spacing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vertAlign w:val="superscript"/>
          <w:lang w:val="en-US"/>
        </w:rPr>
        <w:t xml:space="preserve">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* Correspondin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g author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  <w:t>: Taejoon Kang; Sungsu Park</w:t>
      </w: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Tel.: +82-42-879-8453; +82-31-290-7431</w:t>
      </w: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E-mail address: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kangtae-joon@kribb.re.kr (T. Kang); nanopark@skku.edu (S. Park)</w:t>
      </w: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</w:pPr>
    </w:p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36"/>
          <w:szCs w:val="36"/>
          <w:lang w:val="en-US"/>
        </w:rPr>
      </w:pP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Table S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begin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instrText xml:space="preserve"> SEQ Table \* ARABIC </w:instrTex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separate"/>
      </w:r>
      <w:r w:rsidRPr="006B2AA4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lang w:val="en-US"/>
        </w:rPr>
        <w:t>1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end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Vat photopolymerization parameters for 3DPFS fabrication.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B2AA4" w:rsidRPr="006B2AA4">
        <w:tc>
          <w:tcPr>
            <w:tcW w:w="9016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Parameters (</w:t>
            </w: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kern w:val="21"/>
                <w:sz w:val="36"/>
                <w:szCs w:val="36"/>
                <w:lang w:val="en-GB"/>
              </w:rPr>
              <w:t>CUKH010C, IM1)</w:t>
            </w:r>
          </w:p>
        </w:tc>
      </w:tr>
      <w:tr w:rsidR="006B2AA4" w:rsidRPr="006B2AA4">
        <w:tc>
          <w:tcPr>
            <w:tcW w:w="4508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Power (W/m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2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)</w:t>
            </w:r>
          </w:p>
        </w:tc>
        <w:tc>
          <w:tcPr>
            <w:tcW w:w="4508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350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 xml:space="preserve">Printing plate size (mm 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×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 xml:space="preserve"> mm)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 xml:space="preserve">96 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× 54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Layer thickness (mm)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0.1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Motor speed (mm/s)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Motor speed adjustable height (mm)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Initial layer waiting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6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Layer waiting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4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Initial exposure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5</w:t>
            </w:r>
          </w:p>
        </w:tc>
      </w:tr>
      <w:tr w:rsidR="00F735C0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Exposure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1.4</w:t>
            </w:r>
          </w:p>
        </w:tc>
      </w:tr>
    </w:tbl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GB" w:eastAsia="ko-KR"/>
        </w:rPr>
      </w:pP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Table S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begin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instrText xml:space="preserve"> SEQ Table \* ARABIC </w:instrTex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separate"/>
      </w:r>
      <w:r w:rsidRPr="006B2AA4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lang w:val="en-US"/>
        </w:rPr>
        <w:t>2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end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Vat photopolymerization parameters for 3D printed human nose.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B2AA4" w:rsidRPr="006B2AA4">
        <w:tc>
          <w:tcPr>
            <w:tcW w:w="9016" w:type="dxa"/>
            <w:gridSpan w:val="2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Parameters (</w:t>
            </w: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kern w:val="21"/>
                <w:sz w:val="36"/>
                <w:szCs w:val="36"/>
                <w:lang w:val="en-GB"/>
              </w:rPr>
              <w:t>3DK83B, TM200)</w:t>
            </w:r>
          </w:p>
        </w:tc>
      </w:tr>
      <w:tr w:rsidR="006B2AA4" w:rsidRPr="006B2AA4">
        <w:tc>
          <w:tcPr>
            <w:tcW w:w="4508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Power (W/m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2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)</w:t>
            </w:r>
          </w:p>
        </w:tc>
        <w:tc>
          <w:tcPr>
            <w:tcW w:w="4508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350</w:t>
            </w:r>
          </w:p>
        </w:tc>
      </w:tr>
      <w:tr w:rsidR="006B2AA4" w:rsidRPr="006B2AA4"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 xml:space="preserve">Printing plate size (mm 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×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 xml:space="preserve"> mm)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 xml:space="preserve">96 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× 54</w:t>
            </w:r>
          </w:p>
        </w:tc>
      </w:tr>
      <w:tr w:rsidR="006B2AA4" w:rsidRPr="006B2AA4">
        <w:tc>
          <w:tcPr>
            <w:tcW w:w="4508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Layer thickness (mm)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0.1</w:t>
            </w:r>
          </w:p>
        </w:tc>
      </w:tr>
      <w:tr w:rsidR="006B2AA4" w:rsidRPr="006B2AA4">
        <w:tc>
          <w:tcPr>
            <w:tcW w:w="4508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Motor speed (mm/s)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</w:t>
            </w:r>
          </w:p>
        </w:tc>
      </w:tr>
      <w:tr w:rsidR="006B2AA4" w:rsidRPr="006B2AA4">
        <w:tc>
          <w:tcPr>
            <w:tcW w:w="4508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Motor speed adjustable height (mm)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</w:t>
            </w:r>
          </w:p>
        </w:tc>
      </w:tr>
      <w:tr w:rsidR="006B2AA4" w:rsidRPr="006B2AA4">
        <w:tc>
          <w:tcPr>
            <w:tcW w:w="4508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Initial layer waiting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5</w:t>
            </w:r>
          </w:p>
        </w:tc>
      </w:tr>
      <w:tr w:rsidR="006B2AA4" w:rsidRPr="006B2AA4">
        <w:tc>
          <w:tcPr>
            <w:tcW w:w="4508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Layer waiting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</w:t>
            </w:r>
          </w:p>
        </w:tc>
      </w:tr>
      <w:tr w:rsidR="006B2AA4" w:rsidRPr="006B2AA4">
        <w:tc>
          <w:tcPr>
            <w:tcW w:w="4508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Initial exposure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15</w:t>
            </w:r>
          </w:p>
        </w:tc>
      </w:tr>
      <w:tr w:rsidR="00F735C0" w:rsidRPr="006B2AA4">
        <w:tc>
          <w:tcPr>
            <w:tcW w:w="4508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Exposure time (s)</w:t>
            </w:r>
          </w:p>
        </w:tc>
        <w:tc>
          <w:tcPr>
            <w:tcW w:w="4508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3.5</w:t>
            </w:r>
          </w:p>
        </w:tc>
      </w:tr>
    </w:tbl>
    <w:p w:rsidR="00F735C0" w:rsidRPr="006B2AA4" w:rsidRDefault="00F735C0">
      <w:pPr>
        <w:rPr>
          <w:rFonts w:ascii="Times New Roman" w:hAnsi="Times New Roman" w:cs="Times New Roman"/>
          <w:color w:val="000000" w:themeColor="text1"/>
          <w:sz w:val="36"/>
          <w:szCs w:val="36"/>
          <w:lang w:eastAsia="ko-KR"/>
        </w:rPr>
      </w:pPr>
    </w:p>
    <w:p w:rsidR="00F735C0" w:rsidRPr="006B2AA4" w:rsidRDefault="006B2AA4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Table S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begin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instrText xml:space="preserve"> SEQ Table \* ARABIC </w:instrTex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separate"/>
      </w:r>
      <w:r w:rsidRPr="006B2AA4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lang w:val="en-US"/>
        </w:rPr>
        <w:t>3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end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 xml:space="preserve">.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Detection of inactivated SARS-CoV-2-spiked NF on a slide glass.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266"/>
        <w:gridCol w:w="1266"/>
        <w:gridCol w:w="1267"/>
        <w:gridCol w:w="1266"/>
        <w:gridCol w:w="1267"/>
      </w:tblGrid>
      <w:tr w:rsidR="006B2AA4" w:rsidRPr="006B2AA4">
        <w:tc>
          <w:tcPr>
            <w:tcW w:w="9026" w:type="dxa"/>
            <w:gridSpan w:val="6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3DPFS</w:t>
            </w:r>
          </w:p>
        </w:tc>
      </w:tr>
      <w:tr w:rsidR="006B2AA4" w:rsidRPr="006B2AA4"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Titer (pfu/mL)</w:t>
            </w:r>
          </w:p>
        </w:tc>
        <w:tc>
          <w:tcPr>
            <w:tcW w:w="1266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4</w:t>
            </w:r>
          </w:p>
        </w:tc>
        <w:tc>
          <w:tcPr>
            <w:tcW w:w="1266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3</w:t>
            </w:r>
          </w:p>
        </w:tc>
        <w:tc>
          <w:tcPr>
            <w:tcW w:w="1267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2</w:t>
            </w:r>
          </w:p>
        </w:tc>
        <w:tc>
          <w:tcPr>
            <w:tcW w:w="1266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1</w:t>
            </w:r>
          </w:p>
        </w:tc>
        <w:tc>
          <w:tcPr>
            <w:tcW w:w="1267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0</w:t>
            </w:r>
          </w:p>
        </w:tc>
      </w:tr>
      <w:tr w:rsidR="006B2AA4" w:rsidRPr="006B2AA4">
        <w:tc>
          <w:tcPr>
            <w:tcW w:w="2694" w:type="dxa"/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Cycle Threshold (C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bscript"/>
                <w:lang w:val="en-GB"/>
              </w:rPr>
              <w:t>t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)</w:t>
            </w:r>
          </w:p>
        </w:tc>
        <w:tc>
          <w:tcPr>
            <w:tcW w:w="1266" w:type="dxa"/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23.36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0.15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27.31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0.30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30.49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0.12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33.97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0.54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37.27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0.09</w:t>
            </w:r>
          </w:p>
        </w:tc>
      </w:tr>
      <w:tr w:rsidR="006B2AA4" w:rsidRPr="006B2AA4">
        <w:tc>
          <w:tcPr>
            <w:tcW w:w="2694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True Positive Rate (%)</w:t>
            </w:r>
          </w:p>
        </w:tc>
        <w:tc>
          <w:tcPr>
            <w:tcW w:w="1266" w:type="dxa"/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33</w:t>
            </w:r>
          </w:p>
        </w:tc>
      </w:tr>
      <w:tr w:rsidR="006B2AA4" w:rsidRPr="006B2AA4">
        <w:tc>
          <w:tcPr>
            <w:tcW w:w="2694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False Negative Rate (%)</w:t>
            </w:r>
          </w:p>
        </w:tc>
        <w:tc>
          <w:tcPr>
            <w:tcW w:w="1266" w:type="dxa"/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66</w:t>
            </w:r>
          </w:p>
        </w:tc>
      </w:tr>
      <w:tr w:rsidR="006B2AA4" w:rsidRPr="006B2AA4">
        <w:tc>
          <w:tcPr>
            <w:tcW w:w="9026" w:type="dxa"/>
            <w:gridSpan w:val="6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CS</w:t>
            </w:r>
          </w:p>
        </w:tc>
      </w:tr>
      <w:tr w:rsidR="006B2AA4" w:rsidRPr="006B2AA4"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Titer (pfu/mL)</w:t>
            </w:r>
          </w:p>
        </w:tc>
        <w:tc>
          <w:tcPr>
            <w:tcW w:w="1266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4</w:t>
            </w:r>
          </w:p>
        </w:tc>
        <w:tc>
          <w:tcPr>
            <w:tcW w:w="1266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3</w:t>
            </w:r>
          </w:p>
        </w:tc>
        <w:tc>
          <w:tcPr>
            <w:tcW w:w="1267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2</w:t>
            </w:r>
          </w:p>
        </w:tc>
        <w:tc>
          <w:tcPr>
            <w:tcW w:w="1266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1</w:t>
            </w:r>
          </w:p>
        </w:tc>
        <w:tc>
          <w:tcPr>
            <w:tcW w:w="1267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perscript"/>
                <w:lang w:val="en-GB"/>
              </w:rPr>
              <w:t>0</w:t>
            </w:r>
          </w:p>
        </w:tc>
      </w:tr>
      <w:tr w:rsidR="006B2AA4" w:rsidRPr="006B2AA4">
        <w:tc>
          <w:tcPr>
            <w:tcW w:w="2694" w:type="dxa"/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 xml:space="preserve">Cycle 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Threshold (C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bscript"/>
                <w:lang w:val="en-GB"/>
              </w:rPr>
              <w:t>t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)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25.54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0.41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29.08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0.18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33.10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0.85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 xml:space="preserve">35.70 </w:t>
            </w:r>
            <w:r w:rsidRPr="006B2AA4">
              <w:rPr>
                <w:rFonts w:ascii="Times New Roman" w:eastAsia="Malgun Gothic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± 0.57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pacing w:val="-20"/>
                <w:sz w:val="36"/>
                <w:szCs w:val="36"/>
                <w:shd w:val="clear" w:color="auto" w:fill="FFFFFF"/>
                <w:lang w:val="en-GB"/>
              </w:rPr>
              <w:t>Und</w:t>
            </w:r>
          </w:p>
        </w:tc>
      </w:tr>
      <w:tr w:rsidR="006B2AA4" w:rsidRPr="006B2AA4">
        <w:tc>
          <w:tcPr>
            <w:tcW w:w="2694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True Positive Rate (%)</w:t>
            </w:r>
          </w:p>
        </w:tc>
        <w:tc>
          <w:tcPr>
            <w:tcW w:w="1266" w:type="dxa"/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83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</w:tr>
      <w:tr w:rsidR="00F735C0" w:rsidRPr="006B2AA4">
        <w:tc>
          <w:tcPr>
            <w:tcW w:w="2694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False Negative Rate (%)</w:t>
            </w:r>
          </w:p>
        </w:tc>
        <w:tc>
          <w:tcPr>
            <w:tcW w:w="1266" w:type="dxa"/>
            <w:vAlign w:val="center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266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17</w:t>
            </w:r>
          </w:p>
        </w:tc>
        <w:tc>
          <w:tcPr>
            <w:tcW w:w="1267" w:type="dxa"/>
          </w:tcPr>
          <w:p w:rsidR="00F735C0" w:rsidRPr="006B2AA4" w:rsidRDefault="006B2AA4">
            <w:pPr>
              <w:spacing w:beforeLines="50"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</w:tr>
    </w:tbl>
    <w:p w:rsidR="00F735C0" w:rsidRPr="006B2AA4" w:rsidRDefault="00F735C0">
      <w:pPr>
        <w:spacing w:after="0" w:line="480" w:lineRule="auto"/>
        <w:rPr>
          <w:rFonts w:ascii="Times New Roman" w:hAnsi="Times New Roman" w:cs="Times New Roman"/>
          <w:color w:val="000000" w:themeColor="text1"/>
          <w:sz w:val="36"/>
          <w:szCs w:val="36"/>
          <w:lang w:eastAsia="ko-KR"/>
        </w:rPr>
      </w:pPr>
    </w:p>
    <w:p w:rsidR="00F735C0" w:rsidRPr="006B2AA4" w:rsidRDefault="006B2AA4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Table S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begin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instrText xml:space="preserve"> SEQ Table \* ARABIC </w:instrTex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separate"/>
      </w:r>
      <w:r w:rsidRPr="006B2AA4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lang w:val="en-US"/>
        </w:rPr>
        <w:t>4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end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 xml:space="preserve">.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Detection of SARS-CoV-2 from PNS loaded on a 3D printed human nose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model.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583"/>
        <w:gridCol w:w="1583"/>
        <w:gridCol w:w="1583"/>
        <w:gridCol w:w="1583"/>
      </w:tblGrid>
      <w:tr w:rsidR="006B2AA4" w:rsidRPr="006B2AA4">
        <w:tc>
          <w:tcPr>
            <w:tcW w:w="9026" w:type="dxa"/>
            <w:gridSpan w:val="5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3DPFS</w:t>
            </w:r>
          </w:p>
        </w:tc>
      </w:tr>
      <w:tr w:rsidR="006B2AA4" w:rsidRPr="006B2AA4"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Patient #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359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365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366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377</w:t>
            </w:r>
          </w:p>
        </w:tc>
      </w:tr>
      <w:tr w:rsidR="006B2AA4" w:rsidRPr="006B2AA4">
        <w:tc>
          <w:tcPr>
            <w:tcW w:w="2694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Cycle Threshold (C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bscript"/>
                <w:lang w:val="en-GB"/>
              </w:rPr>
              <w:t>t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)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26.27 ± 0.45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26.82 ± 0.11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33.63 ± 0.50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26.35 ± 0.65</w:t>
            </w:r>
          </w:p>
        </w:tc>
      </w:tr>
      <w:tr w:rsidR="006B2AA4" w:rsidRPr="006B2AA4">
        <w:tc>
          <w:tcPr>
            <w:tcW w:w="2694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True Positive Rate (%)</w:t>
            </w:r>
          </w:p>
        </w:tc>
        <w:tc>
          <w:tcPr>
            <w:tcW w:w="1583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</w:tr>
      <w:tr w:rsidR="006B2AA4" w:rsidRPr="006B2AA4">
        <w:tc>
          <w:tcPr>
            <w:tcW w:w="2694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False Negative Rate (%)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</w:tr>
      <w:tr w:rsidR="006B2AA4" w:rsidRPr="006B2AA4">
        <w:tc>
          <w:tcPr>
            <w:tcW w:w="9026" w:type="dxa"/>
            <w:gridSpan w:val="5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b/>
                <w:bCs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CS</w:t>
            </w:r>
          </w:p>
        </w:tc>
      </w:tr>
      <w:tr w:rsidR="006B2AA4" w:rsidRPr="006B2AA4">
        <w:tc>
          <w:tcPr>
            <w:tcW w:w="2694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Patient #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359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365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366</w:t>
            </w:r>
          </w:p>
        </w:tc>
        <w:tc>
          <w:tcPr>
            <w:tcW w:w="1583" w:type="dxa"/>
            <w:tcBorders>
              <w:top w:val="single" w:sz="8" w:space="0" w:color="auto"/>
            </w:tcBorders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377</w:t>
            </w:r>
          </w:p>
        </w:tc>
      </w:tr>
      <w:tr w:rsidR="006B2AA4" w:rsidRPr="006B2AA4">
        <w:tc>
          <w:tcPr>
            <w:tcW w:w="2694" w:type="dxa"/>
            <w:vAlign w:val="center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Cycle Threshold (C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vertAlign w:val="subscript"/>
                <w:lang w:val="en-GB"/>
              </w:rPr>
              <w:t>t</w:t>
            </w: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)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27.24 ± 0.51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28.06 ± 0.16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35.30 ± 0.09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27.31 ± 0.10</w:t>
            </w:r>
          </w:p>
        </w:tc>
      </w:tr>
      <w:tr w:rsidR="006B2AA4" w:rsidRPr="006B2AA4">
        <w:tc>
          <w:tcPr>
            <w:tcW w:w="2694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True Positive Rate (%)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100</w:t>
            </w:r>
          </w:p>
        </w:tc>
      </w:tr>
      <w:tr w:rsidR="00F735C0" w:rsidRPr="006B2AA4">
        <w:tc>
          <w:tcPr>
            <w:tcW w:w="2694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False Negative Rate (%)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  <w:tc>
          <w:tcPr>
            <w:tcW w:w="1583" w:type="dxa"/>
          </w:tcPr>
          <w:p w:rsidR="00F735C0" w:rsidRPr="006B2AA4" w:rsidRDefault="006B2AA4">
            <w:pPr>
              <w:spacing w:before="120" w:afterLines="50" w:after="120"/>
              <w:jc w:val="center"/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</w:pPr>
            <w:r w:rsidRPr="006B2AA4">
              <w:rPr>
                <w:rFonts w:ascii="Times New Roman" w:hAnsi="Times New Roman" w:cs="Times New Roman"/>
                <w:color w:val="000000" w:themeColor="text1"/>
                <w:sz w:val="36"/>
                <w:szCs w:val="36"/>
                <w:shd w:val="clear" w:color="auto" w:fill="FFFFFF"/>
                <w:lang w:val="en-GB"/>
              </w:rPr>
              <w:t>0</w:t>
            </w:r>
          </w:p>
        </w:tc>
      </w:tr>
    </w:tbl>
    <w:p w:rsidR="00F735C0" w:rsidRPr="006B2AA4" w:rsidRDefault="00F735C0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</w:p>
    <w:p w:rsidR="00F735C0" w:rsidRPr="006B2AA4" w:rsidRDefault="006B2AA4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Table S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begin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instrText xml:space="preserve"> SEQ Table \* ARABIC </w:instrTex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separate"/>
      </w:r>
      <w:r w:rsidRPr="006B2AA4">
        <w:rPr>
          <w:rFonts w:ascii="Times New Roman" w:hAnsi="Times New Roman" w:cs="Times New Roman"/>
          <w:b/>
          <w:bCs/>
          <w:noProof/>
          <w:color w:val="000000" w:themeColor="text1"/>
          <w:sz w:val="36"/>
          <w:szCs w:val="36"/>
          <w:lang w:val="en-US"/>
        </w:rPr>
        <w:t>5</w:t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fldChar w:fldCharType="end"/>
      </w: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Survey results for the comparison of CS and 3DPFS, illustrated in table. The colors indicate the overall preference, with red indicating a preference for 3DPFS and blue indicating a preference for CS. </w:t>
      </w:r>
    </w:p>
    <w:p w:rsidR="00F735C0" w:rsidRPr="006B2AA4" w:rsidRDefault="006B2AA4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5536800" cy="1792800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6800" cy="17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</w:rPr>
        <w:br w:type="page"/>
      </w:r>
    </w:p>
    <w:p w:rsidR="00F735C0" w:rsidRPr="006B2AA4" w:rsidRDefault="006B2AA4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5604774" cy="4043894"/>
            <wp:effectExtent l="0" t="0" r="0" b="0"/>
            <wp:docPr id="1026" name="shape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4774" cy="404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5C0" w:rsidRPr="006B2AA4" w:rsidRDefault="006B2AA4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Fig.  S1.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3D Printed human face made of the stan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dard beige photopolymer resin. The equal amounts of SARS-CoV-2-spiked NF or COVID-19 PNS were loaded into the MT region of the printed nose.</w:t>
      </w:r>
    </w:p>
    <w:p w:rsidR="00F735C0" w:rsidRPr="006B2AA4" w:rsidRDefault="006B2AA4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5113986" cy="3840081"/>
            <wp:effectExtent l="0" t="0" r="0" b="0"/>
            <wp:docPr id="1027" name="shape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58"/>
                    <a:stretch>
                      <a:fillRect/>
                    </a:stretch>
                  </pic:blipFill>
                  <pic:spPr>
                    <a:xfrm>
                      <a:off x="0" y="0"/>
                      <a:ext cx="5113986" cy="384008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5C0" w:rsidRPr="006B2AA4" w:rsidRDefault="006B2AA4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Fig. S2.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In the context of LFA using ImageJ, testing regions were carefully chosen to quantify the color intensit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y of each line. To minimize the influence of any extraneous background signals, a trendline was drawn and subsequently utilized to isolate the region of interest corresponding to the peak color intensity. This region was then measured and recorded as the c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olor intensity of the line. The color intensities of the 3DPFS and CS were represented by blue and orange lines, respectively.</w:t>
      </w:r>
    </w:p>
    <w:p w:rsidR="00F735C0" w:rsidRPr="006B2AA4" w:rsidRDefault="006B2AA4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4413600" cy="6530400"/>
            <wp:effectExtent l="0" t="0" r="0" b="0"/>
            <wp:docPr id="1028" name="shape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3600" cy="65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5C0" w:rsidRPr="006B2AA4" w:rsidRDefault="006B2AA4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  <w:lang w:val="en-GB" w:eastAsia="ko-KR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Fig. S3.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</w:t>
      </w:r>
      <w:bookmarkStart w:id="5" w:name="_Hlk128679183"/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Questionnaire used in the survey to assess participants' pain, discomfort, and preference between CS and the 3DPFS for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COVID-19 testing. </w:t>
      </w:r>
      <w:bookmarkEnd w:id="5"/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The questionnaire included the following questions: (1) Please rate the relative level of pain experienced during the test; (2) Please rate the level of after effects or discomfort you experienced after the test; (3) Which swab do you pr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efer for COVID-19 testing, the CS or the 3DPFS.</w:t>
      </w:r>
    </w:p>
    <w:p w:rsidR="00F735C0" w:rsidRPr="006B2AA4" w:rsidRDefault="006B2AA4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5486400" cy="2877441"/>
            <wp:effectExtent l="0" t="0" r="0" b="0"/>
            <wp:docPr id="1029" name="shape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5C0" w:rsidRPr="006B2AA4" w:rsidRDefault="006B2AA4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 w:eastAsia="ko-KR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Fig. S4.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The generated m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  <w:t>esh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  <w:t>and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  <w:t>the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CFD simulation results showing volume fraction, fluid velocity, and sampling pressure for 1L, 1S, and 2S cases.</w:t>
      </w:r>
    </w:p>
    <w:p w:rsidR="00F735C0" w:rsidRPr="006B2AA4" w:rsidRDefault="00F735C0">
      <w:pPr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</w:pPr>
    </w:p>
    <w:p w:rsidR="00F735C0" w:rsidRPr="006B2AA4" w:rsidRDefault="00F735C0">
      <w:pPr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</w:pPr>
    </w:p>
    <w:p w:rsidR="00F735C0" w:rsidRPr="006B2AA4" w:rsidRDefault="00F735C0">
      <w:pPr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</w:pPr>
    </w:p>
    <w:p w:rsidR="00F735C0" w:rsidRPr="006B2AA4" w:rsidRDefault="006B2AA4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5565600" cy="2772000"/>
            <wp:effectExtent l="0" t="0" r="0" b="0"/>
            <wp:docPr id="1030" name="shape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02" r="11002"/>
                    <a:stretch>
                      <a:fillRect/>
                    </a:stretch>
                  </pic:blipFill>
                  <pic:spPr>
                    <a:xfrm>
                      <a:off x="0" y="0"/>
                      <a:ext cx="5565600" cy="2772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35C0" w:rsidRPr="006B2AA4" w:rsidRDefault="006B2AA4">
      <w:pP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 xml:space="preserve">Fig. S5.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  <w:t>The generated mesh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 w:eastAsia="ko-KR"/>
        </w:rPr>
        <w:t>and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the CFD simulation results showing volume fraction, fluid velocity and sampling pressure for 6S case. No sample or liquid solution were introduced from the inlet other than air.</w:t>
      </w:r>
    </w:p>
    <w:p w:rsidR="00F735C0" w:rsidRPr="006B2AA4" w:rsidRDefault="006B2AA4">
      <w:pPr>
        <w:jc w:val="center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noProof/>
          <w:color w:val="000000" w:themeColor="text1"/>
          <w:sz w:val="36"/>
          <w:szCs w:val="36"/>
          <w:lang w:val="en-IN" w:eastAsia="en-IN"/>
        </w:rPr>
        <w:drawing>
          <wp:inline distT="0" distB="0" distL="0" distR="0">
            <wp:extent cx="4896000" cy="3499200"/>
            <wp:effectExtent l="0" t="0" r="0" b="0"/>
            <wp:docPr id="1031" name="shape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34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5C0" w:rsidRPr="006B2AA4" w:rsidRDefault="006B2AA4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6B2AA4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lang w:val="en-US"/>
        </w:rPr>
        <w:t>Fig. S6.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 Survey results for the comparison of 3DPFS and CS, illustrated in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>terms of participants' reported levels of pain and discomfort, as well as their preferences between the two swabs. (A, B) The x-axis represents the magnitude of pain or discomfort, with positive values indicating greater discomfort associated with the CS a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  <w:lang w:val="en-US"/>
        </w:rPr>
        <w:t xml:space="preserve">nd negative values representing more pain or discomfort attributed to the 3DPFS. </w:t>
      </w:r>
      <w:r w:rsidRPr="006B2AA4">
        <w:rPr>
          <w:rFonts w:ascii="Times New Roman" w:hAnsi="Times New Roman" w:cs="Times New Roman"/>
          <w:color w:val="000000" w:themeColor="text1"/>
          <w:sz w:val="36"/>
          <w:szCs w:val="36"/>
        </w:rPr>
        <w:t>(C) Participants' preference for either swab.</w:t>
      </w:r>
    </w:p>
    <w:p w:rsidR="00F735C0" w:rsidRPr="006B2AA4" w:rsidRDefault="00F735C0">
      <w:pPr>
        <w:rPr>
          <w:rFonts w:ascii="Times New Roman" w:hAnsi="Times New Roman" w:cs="Times New Roman"/>
          <w:bCs/>
          <w:color w:val="000000" w:themeColor="text1"/>
          <w:sz w:val="36"/>
          <w:szCs w:val="36"/>
          <w:lang w:eastAsia="ko-KR"/>
        </w:rPr>
      </w:pPr>
    </w:p>
    <w:p w:rsidR="00F735C0" w:rsidRPr="006B2AA4" w:rsidRDefault="00F735C0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sectPr w:rsidR="00F735C0" w:rsidRPr="006B2AA4" w:rsidSect="006B2AA4">
      <w:footerReference w:type="default" r:id="rId13"/>
      <w:pgSz w:w="12240" w:h="15840"/>
      <w:pgMar w:top="1440" w:right="1440" w:bottom="1440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B2AA4">
      <w:pPr>
        <w:spacing w:after="0" w:line="240" w:lineRule="auto"/>
      </w:pPr>
      <w:r>
        <w:separator/>
      </w:r>
    </w:p>
  </w:endnote>
  <w:endnote w:type="continuationSeparator" w:id="0">
    <w:p w:rsidR="00000000" w:rsidRDefault="006B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5C0" w:rsidRDefault="006B2AA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ko-KR" w:eastAsia="ko-KR"/>
      </w:rPr>
      <w:t>2</w:t>
    </w:r>
    <w:r>
      <w:fldChar w:fldCharType="end"/>
    </w:r>
  </w:p>
  <w:p w:rsidR="00F735C0" w:rsidRDefault="00F735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B2AA4">
      <w:pPr>
        <w:spacing w:after="0" w:line="240" w:lineRule="auto"/>
      </w:pPr>
      <w:r>
        <w:separator/>
      </w:r>
    </w:p>
  </w:footnote>
  <w:footnote w:type="continuationSeparator" w:id="0">
    <w:p w:rsidR="00000000" w:rsidRDefault="006B2A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removePersonalInformation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revisionView w:markup="0"/>
  <w:defaultTabStop w:val="80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5C0"/>
    <w:rsid w:val="006B2AA4"/>
    <w:rsid w:val="00F7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  <w:jc w:val="both"/>
    </w:pPr>
    <w:rPr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uiPriority w:val="99"/>
    <w:unhideWhenUsed/>
    <w:pPr>
      <w:tabs>
        <w:tab w:val="center" w:pos="4513"/>
        <w:tab w:val="right" w:pos="9026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722</Words>
  <Characters>4116</Characters>
  <Application>Microsoft Office Word</Application>
  <DocSecurity>0</DocSecurity>
  <Lines>34</Lines>
  <Paragraphs>9</Paragraphs>
  <ScaleCrop>false</ScaleCrop>
  <LinksUpToDate>false</LinksUpToDate>
  <CharactersWithSpaces>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2023-09-04T03:47:00Z</dcterms:created>
  <dcterms:modified xsi:type="dcterms:W3CDTF">2023-09-08T13:24:00Z</dcterms:modified>
  <cp:version>1200.0100.01</cp:version>
</cp:coreProperties>
</file>