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Validation of the Standardized Knowledge Exam -- S-CCI</w:t>
      </w:r>
    </w:p>
    <w:p w:rsidR="00000000" w:rsidDel="00000000" w:rsidP="00000000" w:rsidRDefault="00000000" w:rsidRPr="00000000" w14:paraId="00000002">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Participants</w:t>
      </w:r>
    </w:p>
    <w:p w:rsidR="00000000" w:rsidDel="00000000" w:rsidP="00000000" w:rsidRDefault="00000000" w:rsidRPr="00000000" w14:paraId="0000000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Participants included 1,188 students (578 females, 610 males) enrolled in an Applied Calculus I course offered in fall 2015 at a large Midwestern university. The average age was 19.06 years old (</w:t>
      </w:r>
      <w:r w:rsidDel="00000000" w:rsidR="00000000" w:rsidRPr="00000000">
        <w:rPr>
          <w:rFonts w:ascii="Times" w:cs="Times" w:eastAsia="Times" w:hAnsi="Times"/>
          <w:i w:val="1"/>
          <w:sz w:val="24"/>
          <w:szCs w:val="24"/>
          <w:rtl w:val="0"/>
        </w:rPr>
        <w:t xml:space="preserve">SD</w:t>
      </w:r>
      <w:r w:rsidDel="00000000" w:rsidR="00000000" w:rsidRPr="00000000">
        <w:rPr>
          <w:rFonts w:ascii="Times New Roman" w:cs="Times New Roman" w:eastAsia="Times New Roman" w:hAnsi="Times New Roman"/>
          <w:sz w:val="24"/>
          <w:szCs w:val="24"/>
          <w:rtl w:val="0"/>
        </w:rPr>
        <w:t xml:space="preserve"> = 1.24). The majority of the participants (</w:t>
      </w:r>
      <w:r w:rsidDel="00000000" w:rsidR="00000000" w:rsidRPr="00000000">
        <w:rPr>
          <w:rFonts w:ascii="Times" w:cs="Times" w:eastAsia="Times" w:hAnsi="Times"/>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739; 62.20%) were White, followed by international students (</w:t>
      </w:r>
      <w:r w:rsidDel="00000000" w:rsidR="00000000" w:rsidRPr="00000000">
        <w:rPr>
          <w:rFonts w:ascii="Times" w:cs="Times" w:eastAsia="Times" w:hAnsi="Times"/>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193; 16.20%), Asian American (</w:t>
      </w:r>
      <w:r w:rsidDel="00000000" w:rsidR="00000000" w:rsidRPr="00000000">
        <w:rPr>
          <w:rFonts w:ascii="Times" w:cs="Times" w:eastAsia="Times" w:hAnsi="Times"/>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90; 7.60%), Hispanic (</w:t>
      </w:r>
      <w:r w:rsidDel="00000000" w:rsidR="00000000" w:rsidRPr="00000000">
        <w:rPr>
          <w:rFonts w:ascii="Times" w:cs="Times" w:eastAsia="Times" w:hAnsi="Times"/>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60; 5.10%), African American (</w:t>
      </w:r>
      <w:r w:rsidDel="00000000" w:rsidR="00000000" w:rsidRPr="00000000">
        <w:rPr>
          <w:rFonts w:ascii="Times" w:cs="Times" w:eastAsia="Times" w:hAnsi="Times"/>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38; 3.20%), and Other (</w:t>
      </w:r>
      <w:r w:rsidDel="00000000" w:rsidR="00000000" w:rsidRPr="00000000">
        <w:rPr>
          <w:rFonts w:ascii="Times" w:cs="Times" w:eastAsia="Times" w:hAnsi="Times"/>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68; 5.70%). A total of 112 (9.40%) of the participants were students from underrepresented minority groups. Participants represented eight colleges with 21.60% in the School of Management (</w:t>
      </w:r>
      <w:r w:rsidDel="00000000" w:rsidR="00000000" w:rsidRPr="00000000">
        <w:rPr>
          <w:rFonts w:ascii="Times" w:cs="Times" w:eastAsia="Times" w:hAnsi="Times"/>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257), 18.60% in the Polytechnic Institute (</w:t>
      </w:r>
      <w:r w:rsidDel="00000000" w:rsidR="00000000" w:rsidRPr="00000000">
        <w:rPr>
          <w:rFonts w:ascii="Times" w:cs="Times" w:eastAsia="Times" w:hAnsi="Times"/>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221), 14.30% in the College of Pharmacy (</w:t>
      </w:r>
      <w:r w:rsidDel="00000000" w:rsidR="00000000" w:rsidRPr="00000000">
        <w:rPr>
          <w:rFonts w:ascii="Times" w:cs="Times" w:eastAsia="Times" w:hAnsi="Times"/>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170), 10.40% in the College of Agriculture (</w:t>
      </w:r>
      <w:r w:rsidDel="00000000" w:rsidR="00000000" w:rsidRPr="00000000">
        <w:rPr>
          <w:rFonts w:ascii="Times" w:cs="Times" w:eastAsia="Times" w:hAnsi="Times"/>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124), 10.10% in the College of Science (</w:t>
      </w:r>
      <w:r w:rsidDel="00000000" w:rsidR="00000000" w:rsidRPr="00000000">
        <w:rPr>
          <w:rFonts w:ascii="Times" w:cs="Times" w:eastAsia="Times" w:hAnsi="Times"/>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120), 9.70% in the College of Health and Human Sciences (</w:t>
      </w:r>
      <w:r w:rsidDel="00000000" w:rsidR="00000000" w:rsidRPr="00000000">
        <w:rPr>
          <w:rFonts w:ascii="Times" w:cs="Times" w:eastAsia="Times" w:hAnsi="Times"/>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115), 8.50% in Exploratory Studies (</w:t>
      </w:r>
      <w:r w:rsidDel="00000000" w:rsidR="00000000" w:rsidRPr="00000000">
        <w:rPr>
          <w:rFonts w:ascii="Times" w:cs="Times" w:eastAsia="Times" w:hAnsi="Times"/>
          <w:i w:val="1"/>
          <w:sz w:val="24"/>
          <w:szCs w:val="24"/>
          <w:rtl w:val="0"/>
        </w:rPr>
        <w:t xml:space="preserve">n </w:t>
      </w:r>
      <w:r w:rsidDel="00000000" w:rsidR="00000000" w:rsidRPr="00000000">
        <w:rPr>
          <w:rFonts w:ascii="Times New Roman" w:cs="Times New Roman" w:eastAsia="Times New Roman" w:hAnsi="Times New Roman"/>
          <w:sz w:val="24"/>
          <w:szCs w:val="24"/>
          <w:rtl w:val="0"/>
        </w:rPr>
        <w:t xml:space="preserve">= 101), and 6.10% in the College of Liberal Arts (</w:t>
      </w:r>
      <w:r w:rsidDel="00000000" w:rsidR="00000000" w:rsidRPr="00000000">
        <w:rPr>
          <w:rFonts w:ascii="Times" w:cs="Times" w:eastAsia="Times" w:hAnsi="Times"/>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72). </w:t>
      </w:r>
    </w:p>
    <w:p w:rsidR="00000000" w:rsidDel="00000000" w:rsidP="00000000" w:rsidRDefault="00000000" w:rsidRPr="00000000" w14:paraId="00000005">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Data Analysis </w:t>
      </w:r>
    </w:p>
    <w:p w:rsidR="00000000" w:rsidDel="00000000" w:rsidP="00000000" w:rsidRDefault="00000000" w:rsidRPr="00000000" w14:paraId="0000000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the inventory consists of multiple-choice items, which are susceptible to guessing, we fit both a two-parameter logistic (2PL) and a three-parameter logistic (3PL) model to select an appropriate IRT model. In IRT, 2PL model estimates the difficulty level of the item and the discriminating power of the item, while 3PL model estimates an additional parameter - the effect of guessing. The two models were compared considering the goodness-of-fit indices, including -2loglikelihood, RMSEA, AIC, BIC, and chi-square test statistics. IRTPRO software (Cai et al., 2011) was applied to calculate the item parameters and offer model fit indices. The results of the chi-square tests suggested that the 3PL model was significantly superior to the 2PL model [Δχ2 (10) = 34.00, </w:t>
      </w:r>
      <w:r w:rsidDel="00000000" w:rsidR="00000000" w:rsidRPr="00000000">
        <w:rPr>
          <w:rFonts w:ascii="Times" w:cs="Times" w:eastAsia="Times" w:hAnsi="Times"/>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.001]. The values of other statistics (e.g., AIC, BIC) indicated a consistent conclusion; therefore, we used the 3PL model to access the psychometric attributes of the S-CCI in the current investigation. We also examined whether the data satisfied two fundamental assumptions of IRT: unidimensionality and local independence. For the unidimensionality test, we performed a unidimTest using the “ltm” package for the R software (Rizopoulos, 2006). Results of the test were not significant (</w:t>
      </w:r>
      <w:r w:rsidDel="00000000" w:rsidR="00000000" w:rsidRPr="00000000">
        <w:rPr>
          <w:rFonts w:ascii="Times" w:cs="Times" w:eastAsia="Times" w:hAnsi="Times"/>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 .30), indicating that the assumption for unidimensionality was satisfied. We examined the assumption of local independence using Yen’s (1984) Q3 statistic showing the linear correlation between the items’ residuals. An absolute value of the Q3 statistic above .20 indicates a violation of local independence (Yen, 1993). The Q3 values of the S-CCI were between -.20 and .09. None of the item pairs had values of |Q3| &gt; .20, suggesting that the assumption of local independence was satisfied.</w:t>
      </w:r>
    </w:p>
    <w:p w:rsidR="00000000" w:rsidDel="00000000" w:rsidP="00000000" w:rsidRDefault="00000000" w:rsidRPr="00000000" w14:paraId="00000007">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Results and Discussion</w:t>
      </w:r>
    </w:p>
    <w:p w:rsidR="00000000" w:rsidDel="00000000" w:rsidP="00000000" w:rsidRDefault="00000000" w:rsidRPr="00000000" w14:paraId="0000000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item parameters were estimated using the Metropolis-Hastings Robbins-Monro Algorithm (Cai, 2010). Table S1 shows the estimates of item parameters for each of the items. A larger value of α indicates that the item is more informative. Following Baker’s (2001) criteria for item discrimination parameters greater than 1.00, all items had satisfactory discriminative power excepting Item 3. Overall, the S-CCI is sufficiently capable of distinguishing students in terms of their conceptual understanding of calculus; however, Item 3 provided little information regarding students’ conceptual knowledge of calculus. After checking the content of Item 3, we supposed many students might answer correctly because of some geometric intuition without thoroughly evaluating the stated hypotheses and implications, making it less effective in evaluating students’ conceptual understanding of differential calculus. </w:t>
      </w:r>
    </w:p>
    <w:p w:rsidR="00000000" w:rsidDel="00000000" w:rsidP="00000000" w:rsidRDefault="00000000" w:rsidRPr="00000000" w14:paraId="00000009">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[Insert Table S1]</w:t>
      </w:r>
    </w:p>
    <w:p w:rsidR="00000000" w:rsidDel="00000000" w:rsidP="00000000" w:rsidRDefault="00000000" w:rsidRPr="00000000" w14:paraId="0000000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Six of the 10 items had item difficulty values greater than 1.00, indicating that the S-CCI appears to be onerous for most students; however, the items are not so demanding that success is unachievable. Item difficulty values are considered best if evenly distributed between -3 and 3. The range of item difficulty estimates (from -0.12 to 1.88) informed us that no items on the S-CCI were extremely easy or difficult. Items 6, 7, and 8 had guessing parameters around 0.20 to 0.25, accordant with low-ability students randomly guessing the true answers when four to ﬁve choices are accessible. Items 4 and 9 had a guessing parameter of 0.40, suggesting that after taking the calculus course, numerous low-ability students were able to remove at least one of the distractors before venturing a guess. In contrast, Items 1, 2, 3, 5, and 10 had guessing parameters much smaller than the chance of randomly guessing, indicating that those items contained distractors highly attractive to low-ability students. In terms of the scale reliability, the test information function showed that the test provided significant information between θ = 0.4 and θ = 2.0. That is, this scale was more effective and precise in identifying students with middle to high levels of conceptual understanding of calculus rather than in distinguishing students with low levels of conceptual understanding of calculus. Compared to traditional classical test theory, the test information function of IRT provides the reliability of the scale at different levels of the latent construct (Embretson &amp; Reise, 2013).  </w:t>
      </w:r>
    </w:p>
    <w:p w:rsidR="00000000" w:rsidDel="00000000" w:rsidP="00000000" w:rsidRDefault="00000000" w:rsidRPr="00000000" w14:paraId="0000000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current analysis generally supports the satisfactory psychometric properties of the S-CCI. Most items have sufficient discriminative power to distinguish students’ calculus abilities. Compared to other items, Item 3 showed a relatively low discrimination value. After checking the content of the item, we concluded that Item 3 can be solved by multiple approaches, including the application of knowledge from calculus or intuitive geometric constructs. This item, however, was not eliminated in the following analysis for two reasons: 1) in broad terms, calculus and analytic geometry are integrated into the context of the course. Therefore, Item 3 could still be a valid item to assess students’ learning outcomes in the AC course, even though it is less effective in evaluating their conceptual understanding of differential calculus; and 2) given that Item 3 is the only item with a negative value on item difficulty, we would like to keep it in the measure to have a broader range of item difficulty, which could help improve the reliability of the measure among students with low levels of calculus knowledge. </w:t>
      </w:r>
    </w:p>
    <w:p w:rsidR="00000000" w:rsidDel="00000000" w:rsidP="00000000" w:rsidRDefault="00000000" w:rsidRPr="00000000" w14:paraId="0000000C">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S1</w:t>
      </w:r>
    </w:p>
    <w:p w:rsidR="00000000" w:rsidDel="00000000" w:rsidP="00000000" w:rsidRDefault="00000000" w:rsidRPr="00000000" w14:paraId="0000000E">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Discrimination (aj), Difficulty (bj), and Guessing Chances (cj) of the S-CCI</w:t>
      </w:r>
    </w:p>
    <w:tbl>
      <w:tblPr>
        <w:tblStyle w:val="Table1"/>
        <w:tblW w:w="9350.000000000002" w:type="dxa"/>
        <w:jc w:val="left"/>
        <w:tblInd w:w="0.0" w:type="pct"/>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1335"/>
        <w:gridCol w:w="1335"/>
        <w:gridCol w:w="1336"/>
        <w:gridCol w:w="1336"/>
        <w:gridCol w:w="1336"/>
        <w:gridCol w:w="1336"/>
        <w:gridCol w:w="1336"/>
        <w:tblGridChange w:id="0">
          <w:tblGrid>
            <w:gridCol w:w="1335"/>
            <w:gridCol w:w="1335"/>
            <w:gridCol w:w="1336"/>
            <w:gridCol w:w="1336"/>
            <w:gridCol w:w="1336"/>
            <w:gridCol w:w="1336"/>
            <w:gridCol w:w="1336"/>
          </w:tblGrid>
        </w:tblGridChange>
      </w:tblGrid>
      <w:tr>
        <w:trPr>
          <w:cantSplit w:val="0"/>
          <w:tblHeader w:val="0"/>
        </w:trPr>
        <w:tc>
          <w:tcPr>
            <w:vMerge w:val="restart"/>
            <w:tcBorders>
              <w:top w:color="000000" w:space="0" w:sz="4" w:val="single"/>
            </w:tcBorders>
            <w:vAlign w:val="center"/>
          </w:tcPr>
          <w:p w:rsidR="00000000" w:rsidDel="00000000" w:rsidP="00000000" w:rsidRDefault="00000000" w:rsidRPr="00000000" w14:paraId="0000000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Item</w:t>
            </w:r>
          </w:p>
        </w:tc>
        <w:tc>
          <w:tcPr>
            <w:gridSpan w:val="2"/>
            <w:tcBorders>
              <w:top w:color="000000" w:space="0" w:sz="4" w:val="single"/>
              <w:bottom w:color="000000" w:space="0" w:sz="4" w:val="single"/>
            </w:tcBorders>
            <w:vAlign w:val="center"/>
          </w:tcPr>
          <w:p w:rsidR="00000000" w:rsidDel="00000000" w:rsidP="00000000" w:rsidRDefault="00000000" w:rsidRPr="00000000" w14:paraId="0000001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aj</w:t>
            </w:r>
          </w:p>
        </w:tc>
        <w:tc>
          <w:tcPr>
            <w:gridSpan w:val="2"/>
            <w:tcBorders>
              <w:top w:color="000000" w:space="0" w:sz="4" w:val="single"/>
              <w:bottom w:color="000000" w:space="0" w:sz="4" w:val="single"/>
            </w:tcBorders>
            <w:vAlign w:val="center"/>
          </w:tcPr>
          <w:p w:rsidR="00000000" w:rsidDel="00000000" w:rsidP="00000000" w:rsidRDefault="00000000" w:rsidRPr="00000000" w14:paraId="0000001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bj</w:t>
            </w:r>
          </w:p>
        </w:tc>
        <w:tc>
          <w:tcPr>
            <w:gridSpan w:val="2"/>
            <w:tcBorders>
              <w:top w:color="000000" w:space="0" w:sz="4" w:val="single"/>
              <w:bottom w:color="000000" w:space="0" w:sz="4" w:val="single"/>
            </w:tcBorders>
            <w:vAlign w:val="center"/>
          </w:tcPr>
          <w:p w:rsidR="00000000" w:rsidDel="00000000" w:rsidP="00000000" w:rsidRDefault="00000000" w:rsidRPr="00000000" w14:paraId="0000001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cj</w:t>
            </w:r>
          </w:p>
        </w:tc>
      </w:tr>
      <w:tr>
        <w:trPr>
          <w:cantSplit w:val="0"/>
          <w:tblHeader w:val="0"/>
        </w:trPr>
        <w:tc>
          <w:tcPr>
            <w:vMerge w:val="continue"/>
            <w:tcBorders>
              <w:top w:color="000000" w:space="0" w:sz="4"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1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Estimate</w:t>
            </w:r>
          </w:p>
        </w:tc>
        <w:tc>
          <w:tcPr>
            <w:tcBorders>
              <w:top w:color="000000" w:space="0" w:sz="4" w:val="single"/>
              <w:bottom w:color="000000" w:space="0" w:sz="4" w:val="single"/>
            </w:tcBorders>
            <w:vAlign w:val="center"/>
          </w:tcPr>
          <w:p w:rsidR="00000000" w:rsidDel="00000000" w:rsidP="00000000" w:rsidRDefault="00000000" w:rsidRPr="00000000" w14:paraId="0000001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c>
          <w:tcPr>
            <w:tcBorders>
              <w:top w:color="000000" w:space="0" w:sz="4" w:val="single"/>
              <w:bottom w:color="000000" w:space="0" w:sz="4" w:val="single"/>
            </w:tcBorders>
            <w:vAlign w:val="center"/>
          </w:tcPr>
          <w:p w:rsidR="00000000" w:rsidDel="00000000" w:rsidP="00000000" w:rsidRDefault="00000000" w:rsidRPr="00000000" w14:paraId="0000001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Estimate</w:t>
            </w:r>
          </w:p>
        </w:tc>
        <w:tc>
          <w:tcPr>
            <w:tcBorders>
              <w:top w:color="000000" w:space="0" w:sz="4" w:val="single"/>
              <w:bottom w:color="000000" w:space="0" w:sz="4" w:val="single"/>
            </w:tcBorders>
            <w:vAlign w:val="center"/>
          </w:tcPr>
          <w:p w:rsidR="00000000" w:rsidDel="00000000" w:rsidP="00000000" w:rsidRDefault="00000000" w:rsidRPr="00000000" w14:paraId="0000001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c>
          <w:tcPr>
            <w:tcBorders>
              <w:top w:color="000000" w:space="0" w:sz="4" w:val="single"/>
              <w:bottom w:color="000000" w:space="0" w:sz="4" w:val="single"/>
            </w:tcBorders>
            <w:vAlign w:val="center"/>
          </w:tcPr>
          <w:p w:rsidR="00000000" w:rsidDel="00000000" w:rsidP="00000000" w:rsidRDefault="00000000" w:rsidRPr="00000000" w14:paraId="0000001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Estimate</w:t>
            </w:r>
          </w:p>
        </w:tc>
        <w:tc>
          <w:tcPr>
            <w:tcBorders>
              <w:top w:color="000000" w:space="0" w:sz="4" w:val="single"/>
              <w:bottom w:color="000000" w:space="0" w:sz="4" w:val="single"/>
            </w:tcBorders>
            <w:vAlign w:val="center"/>
          </w:tcPr>
          <w:p w:rsidR="00000000" w:rsidDel="00000000" w:rsidP="00000000" w:rsidRDefault="00000000" w:rsidRPr="00000000" w14:paraId="0000001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r>
      <w:tr>
        <w:trPr>
          <w:cantSplit w:val="0"/>
          <w:tblHeader w:val="0"/>
        </w:trPr>
        <w:tc>
          <w:tcPr>
            <w:tcBorders>
              <w:top w:color="000000" w:space="0" w:sz="4" w:val="single"/>
            </w:tcBorders>
            <w:vAlign w:val="center"/>
          </w:tcPr>
          <w:p w:rsidR="00000000" w:rsidDel="00000000" w:rsidP="00000000" w:rsidRDefault="00000000" w:rsidRPr="00000000" w14:paraId="0000001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tcBorders>
            <w:vAlign w:val="center"/>
          </w:tcPr>
          <w:p w:rsidR="00000000" w:rsidDel="00000000" w:rsidP="00000000" w:rsidRDefault="00000000" w:rsidRPr="00000000" w14:paraId="0000001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2.59</w:t>
            </w:r>
          </w:p>
        </w:tc>
        <w:tc>
          <w:tcPr>
            <w:tcBorders>
              <w:top w:color="000000" w:space="0" w:sz="4" w:val="single"/>
            </w:tcBorders>
            <w:vAlign w:val="center"/>
          </w:tcPr>
          <w:p w:rsidR="00000000" w:rsidDel="00000000" w:rsidP="00000000" w:rsidRDefault="00000000" w:rsidRPr="00000000" w14:paraId="0000001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w:t>
            </w:r>
          </w:p>
        </w:tc>
        <w:tc>
          <w:tcPr>
            <w:tcBorders>
              <w:top w:color="000000" w:space="0" w:sz="4" w:val="single"/>
            </w:tcBorders>
            <w:vAlign w:val="center"/>
          </w:tcPr>
          <w:p w:rsidR="00000000" w:rsidDel="00000000" w:rsidP="00000000" w:rsidRDefault="00000000" w:rsidRPr="00000000" w14:paraId="0000002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0.88</w:t>
            </w:r>
          </w:p>
        </w:tc>
        <w:tc>
          <w:tcPr>
            <w:tcBorders>
              <w:top w:color="000000" w:space="0" w:sz="4" w:val="single"/>
            </w:tcBorders>
            <w:vAlign w:val="center"/>
          </w:tcPr>
          <w:p w:rsidR="00000000" w:rsidDel="00000000" w:rsidP="00000000" w:rsidRDefault="00000000" w:rsidRPr="00000000" w14:paraId="0000002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Borders>
              <w:top w:color="000000" w:space="0" w:sz="4" w:val="single"/>
            </w:tcBorders>
            <w:vAlign w:val="center"/>
          </w:tcPr>
          <w:p w:rsidR="00000000" w:rsidDel="00000000" w:rsidP="00000000" w:rsidRDefault="00000000" w:rsidRPr="00000000" w14:paraId="0000002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tcBorders>
            <w:vAlign w:val="center"/>
          </w:tcPr>
          <w:p w:rsidR="00000000" w:rsidDel="00000000" w:rsidP="00000000" w:rsidRDefault="00000000" w:rsidRPr="00000000" w14:paraId="0000002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r>
      <w:tr>
        <w:trPr>
          <w:cantSplit w:val="0"/>
          <w:tblHeader w:val="0"/>
        </w:trPr>
        <w:tc>
          <w:tcPr>
            <w:vAlign w:val="center"/>
          </w:tcPr>
          <w:p w:rsidR="00000000" w:rsidDel="00000000" w:rsidP="00000000" w:rsidRDefault="00000000" w:rsidRPr="00000000" w14:paraId="0000002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02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2.03</w:t>
            </w:r>
          </w:p>
        </w:tc>
        <w:tc>
          <w:tcPr>
            <w:vAlign w:val="center"/>
          </w:tcPr>
          <w:p w:rsidR="00000000" w:rsidDel="00000000" w:rsidP="00000000" w:rsidRDefault="00000000" w:rsidRPr="00000000" w14:paraId="0000002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0.48</w:t>
            </w:r>
          </w:p>
        </w:tc>
        <w:tc>
          <w:tcPr>
            <w:vAlign w:val="center"/>
          </w:tcPr>
          <w:p w:rsidR="00000000" w:rsidDel="00000000" w:rsidP="00000000" w:rsidRDefault="00000000" w:rsidRPr="00000000" w14:paraId="0000002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0.45</w:t>
            </w:r>
          </w:p>
        </w:tc>
        <w:tc>
          <w:tcPr>
            <w:vAlign w:val="center"/>
          </w:tcPr>
          <w:p w:rsidR="00000000" w:rsidDel="00000000" w:rsidP="00000000" w:rsidRDefault="00000000" w:rsidRPr="00000000" w14:paraId="0000002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0.17</w:t>
            </w:r>
          </w:p>
        </w:tc>
        <w:tc>
          <w:tcPr>
            <w:vAlign w:val="center"/>
          </w:tcPr>
          <w:p w:rsidR="00000000" w:rsidDel="00000000" w:rsidP="00000000" w:rsidRDefault="00000000" w:rsidRPr="00000000" w14:paraId="0000002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c>
          <w:tcPr>
            <w:vAlign w:val="center"/>
          </w:tcPr>
          <w:p w:rsidR="00000000" w:rsidDel="00000000" w:rsidP="00000000" w:rsidRDefault="00000000" w:rsidRPr="00000000" w14:paraId="0000002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r>
      <w:tr>
        <w:trPr>
          <w:cantSplit w:val="0"/>
          <w:tblHeader w:val="0"/>
        </w:trPr>
        <w:tc>
          <w:tcPr>
            <w:vAlign w:val="center"/>
          </w:tcPr>
          <w:p w:rsidR="00000000" w:rsidDel="00000000" w:rsidP="00000000" w:rsidRDefault="00000000" w:rsidRPr="00000000" w14:paraId="0000002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Align w:val="center"/>
          </w:tcPr>
          <w:p w:rsidR="00000000" w:rsidDel="00000000" w:rsidP="00000000" w:rsidRDefault="00000000" w:rsidRPr="00000000" w14:paraId="0000002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0.31</w:t>
            </w:r>
          </w:p>
        </w:tc>
        <w:tc>
          <w:tcPr>
            <w:vAlign w:val="center"/>
          </w:tcPr>
          <w:p w:rsidR="00000000" w:rsidDel="00000000" w:rsidP="00000000" w:rsidRDefault="00000000" w:rsidRPr="00000000" w14:paraId="0000002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c>
          <w:tcPr>
            <w:vAlign w:val="center"/>
          </w:tcPr>
          <w:p w:rsidR="00000000" w:rsidDel="00000000" w:rsidP="00000000" w:rsidRDefault="00000000" w:rsidRPr="00000000" w14:paraId="0000002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c>
          <w:tcPr>
            <w:vAlign w:val="center"/>
          </w:tcPr>
          <w:p w:rsidR="00000000" w:rsidDel="00000000" w:rsidP="00000000" w:rsidRDefault="00000000" w:rsidRPr="00000000" w14:paraId="0000002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w:t>
            </w:r>
          </w:p>
        </w:tc>
        <w:tc>
          <w:tcPr>
            <w:vAlign w:val="center"/>
          </w:tcPr>
          <w:p w:rsidR="00000000" w:rsidDel="00000000" w:rsidP="00000000" w:rsidRDefault="00000000" w:rsidRPr="00000000" w14:paraId="0000003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vAlign w:val="center"/>
          </w:tcPr>
          <w:p w:rsidR="00000000" w:rsidDel="00000000" w:rsidP="00000000" w:rsidRDefault="00000000" w:rsidRPr="00000000" w14:paraId="0000003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r>
      <w:tr>
        <w:trPr>
          <w:cantSplit w:val="0"/>
          <w:tblHeader w:val="0"/>
        </w:trPr>
        <w:tc>
          <w:tcPr>
            <w:vAlign w:val="center"/>
          </w:tcPr>
          <w:p w:rsidR="00000000" w:rsidDel="00000000" w:rsidP="00000000" w:rsidRDefault="00000000" w:rsidRPr="00000000" w14:paraId="0000003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vAlign w:val="center"/>
          </w:tcPr>
          <w:p w:rsidR="00000000" w:rsidDel="00000000" w:rsidP="00000000" w:rsidRDefault="00000000" w:rsidRPr="00000000" w14:paraId="0000003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1.45</w:t>
            </w:r>
          </w:p>
        </w:tc>
        <w:tc>
          <w:tcPr>
            <w:vAlign w:val="center"/>
          </w:tcPr>
          <w:p w:rsidR="00000000" w:rsidDel="00000000" w:rsidP="00000000" w:rsidRDefault="00000000" w:rsidRPr="00000000" w14:paraId="0000003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w:t>
            </w:r>
          </w:p>
        </w:tc>
        <w:tc>
          <w:tcPr>
            <w:vAlign w:val="center"/>
          </w:tcPr>
          <w:p w:rsidR="00000000" w:rsidDel="00000000" w:rsidP="00000000" w:rsidRDefault="00000000" w:rsidRPr="00000000" w14:paraId="0000003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0.35</w:t>
            </w:r>
          </w:p>
        </w:tc>
        <w:tc>
          <w:tcPr>
            <w:vAlign w:val="center"/>
          </w:tcPr>
          <w:p w:rsidR="00000000" w:rsidDel="00000000" w:rsidP="00000000" w:rsidRDefault="00000000" w:rsidRPr="00000000" w14:paraId="0000003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0.41</w:t>
            </w:r>
          </w:p>
        </w:tc>
        <w:tc>
          <w:tcPr>
            <w:vAlign w:val="center"/>
          </w:tcPr>
          <w:p w:rsidR="00000000" w:rsidDel="00000000" w:rsidP="00000000" w:rsidRDefault="00000000" w:rsidRPr="00000000" w14:paraId="0000003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w:t>
            </w:r>
          </w:p>
        </w:tc>
        <w:tc>
          <w:tcPr>
            <w:vAlign w:val="center"/>
          </w:tcPr>
          <w:p w:rsidR="00000000" w:rsidDel="00000000" w:rsidP="00000000" w:rsidRDefault="00000000" w:rsidRPr="00000000" w14:paraId="0000003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blHeader w:val="0"/>
        </w:trPr>
        <w:tc>
          <w:tcPr>
            <w:vAlign w:val="center"/>
          </w:tcPr>
          <w:p w:rsidR="00000000" w:rsidDel="00000000" w:rsidP="00000000" w:rsidRDefault="00000000" w:rsidRPr="00000000" w14:paraId="0000003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vAlign w:val="center"/>
          </w:tcPr>
          <w:p w:rsidR="00000000" w:rsidDel="00000000" w:rsidP="00000000" w:rsidRDefault="00000000" w:rsidRPr="00000000" w14:paraId="0000003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w:t>
            </w:r>
          </w:p>
        </w:tc>
        <w:tc>
          <w:tcPr>
            <w:vAlign w:val="center"/>
          </w:tcPr>
          <w:p w:rsidR="00000000" w:rsidDel="00000000" w:rsidP="00000000" w:rsidRDefault="00000000" w:rsidRPr="00000000" w14:paraId="0000003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0.59</w:t>
            </w:r>
          </w:p>
        </w:tc>
        <w:tc>
          <w:tcPr>
            <w:vAlign w:val="center"/>
          </w:tcPr>
          <w:p w:rsidR="00000000" w:rsidDel="00000000" w:rsidP="00000000" w:rsidRDefault="00000000" w:rsidRPr="00000000" w14:paraId="0000003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w:t>
            </w:r>
          </w:p>
        </w:tc>
        <w:tc>
          <w:tcPr>
            <w:vAlign w:val="center"/>
          </w:tcPr>
          <w:p w:rsidR="00000000" w:rsidDel="00000000" w:rsidP="00000000" w:rsidRDefault="00000000" w:rsidRPr="00000000" w14:paraId="0000003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vAlign w:val="center"/>
          </w:tcPr>
          <w:p w:rsidR="00000000" w:rsidDel="00000000" w:rsidP="00000000" w:rsidRDefault="00000000" w:rsidRPr="00000000" w14:paraId="0000003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c>
          <w:tcPr>
            <w:vAlign w:val="center"/>
          </w:tcPr>
          <w:p w:rsidR="00000000" w:rsidDel="00000000" w:rsidP="00000000" w:rsidRDefault="00000000" w:rsidRPr="00000000" w14:paraId="0000003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r>
      <w:tr>
        <w:trPr>
          <w:cantSplit w:val="0"/>
          <w:tblHeader w:val="0"/>
        </w:trPr>
        <w:tc>
          <w:tcPr>
            <w:vAlign w:val="center"/>
          </w:tcPr>
          <w:p w:rsidR="00000000" w:rsidDel="00000000" w:rsidP="00000000" w:rsidRDefault="00000000" w:rsidRPr="00000000" w14:paraId="0000004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vAlign w:val="center"/>
          </w:tcPr>
          <w:p w:rsidR="00000000" w:rsidDel="00000000" w:rsidP="00000000" w:rsidRDefault="00000000" w:rsidRPr="00000000" w14:paraId="0000004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1.36</w:t>
            </w:r>
          </w:p>
        </w:tc>
        <w:tc>
          <w:tcPr>
            <w:vAlign w:val="center"/>
          </w:tcPr>
          <w:p w:rsidR="00000000" w:rsidDel="00000000" w:rsidP="00000000" w:rsidRDefault="00000000" w:rsidRPr="00000000" w14:paraId="0000004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0.46</w:t>
            </w:r>
          </w:p>
        </w:tc>
        <w:tc>
          <w:tcPr>
            <w:vAlign w:val="center"/>
          </w:tcPr>
          <w:p w:rsidR="00000000" w:rsidDel="00000000" w:rsidP="00000000" w:rsidRDefault="00000000" w:rsidRPr="00000000" w14:paraId="0000004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1.17</w:t>
            </w:r>
          </w:p>
        </w:tc>
        <w:tc>
          <w:tcPr>
            <w:vAlign w:val="center"/>
          </w:tcPr>
          <w:p w:rsidR="00000000" w:rsidDel="00000000" w:rsidP="00000000" w:rsidRDefault="00000000" w:rsidRPr="00000000" w14:paraId="0000004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0.17</w:t>
            </w:r>
          </w:p>
        </w:tc>
        <w:tc>
          <w:tcPr>
            <w:vAlign w:val="center"/>
          </w:tcPr>
          <w:p w:rsidR="00000000" w:rsidDel="00000000" w:rsidP="00000000" w:rsidRDefault="00000000" w:rsidRPr="00000000" w14:paraId="0000004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w:t>
            </w:r>
          </w:p>
        </w:tc>
        <w:tc>
          <w:tcPr>
            <w:vAlign w:val="center"/>
          </w:tcPr>
          <w:p w:rsidR="00000000" w:rsidDel="00000000" w:rsidP="00000000" w:rsidRDefault="00000000" w:rsidRPr="00000000" w14:paraId="0000004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r>
      <w:tr>
        <w:trPr>
          <w:cantSplit w:val="0"/>
          <w:tblHeader w:val="0"/>
        </w:trPr>
        <w:tc>
          <w:tcPr>
            <w:vAlign w:val="center"/>
          </w:tcPr>
          <w:p w:rsidR="00000000" w:rsidDel="00000000" w:rsidP="00000000" w:rsidRDefault="00000000" w:rsidRPr="00000000" w14:paraId="0000004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vAlign w:val="center"/>
          </w:tcPr>
          <w:p w:rsidR="00000000" w:rsidDel="00000000" w:rsidP="00000000" w:rsidRDefault="00000000" w:rsidRPr="00000000" w14:paraId="0000004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1.29</w:t>
            </w:r>
          </w:p>
        </w:tc>
        <w:tc>
          <w:tcPr>
            <w:vAlign w:val="center"/>
          </w:tcPr>
          <w:p w:rsidR="00000000" w:rsidDel="00000000" w:rsidP="00000000" w:rsidRDefault="00000000" w:rsidRPr="00000000" w14:paraId="0000004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0.59</w:t>
            </w:r>
          </w:p>
        </w:tc>
        <w:tc>
          <w:tcPr>
            <w:vAlign w:val="center"/>
          </w:tcPr>
          <w:p w:rsidR="00000000" w:rsidDel="00000000" w:rsidP="00000000" w:rsidRDefault="00000000" w:rsidRPr="00000000" w14:paraId="0000004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1.88</w:t>
            </w:r>
          </w:p>
        </w:tc>
        <w:tc>
          <w:tcPr>
            <w:vAlign w:val="center"/>
          </w:tcPr>
          <w:p w:rsidR="00000000" w:rsidDel="00000000" w:rsidP="00000000" w:rsidRDefault="00000000" w:rsidRPr="00000000" w14:paraId="0000004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0.22</w:t>
            </w:r>
          </w:p>
        </w:tc>
        <w:tc>
          <w:tcPr>
            <w:vAlign w:val="center"/>
          </w:tcPr>
          <w:p w:rsidR="00000000" w:rsidDel="00000000" w:rsidP="00000000" w:rsidRDefault="00000000" w:rsidRPr="00000000" w14:paraId="0000004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0.22</w:t>
            </w:r>
          </w:p>
        </w:tc>
        <w:tc>
          <w:tcPr>
            <w:vAlign w:val="center"/>
          </w:tcPr>
          <w:p w:rsidR="00000000" w:rsidDel="00000000" w:rsidP="00000000" w:rsidRDefault="00000000" w:rsidRPr="00000000" w14:paraId="0000004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r>
      <w:tr>
        <w:trPr>
          <w:cantSplit w:val="0"/>
          <w:tblHeader w:val="0"/>
        </w:trPr>
        <w:tc>
          <w:tcPr>
            <w:vAlign w:val="center"/>
          </w:tcPr>
          <w:p w:rsidR="00000000" w:rsidDel="00000000" w:rsidP="00000000" w:rsidRDefault="00000000" w:rsidRPr="00000000" w14:paraId="0000004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vAlign w:val="center"/>
          </w:tcPr>
          <w:p w:rsidR="00000000" w:rsidDel="00000000" w:rsidP="00000000" w:rsidRDefault="00000000" w:rsidRPr="00000000" w14:paraId="0000004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1.47</w:t>
            </w:r>
          </w:p>
        </w:tc>
        <w:tc>
          <w:tcPr>
            <w:vAlign w:val="center"/>
          </w:tcPr>
          <w:p w:rsidR="00000000" w:rsidDel="00000000" w:rsidP="00000000" w:rsidRDefault="00000000" w:rsidRPr="00000000" w14:paraId="0000005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w:t>
            </w:r>
          </w:p>
        </w:tc>
        <w:tc>
          <w:tcPr>
            <w:vAlign w:val="center"/>
          </w:tcPr>
          <w:p w:rsidR="00000000" w:rsidDel="00000000" w:rsidP="00000000" w:rsidRDefault="00000000" w:rsidRPr="00000000" w14:paraId="0000005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1.39</w:t>
            </w:r>
          </w:p>
        </w:tc>
        <w:tc>
          <w:tcPr>
            <w:vAlign w:val="center"/>
          </w:tcPr>
          <w:p w:rsidR="00000000" w:rsidDel="00000000" w:rsidP="00000000" w:rsidRDefault="00000000" w:rsidRPr="00000000" w14:paraId="0000005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0.21</w:t>
            </w:r>
          </w:p>
        </w:tc>
        <w:tc>
          <w:tcPr>
            <w:vAlign w:val="center"/>
          </w:tcPr>
          <w:p w:rsidR="00000000" w:rsidDel="00000000" w:rsidP="00000000" w:rsidRDefault="00000000" w:rsidRPr="00000000" w14:paraId="0000005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0.29</w:t>
            </w:r>
          </w:p>
        </w:tc>
        <w:tc>
          <w:tcPr>
            <w:vAlign w:val="center"/>
          </w:tcPr>
          <w:p w:rsidR="00000000" w:rsidDel="00000000" w:rsidP="00000000" w:rsidRDefault="00000000" w:rsidRPr="00000000" w14:paraId="0000005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r>
      <w:tr>
        <w:trPr>
          <w:cantSplit w:val="0"/>
          <w:tblHeader w:val="0"/>
        </w:trPr>
        <w:tc>
          <w:tcPr>
            <w:vAlign w:val="center"/>
          </w:tcPr>
          <w:p w:rsidR="00000000" w:rsidDel="00000000" w:rsidP="00000000" w:rsidRDefault="00000000" w:rsidRPr="00000000" w14:paraId="0000005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vAlign w:val="center"/>
          </w:tcPr>
          <w:p w:rsidR="00000000" w:rsidDel="00000000" w:rsidP="00000000" w:rsidRDefault="00000000" w:rsidRPr="00000000" w14:paraId="0000005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1.67</w:t>
            </w:r>
          </w:p>
        </w:tc>
        <w:tc>
          <w:tcPr>
            <w:vAlign w:val="center"/>
          </w:tcPr>
          <w:p w:rsidR="00000000" w:rsidDel="00000000" w:rsidP="00000000" w:rsidRDefault="00000000" w:rsidRPr="00000000" w14:paraId="0000005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0.78</w:t>
            </w:r>
          </w:p>
        </w:tc>
        <w:tc>
          <w:tcPr>
            <w:vAlign w:val="center"/>
          </w:tcPr>
          <w:p w:rsidR="00000000" w:rsidDel="00000000" w:rsidP="00000000" w:rsidRDefault="00000000" w:rsidRPr="00000000" w14:paraId="0000005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1.17</w:t>
            </w:r>
          </w:p>
        </w:tc>
        <w:tc>
          <w:tcPr>
            <w:vAlign w:val="center"/>
          </w:tcPr>
          <w:p w:rsidR="00000000" w:rsidDel="00000000" w:rsidP="00000000" w:rsidRDefault="00000000" w:rsidRPr="00000000" w14:paraId="0000005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0.24</w:t>
            </w:r>
          </w:p>
        </w:tc>
        <w:tc>
          <w:tcPr>
            <w:vAlign w:val="center"/>
          </w:tcPr>
          <w:p w:rsidR="00000000" w:rsidDel="00000000" w:rsidP="00000000" w:rsidRDefault="00000000" w:rsidRPr="00000000" w14:paraId="0000005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w:t>
            </w:r>
          </w:p>
        </w:tc>
        <w:tc>
          <w:tcPr>
            <w:vAlign w:val="center"/>
          </w:tcPr>
          <w:p w:rsidR="00000000" w:rsidDel="00000000" w:rsidP="00000000" w:rsidRDefault="00000000" w:rsidRPr="00000000" w14:paraId="0000005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r>
      <w:tr>
        <w:trPr>
          <w:cantSplit w:val="0"/>
          <w:tblHeader w:val="0"/>
        </w:trPr>
        <w:tc>
          <w:tcPr>
            <w:vAlign w:val="center"/>
          </w:tcPr>
          <w:p w:rsidR="00000000" w:rsidDel="00000000" w:rsidP="00000000" w:rsidRDefault="00000000" w:rsidRPr="00000000" w14:paraId="0000005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vAlign w:val="center"/>
          </w:tcPr>
          <w:p w:rsidR="00000000" w:rsidDel="00000000" w:rsidP="00000000" w:rsidRDefault="00000000" w:rsidRPr="00000000" w14:paraId="0000005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1.88</w:t>
            </w:r>
          </w:p>
        </w:tc>
        <w:tc>
          <w:tcPr>
            <w:vAlign w:val="center"/>
          </w:tcPr>
          <w:p w:rsidR="00000000" w:rsidDel="00000000" w:rsidP="00000000" w:rsidRDefault="00000000" w:rsidRPr="00000000" w14:paraId="0000005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0.55</w:t>
            </w:r>
          </w:p>
        </w:tc>
        <w:tc>
          <w:tcPr>
            <w:vAlign w:val="center"/>
          </w:tcPr>
          <w:p w:rsidR="00000000" w:rsidDel="00000000" w:rsidP="00000000" w:rsidRDefault="00000000" w:rsidRPr="00000000" w14:paraId="0000005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w:t>
            </w:r>
          </w:p>
        </w:tc>
        <w:tc>
          <w:tcPr>
            <w:vAlign w:val="center"/>
          </w:tcPr>
          <w:p w:rsidR="00000000" w:rsidDel="00000000" w:rsidP="00000000" w:rsidRDefault="00000000" w:rsidRPr="00000000" w14:paraId="0000006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c>
          <w:tcPr>
            <w:vAlign w:val="center"/>
          </w:tcPr>
          <w:p w:rsidR="00000000" w:rsidDel="00000000" w:rsidP="00000000" w:rsidRDefault="00000000" w:rsidRPr="00000000" w14:paraId="0000006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c>
          <w:tcPr>
            <w:vAlign w:val="center"/>
          </w:tcPr>
          <w:p w:rsidR="00000000" w:rsidDel="00000000" w:rsidP="00000000" w:rsidRDefault="00000000" w:rsidRPr="00000000" w14:paraId="0000006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r>
    </w:tbl>
    <w:p w:rsidR="00000000" w:rsidDel="00000000" w:rsidP="00000000" w:rsidRDefault="00000000" w:rsidRPr="00000000" w14:paraId="00000063">
      <w:pPr>
        <w:spacing w:before="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spacing w:line="48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66">
      <w:pPr>
        <w:spacing w:after="240" w:before="240" w:line="480" w:lineRule="auto"/>
        <w:ind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Baker, F. B. (2001). The basics of item response theory (2nd ed.). University of Maryland, ERIC Clearinghouse on Assessment and Evaluation.</w:t>
      </w:r>
    </w:p>
    <w:p w:rsidR="00000000" w:rsidDel="00000000" w:rsidP="00000000" w:rsidRDefault="00000000" w:rsidRPr="00000000" w14:paraId="00000067">
      <w:pPr>
        <w:spacing w:after="240" w:before="240" w:line="480" w:lineRule="auto"/>
        <w:ind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Cai, L. (2010). Metropolis-Hastings Robbins-Monro algorithm for confirmatory item factor analysis. </w:t>
      </w:r>
      <w:r w:rsidDel="00000000" w:rsidR="00000000" w:rsidRPr="00000000">
        <w:rPr>
          <w:rFonts w:ascii="Times" w:cs="Times" w:eastAsia="Times" w:hAnsi="Times"/>
          <w:i w:val="1"/>
          <w:sz w:val="24"/>
          <w:szCs w:val="24"/>
          <w:rtl w:val="0"/>
        </w:rPr>
        <w:t xml:space="preserve">Journal of Educational and Behavioral Statistics, 35</w:t>
      </w:r>
      <w:r w:rsidDel="00000000" w:rsidR="00000000" w:rsidRPr="00000000">
        <w:rPr>
          <w:rFonts w:ascii="Times New Roman" w:cs="Times New Roman" w:eastAsia="Times New Roman" w:hAnsi="Times New Roman"/>
          <w:sz w:val="24"/>
          <w:szCs w:val="24"/>
          <w:rtl w:val="0"/>
        </w:rPr>
        <w:t xml:space="preserve">(3), 307-335.</w:t>
      </w:r>
    </w:p>
    <w:p w:rsidR="00000000" w:rsidDel="00000000" w:rsidP="00000000" w:rsidRDefault="00000000" w:rsidRPr="00000000" w14:paraId="00000068">
      <w:pPr>
        <w:spacing w:after="240" w:before="240" w:line="480" w:lineRule="auto"/>
        <w:ind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Embretson, S. E., &amp; Reise, S. P. (2013). Item response theory. Psychology Press.</w:t>
      </w:r>
    </w:p>
    <w:p w:rsidR="00000000" w:rsidDel="00000000" w:rsidP="00000000" w:rsidRDefault="00000000" w:rsidRPr="00000000" w14:paraId="00000069">
      <w:pPr>
        <w:spacing w:after="240" w:before="240" w:line="480" w:lineRule="auto"/>
        <w:ind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Rizopoulos, D. (2006). Itm: An R package for latent variable modeling and item response theory analyses. </w:t>
      </w:r>
      <w:r w:rsidDel="00000000" w:rsidR="00000000" w:rsidRPr="00000000">
        <w:rPr>
          <w:rFonts w:ascii="Times" w:cs="Times" w:eastAsia="Times" w:hAnsi="Times"/>
          <w:i w:val="1"/>
          <w:sz w:val="24"/>
          <w:szCs w:val="24"/>
          <w:rtl w:val="0"/>
        </w:rPr>
        <w:t xml:space="preserve">Journal of Statistical Software, 17</w:t>
      </w:r>
      <w:r w:rsidDel="00000000" w:rsidR="00000000" w:rsidRPr="00000000">
        <w:rPr>
          <w:rFonts w:ascii="Times New Roman" w:cs="Times New Roman" w:eastAsia="Times New Roman" w:hAnsi="Times New Roman"/>
          <w:sz w:val="24"/>
          <w:szCs w:val="24"/>
          <w:rtl w:val="0"/>
        </w:rPr>
        <w:t xml:space="preserve">(5), 1–25. https://doi.org/10.18637/jss.v017.i05</w:t>
      </w:r>
    </w:p>
    <w:p w:rsidR="00000000" w:rsidDel="00000000" w:rsidP="00000000" w:rsidRDefault="00000000" w:rsidRPr="00000000" w14:paraId="0000006A">
      <w:pPr>
        <w:spacing w:after="240" w:before="240" w:line="480" w:lineRule="auto"/>
        <w:ind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Yen, W. M. (1984). Effects of local item dependence on the fit and equating performance of the three-parameter logistic model. </w:t>
      </w:r>
      <w:r w:rsidDel="00000000" w:rsidR="00000000" w:rsidRPr="00000000">
        <w:rPr>
          <w:rFonts w:ascii="Times" w:cs="Times" w:eastAsia="Times" w:hAnsi="Times"/>
          <w:i w:val="1"/>
          <w:sz w:val="24"/>
          <w:szCs w:val="24"/>
          <w:rtl w:val="0"/>
        </w:rPr>
        <w:t xml:space="preserve">Applied Psychological Measurement, 8</w:t>
      </w:r>
      <w:r w:rsidDel="00000000" w:rsidR="00000000" w:rsidRPr="00000000">
        <w:rPr>
          <w:rFonts w:ascii="Times New Roman" w:cs="Times New Roman" w:eastAsia="Times New Roman" w:hAnsi="Times New Roman"/>
          <w:sz w:val="24"/>
          <w:szCs w:val="24"/>
          <w:rtl w:val="0"/>
        </w:rPr>
        <w:t xml:space="preserve">(2), 125–145.</w:t>
      </w:r>
    </w:p>
    <w:p w:rsidR="00000000" w:rsidDel="00000000" w:rsidP="00000000" w:rsidRDefault="00000000" w:rsidRPr="00000000" w14:paraId="0000006B">
      <w:pPr>
        <w:spacing w:after="240" w:before="240" w:line="480" w:lineRule="auto"/>
        <w:ind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Yen W. M. (1993). Scaling performance assessments: Strategies for managing local item dependence. </w:t>
      </w:r>
      <w:r w:rsidDel="00000000" w:rsidR="00000000" w:rsidRPr="00000000">
        <w:rPr>
          <w:rFonts w:ascii="Times" w:cs="Times" w:eastAsia="Times" w:hAnsi="Times"/>
          <w:i w:val="1"/>
          <w:sz w:val="24"/>
          <w:szCs w:val="24"/>
          <w:rtl w:val="0"/>
        </w:rPr>
        <w:t xml:space="preserve">Journal of Educational Measurement, 30</w:t>
      </w:r>
      <w:r w:rsidDel="00000000" w:rsidR="00000000" w:rsidRPr="00000000">
        <w:rPr>
          <w:rFonts w:ascii="Times New Roman" w:cs="Times New Roman" w:eastAsia="Times New Roman" w:hAnsi="Times New Roman"/>
          <w:sz w:val="24"/>
          <w:szCs w:val="24"/>
          <w:rtl w:val="0"/>
        </w:rPr>
        <w:t xml:space="preserve">, 187-213.</w:t>
      </w:r>
    </w:p>
    <w:p w:rsidR="00000000" w:rsidDel="00000000" w:rsidP="00000000" w:rsidRDefault="00000000" w:rsidRPr="00000000" w14:paraId="0000006C">
      <w:pPr>
        <w:spacing w:line="480" w:lineRule="auto"/>
        <w:ind w:left="0" w:firstLine="0"/>
        <w:rPr>
          <w:rFonts w:ascii="Times New Roman" w:cs="Times New Roman" w:eastAsia="Times New Roman" w:hAnsi="Times New Roman"/>
          <w:sz w:val="24"/>
          <w:szCs w:val="24"/>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Time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Qgu23xIq8cstn5VPHz01HZzWpA==">AMUW2mW79vWZrkxw+4sBluqIf9F9tPMH/IsoDldGU5HCGMEBfFmRQjMdZc9o0I02TflpLU9id/UM0SSwyNlv+3sVzBqYJKJwgDgFGl7jJV0b/0MwI7+5f1U=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