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2D3A2" w14:textId="048681BB" w:rsidR="00B60899" w:rsidRPr="004B0030" w:rsidRDefault="00B60899" w:rsidP="00B60899">
      <w:pPr>
        <w:rPr>
          <w:b/>
          <w:bCs/>
          <w:lang w:val="en-US"/>
        </w:rPr>
      </w:pPr>
      <w:r>
        <w:rPr>
          <w:b/>
          <w:bCs/>
          <w:lang w:val="en-HK"/>
        </w:rPr>
        <w:t xml:space="preserve">Supplementary File </w:t>
      </w:r>
      <w:r>
        <w:rPr>
          <w:b/>
          <w:bCs/>
          <w:lang w:val="en-HK"/>
        </w:rPr>
        <w:t>4</w:t>
      </w:r>
    </w:p>
    <w:p w14:paraId="0E5F2299" w14:textId="77777777" w:rsidR="006A37F0" w:rsidRPr="00A32797" w:rsidRDefault="006A37F0" w:rsidP="006A37F0">
      <w:pPr>
        <w:rPr>
          <w:i/>
          <w:iCs/>
          <w:lang w:val="en-HK"/>
        </w:rPr>
      </w:pPr>
      <w:r w:rsidRPr="00A32797">
        <w:rPr>
          <w:i/>
          <w:iCs/>
          <w:lang w:val="en-HK"/>
        </w:rPr>
        <w:t xml:space="preserve">Studies Using the Concept ‘Agency’ in Their Title and/or Abstract in the Context of STEM 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525"/>
        <w:gridCol w:w="2752"/>
        <w:gridCol w:w="4308"/>
        <w:gridCol w:w="5373"/>
      </w:tblGrid>
      <w:tr w:rsidR="006A37F0" w:rsidRPr="00B914C4" w14:paraId="2B751F86" w14:textId="77777777" w:rsidTr="006952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BF101C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Citation</w:t>
            </w:r>
          </w:p>
        </w:tc>
        <w:tc>
          <w:tcPr>
            <w:tcW w:w="0" w:type="auto"/>
            <w:hideMark/>
          </w:tcPr>
          <w:p w14:paraId="26D9FBC8" w14:textId="77777777" w:rsidR="006A37F0" w:rsidRPr="00B914C4" w:rsidRDefault="006A37F0" w:rsidP="00695254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Use of the Concept</w:t>
            </w:r>
          </w:p>
        </w:tc>
        <w:tc>
          <w:tcPr>
            <w:tcW w:w="0" w:type="auto"/>
            <w:hideMark/>
          </w:tcPr>
          <w:p w14:paraId="139CFA01" w14:textId="77777777" w:rsidR="006A37F0" w:rsidRPr="00B914C4" w:rsidRDefault="006A37F0" w:rsidP="00695254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Meaning of Agency as Used</w:t>
            </w:r>
          </w:p>
        </w:tc>
        <w:tc>
          <w:tcPr>
            <w:tcW w:w="0" w:type="auto"/>
            <w:hideMark/>
          </w:tcPr>
          <w:p w14:paraId="082FC3BF" w14:textId="77777777" w:rsidR="006A37F0" w:rsidRPr="00B914C4" w:rsidRDefault="006A37F0" w:rsidP="00695254">
            <w:pPr>
              <w:pStyle w:val="NoSpacing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Inference (Purpose/Conclusion related to Agency)</w:t>
            </w:r>
          </w:p>
        </w:tc>
      </w:tr>
      <w:tr w:rsidR="006A37F0" w:rsidRPr="00B914C4" w14:paraId="2DA7F184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74726CE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Gale et al. (2022)</w:t>
            </w:r>
          </w:p>
        </w:tc>
        <w:tc>
          <w:tcPr>
            <w:tcW w:w="0" w:type="auto"/>
            <w:shd w:val="clear" w:color="auto" w:fill="auto"/>
            <w:hideMark/>
          </w:tcPr>
          <w:p w14:paraId="0FA87F7C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Student agency (supported by curriculum)</w:t>
            </w:r>
          </w:p>
        </w:tc>
        <w:tc>
          <w:tcPr>
            <w:tcW w:w="0" w:type="auto"/>
            <w:shd w:val="clear" w:color="auto" w:fill="auto"/>
            <w:hideMark/>
          </w:tcPr>
          <w:p w14:paraId="4E2F78EF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student's capacity to act on their learning by applying knowledge and envisioning their future identity in the field.</w:t>
            </w:r>
          </w:p>
        </w:tc>
        <w:tc>
          <w:tcPr>
            <w:tcW w:w="0" w:type="auto"/>
            <w:shd w:val="clear" w:color="auto" w:fill="auto"/>
            <w:hideMark/>
          </w:tcPr>
          <w:p w14:paraId="0E3F4E35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Agency is fostered when students can apply computer science knowledge to real-world problems and envision their 'future selves.'</w:t>
            </w:r>
          </w:p>
        </w:tc>
      </w:tr>
      <w:tr w:rsidR="006A37F0" w:rsidRPr="00B914C4" w14:paraId="1AFB2282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E91984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proofErr w:type="spellStart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Holincheck</w:t>
            </w:r>
            <w:proofErr w:type="spellEnd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 xml:space="preserve"> &amp; Galanti (2025)</w:t>
            </w:r>
          </w:p>
        </w:tc>
        <w:tc>
          <w:tcPr>
            <w:tcW w:w="0" w:type="auto"/>
            <w:hideMark/>
          </w:tcPr>
          <w:p w14:paraId="6F849825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proofErr w:type="gramStart"/>
            <w:r w:rsidRPr="00B914C4">
              <w:rPr>
                <w:sz w:val="18"/>
                <w:szCs w:val="18"/>
                <w:lang w:val="en-HK"/>
              </w:rPr>
              <w:t>Agency;</w:t>
            </w:r>
            <w:proofErr w:type="gramEnd"/>
            <w:r w:rsidRPr="00B914C4">
              <w:rPr>
                <w:sz w:val="18"/>
                <w:szCs w:val="18"/>
                <w:lang w:val="en-HK"/>
              </w:rPr>
              <w:t xml:space="preserve"> teachers who are agentic for equity</w:t>
            </w:r>
          </w:p>
        </w:tc>
        <w:tc>
          <w:tcPr>
            <w:tcW w:w="0" w:type="auto"/>
            <w:hideMark/>
          </w:tcPr>
          <w:p w14:paraId="4CCDB050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teacher's capacity and self-efficacy to influence their professional context and enact equitable changes.</w:t>
            </w:r>
          </w:p>
        </w:tc>
        <w:tc>
          <w:tcPr>
            <w:tcW w:w="0" w:type="auto"/>
            <w:hideMark/>
          </w:tcPr>
          <w:p w14:paraId="09F1C40F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Teacher agency is a critical factor that enables educators to implement equitable and sustainable practices within STEM classrooms and communities.</w:t>
            </w:r>
          </w:p>
        </w:tc>
      </w:tr>
      <w:tr w:rsidR="006A37F0" w:rsidRPr="00B914C4" w14:paraId="3AF99EF0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2F678B67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English (2024)</w:t>
            </w:r>
          </w:p>
        </w:tc>
        <w:tc>
          <w:tcPr>
            <w:tcW w:w="0" w:type="auto"/>
            <w:shd w:val="clear" w:color="auto" w:fill="auto"/>
            <w:hideMark/>
          </w:tcPr>
          <w:p w14:paraId="325BAE68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Providing agency for advancing STEM learning</w:t>
            </w:r>
          </w:p>
        </w:tc>
        <w:tc>
          <w:tcPr>
            <w:tcW w:w="0" w:type="auto"/>
            <w:shd w:val="clear" w:color="auto" w:fill="auto"/>
            <w:hideMark/>
          </w:tcPr>
          <w:p w14:paraId="023EAA45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student's ability to exercise control, make choices, and apply existing knowledge innovatively within the learning environment.</w:t>
            </w:r>
          </w:p>
        </w:tc>
        <w:tc>
          <w:tcPr>
            <w:tcW w:w="0" w:type="auto"/>
            <w:shd w:val="clear" w:color="auto" w:fill="auto"/>
            <w:hideMark/>
          </w:tcPr>
          <w:p w14:paraId="3916CE6B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Design-Based Mathematical Modelling (DBMM) supports agency by offering multiple entry points and innovative application opportunities for students.</w:t>
            </w:r>
          </w:p>
        </w:tc>
      </w:tr>
      <w:tr w:rsidR="006A37F0" w:rsidRPr="00B914C4" w14:paraId="455DFBF6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533348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proofErr w:type="spellStart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Sarofian</w:t>
            </w:r>
            <w:proofErr w:type="spellEnd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-Butin (2025)</w:t>
            </w:r>
          </w:p>
        </w:tc>
        <w:tc>
          <w:tcPr>
            <w:tcW w:w="0" w:type="auto"/>
            <w:hideMark/>
          </w:tcPr>
          <w:p w14:paraId="33E31FAF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Deepen engagement and agency</w:t>
            </w:r>
          </w:p>
        </w:tc>
        <w:tc>
          <w:tcPr>
            <w:tcW w:w="0" w:type="auto"/>
            <w:hideMark/>
          </w:tcPr>
          <w:p w14:paraId="2B433DD7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student's sense of self-determination, ability to belong, and power to make choices in their environment.</w:t>
            </w:r>
          </w:p>
        </w:tc>
        <w:tc>
          <w:tcPr>
            <w:tcW w:w="0" w:type="auto"/>
            <w:hideMark/>
          </w:tcPr>
          <w:p w14:paraId="4DA81C99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framework of "rightful presence" is essential for cultivating just spaces and empowering underrepresented students in engineering pathways.</w:t>
            </w:r>
          </w:p>
        </w:tc>
      </w:tr>
      <w:tr w:rsidR="006A37F0" w:rsidRPr="00B914C4" w14:paraId="31112B11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197F92A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Pfeifer et al. (2020)</w:t>
            </w:r>
          </w:p>
        </w:tc>
        <w:tc>
          <w:tcPr>
            <w:tcW w:w="0" w:type="auto"/>
            <w:shd w:val="clear" w:color="auto" w:fill="auto"/>
            <w:hideMark/>
          </w:tcPr>
          <w:p w14:paraId="7E3E9034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View of disability and agency</w:t>
            </w:r>
          </w:p>
        </w:tc>
        <w:tc>
          <w:tcPr>
            <w:tcW w:w="0" w:type="auto"/>
            <w:shd w:val="clear" w:color="auto" w:fill="auto"/>
            <w:hideMark/>
          </w:tcPr>
          <w:p w14:paraId="412F13D3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Self-determination; the student's belief in their ability to speak up and advocate for their needs.</w:t>
            </w:r>
          </w:p>
        </w:tc>
        <w:tc>
          <w:tcPr>
            <w:tcW w:w="0" w:type="auto"/>
            <w:shd w:val="clear" w:color="auto" w:fill="auto"/>
            <w:hideMark/>
          </w:tcPr>
          <w:p w14:paraId="46186616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 strong sense of agency is a key factor influencing the ability of STEM undergraduates with disabilities to advocate for themselves.</w:t>
            </w:r>
          </w:p>
        </w:tc>
      </w:tr>
      <w:tr w:rsidR="006A37F0" w:rsidRPr="00B914C4" w14:paraId="2565A917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ADF32E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Robinson &amp; Aldridge (2023)</w:t>
            </w:r>
          </w:p>
        </w:tc>
        <w:tc>
          <w:tcPr>
            <w:tcW w:w="0" w:type="auto"/>
            <w:hideMark/>
          </w:tcPr>
          <w:p w14:paraId="7E571AE7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Students having "more agency"</w:t>
            </w:r>
          </w:p>
        </w:tc>
        <w:tc>
          <w:tcPr>
            <w:tcW w:w="0" w:type="auto"/>
            <w:hideMark/>
          </w:tcPr>
          <w:p w14:paraId="6EAFFF09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Increased student control, ownership, and voice in the learning process.</w:t>
            </w:r>
          </w:p>
        </w:tc>
        <w:tc>
          <w:tcPr>
            <w:tcW w:w="0" w:type="auto"/>
            <w:hideMark/>
          </w:tcPr>
          <w:p w14:paraId="70D7E47E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Inquiry-based learning (IBL) is an effective pedagogy for increasing student agency in mathematics, alongside improving attitudes toward the subject.</w:t>
            </w:r>
          </w:p>
        </w:tc>
      </w:tr>
      <w:tr w:rsidR="006A37F0" w:rsidRPr="00B914C4" w14:paraId="3A00E8E9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48149FD0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 xml:space="preserve">Galanti &amp; </w:t>
            </w:r>
            <w:proofErr w:type="spellStart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Holincheck</w:t>
            </w:r>
            <w:proofErr w:type="spellEnd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 xml:space="preserve"> (2022)</w:t>
            </w:r>
          </w:p>
        </w:tc>
        <w:tc>
          <w:tcPr>
            <w:tcW w:w="0" w:type="auto"/>
            <w:shd w:val="clear" w:color="auto" w:fill="auto"/>
            <w:hideMark/>
          </w:tcPr>
          <w:p w14:paraId="5A43BAD7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Agency that comes with a strong sense of who they are... as STEM teachers</w:t>
            </w:r>
          </w:p>
        </w:tc>
        <w:tc>
          <w:tcPr>
            <w:tcW w:w="0" w:type="auto"/>
            <w:shd w:val="clear" w:color="auto" w:fill="auto"/>
            <w:hideMark/>
          </w:tcPr>
          <w:p w14:paraId="7363A07F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Professional capacity and self-efficacy; the confidence and power derived from a strong identity to sustain new curriculum.</w:t>
            </w:r>
          </w:p>
        </w:tc>
        <w:tc>
          <w:tcPr>
            <w:tcW w:w="0" w:type="auto"/>
            <w:shd w:val="clear" w:color="auto" w:fill="auto"/>
            <w:hideMark/>
          </w:tcPr>
          <w:p w14:paraId="50111289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Cultivating an integrated STEM teacher identity provides the necessary agency for educators to sustain and implement innovative curriculum reforms.</w:t>
            </w:r>
          </w:p>
        </w:tc>
      </w:tr>
      <w:tr w:rsidR="006A37F0" w:rsidRPr="00B914C4" w14:paraId="4EE33BCB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F41600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Auby et al. (2024)</w:t>
            </w:r>
          </w:p>
        </w:tc>
        <w:tc>
          <w:tcPr>
            <w:tcW w:w="0" w:type="auto"/>
            <w:hideMark/>
          </w:tcPr>
          <w:p w14:paraId="61FCD24B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Fostering student agency, engagement and belonging</w:t>
            </w:r>
          </w:p>
        </w:tc>
        <w:tc>
          <w:tcPr>
            <w:tcW w:w="0" w:type="auto"/>
            <w:hideMark/>
          </w:tcPr>
          <w:p w14:paraId="3B1C6E59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student's sense of self-determination, control, and ability to act on their learning, used as a core outcome goal.</w:t>
            </w:r>
          </w:p>
        </w:tc>
        <w:tc>
          <w:tcPr>
            <w:tcW w:w="0" w:type="auto"/>
            <w:hideMark/>
          </w:tcPr>
          <w:p w14:paraId="4CC223C6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Agency is a key affective outcome of instructional practices that Learning Assistants should focus on to improve student success.</w:t>
            </w:r>
          </w:p>
        </w:tc>
      </w:tr>
      <w:tr w:rsidR="006A37F0" w:rsidRPr="00B914C4" w14:paraId="6C107D99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7E79C4EA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Sanusi et al. (2025)</w:t>
            </w:r>
          </w:p>
        </w:tc>
        <w:tc>
          <w:tcPr>
            <w:tcW w:w="0" w:type="auto"/>
            <w:shd w:val="clear" w:color="auto" w:fill="auto"/>
            <w:hideMark/>
          </w:tcPr>
          <w:p w14:paraId="208453F9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Student agency</w:t>
            </w:r>
          </w:p>
        </w:tc>
        <w:tc>
          <w:tcPr>
            <w:tcW w:w="0" w:type="auto"/>
            <w:shd w:val="clear" w:color="auto" w:fill="auto"/>
            <w:hideMark/>
          </w:tcPr>
          <w:p w14:paraId="0F9640D1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Students' active participation and capacity to contribute to and make connections through collaborative work.</w:t>
            </w:r>
          </w:p>
        </w:tc>
        <w:tc>
          <w:tcPr>
            <w:tcW w:w="0" w:type="auto"/>
            <w:shd w:val="clear" w:color="auto" w:fill="auto"/>
            <w:hideMark/>
          </w:tcPr>
          <w:p w14:paraId="12413EBC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Agency is demonstrated through students' practical actions, such as entering data and discovering real-world connections in collaborative data science platforms.</w:t>
            </w:r>
          </w:p>
        </w:tc>
      </w:tr>
      <w:tr w:rsidR="006A37F0" w:rsidRPr="00B914C4" w14:paraId="54E2B18E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AF457A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Babik (2022)</w:t>
            </w:r>
          </w:p>
        </w:tc>
        <w:tc>
          <w:tcPr>
            <w:tcW w:w="0" w:type="auto"/>
            <w:hideMark/>
          </w:tcPr>
          <w:p w14:paraId="12092C92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Enable students' greater agency via self-forming teams</w:t>
            </w:r>
          </w:p>
        </w:tc>
        <w:tc>
          <w:tcPr>
            <w:tcW w:w="0" w:type="auto"/>
            <w:hideMark/>
          </w:tcPr>
          <w:p w14:paraId="04FF88F3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Student control over the process, workload, and team structure.</w:t>
            </w:r>
          </w:p>
        </w:tc>
        <w:tc>
          <w:tcPr>
            <w:tcW w:w="0" w:type="auto"/>
            <w:hideMark/>
          </w:tcPr>
          <w:p w14:paraId="5A3596B0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Agile Scrum methodology (Scrum Boot Camp) enhances student agency by giving them control and ownership over their workload and team formation.</w:t>
            </w:r>
          </w:p>
        </w:tc>
      </w:tr>
      <w:tr w:rsidR="006A37F0" w:rsidRPr="00B914C4" w14:paraId="69508B00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7C289B4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Scott &amp; Sheffield (2020)</w:t>
            </w:r>
          </w:p>
        </w:tc>
        <w:tc>
          <w:tcPr>
            <w:tcW w:w="0" w:type="auto"/>
            <w:shd w:val="clear" w:color="auto" w:fill="auto"/>
            <w:hideMark/>
          </w:tcPr>
          <w:p w14:paraId="1D296E33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Exercise agency in how they practice autonomy within learning activities</w:t>
            </w:r>
          </w:p>
        </w:tc>
        <w:tc>
          <w:tcPr>
            <w:tcW w:w="0" w:type="auto"/>
            <w:shd w:val="clear" w:color="auto" w:fill="auto"/>
            <w:hideMark/>
          </w:tcPr>
          <w:p w14:paraId="597549A8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student's ability to exert choice and independence (autonomy) in the learning activities.</w:t>
            </w:r>
          </w:p>
        </w:tc>
        <w:tc>
          <w:tcPr>
            <w:tcW w:w="0" w:type="auto"/>
            <w:shd w:val="clear" w:color="auto" w:fill="auto"/>
            <w:hideMark/>
          </w:tcPr>
          <w:p w14:paraId="0397958A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Informal environmental education provides an environment for youth to express autonomy and agency in their learning practices outside the classroom.</w:t>
            </w:r>
          </w:p>
        </w:tc>
      </w:tr>
      <w:tr w:rsidR="006A37F0" w:rsidRPr="00B914C4" w14:paraId="0B94B4F4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F15DDC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 xml:space="preserve">Bennett &amp; </w:t>
            </w:r>
            <w:proofErr w:type="spellStart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Eglash</w:t>
            </w:r>
            <w:proofErr w:type="spellEnd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 xml:space="preserve"> (2014)</w:t>
            </w:r>
          </w:p>
        </w:tc>
        <w:tc>
          <w:tcPr>
            <w:tcW w:w="0" w:type="auto"/>
            <w:hideMark/>
          </w:tcPr>
          <w:p w14:paraId="33AA991D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Design agency</w:t>
            </w:r>
          </w:p>
        </w:tc>
        <w:tc>
          <w:tcPr>
            <w:tcW w:w="0" w:type="auto"/>
            <w:hideMark/>
          </w:tcPr>
          <w:p w14:paraId="32C0BF5C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student's creative authority and capacity to infuse personal, material, and cultural knowledge into technical design projects.</w:t>
            </w:r>
          </w:p>
        </w:tc>
        <w:tc>
          <w:tcPr>
            <w:tcW w:w="0" w:type="auto"/>
            <w:hideMark/>
          </w:tcPr>
          <w:p w14:paraId="2779ED63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Agency is conceptualized as a tool for broadening participation in computer science by merging formal structures with cultural creative practice.</w:t>
            </w:r>
          </w:p>
        </w:tc>
      </w:tr>
      <w:tr w:rsidR="006A37F0" w:rsidRPr="00B914C4" w14:paraId="31BCC161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2EE9AC7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lastRenderedPageBreak/>
              <w:t>Cooke (2016)</w:t>
            </w:r>
          </w:p>
        </w:tc>
        <w:tc>
          <w:tcPr>
            <w:tcW w:w="0" w:type="auto"/>
            <w:shd w:val="clear" w:color="auto" w:fill="auto"/>
            <w:hideMark/>
          </w:tcPr>
          <w:p w14:paraId="76B4AF96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Discover identities as agents of change</w:t>
            </w:r>
          </w:p>
        </w:tc>
        <w:tc>
          <w:tcPr>
            <w:tcW w:w="0" w:type="auto"/>
            <w:shd w:val="clear" w:color="auto" w:fill="auto"/>
            <w:hideMark/>
          </w:tcPr>
          <w:p w14:paraId="0CC111E5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 sense of being a proactive individual with the power to influence their environment or self-identity.</w:t>
            </w:r>
          </w:p>
        </w:tc>
        <w:tc>
          <w:tcPr>
            <w:tcW w:w="0" w:type="auto"/>
            <w:shd w:val="clear" w:color="auto" w:fill="auto"/>
            <w:hideMark/>
          </w:tcPr>
          <w:p w14:paraId="65D8302B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"</w:t>
            </w:r>
            <w:proofErr w:type="spellStart"/>
            <w:r w:rsidRPr="00B914C4">
              <w:rPr>
                <w:sz w:val="18"/>
                <w:szCs w:val="18"/>
                <w:lang w:val="en-HK"/>
              </w:rPr>
              <w:t>Metatuning</w:t>
            </w:r>
            <w:proofErr w:type="spellEnd"/>
            <w:r w:rsidRPr="00B914C4">
              <w:rPr>
                <w:sz w:val="18"/>
                <w:szCs w:val="18"/>
                <w:lang w:val="en-HK"/>
              </w:rPr>
              <w:t>" pedagogical framework uses game design to empower students to see themselves as proactive agents in their learning.</w:t>
            </w:r>
          </w:p>
        </w:tc>
      </w:tr>
      <w:tr w:rsidR="006A37F0" w:rsidRPr="00B914C4" w14:paraId="3A85AEBA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538553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Zhao &amp; Liu (2023)</w:t>
            </w:r>
          </w:p>
        </w:tc>
        <w:tc>
          <w:tcPr>
            <w:tcW w:w="0" w:type="auto"/>
            <w:hideMark/>
          </w:tcPr>
          <w:p w14:paraId="6C2E87E2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Treating the learner as an active agent</w:t>
            </w:r>
          </w:p>
        </w:tc>
        <w:tc>
          <w:tcPr>
            <w:tcW w:w="0" w:type="auto"/>
            <w:hideMark/>
          </w:tcPr>
          <w:p w14:paraId="501FD4EC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Theoretical construct; defining the learner as an active, motivated entity in the learning process (vs. passive).</w:t>
            </w:r>
          </w:p>
        </w:tc>
        <w:tc>
          <w:tcPr>
            <w:tcW w:w="0" w:type="auto"/>
            <w:hideMark/>
          </w:tcPr>
          <w:p w14:paraId="70384A42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 xml:space="preserve">Learning theories like constructivism and humanism recognize the learner as an active, motivated agent, contrasting with the passive view of </w:t>
            </w:r>
            <w:proofErr w:type="spellStart"/>
            <w:r w:rsidRPr="00B914C4">
              <w:rPr>
                <w:sz w:val="18"/>
                <w:szCs w:val="18"/>
                <w:lang w:val="en-HK"/>
              </w:rPr>
              <w:t>behaviorism</w:t>
            </w:r>
            <w:proofErr w:type="spellEnd"/>
            <w:r w:rsidRPr="00B914C4">
              <w:rPr>
                <w:sz w:val="18"/>
                <w:szCs w:val="18"/>
                <w:lang w:val="en-HK"/>
              </w:rPr>
              <w:t>.</w:t>
            </w:r>
          </w:p>
        </w:tc>
      </w:tr>
      <w:tr w:rsidR="006A37F0" w:rsidRPr="00B914C4" w14:paraId="323EF67C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58CED03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Roth (2017)</w:t>
            </w:r>
          </w:p>
        </w:tc>
        <w:tc>
          <w:tcPr>
            <w:tcW w:w="0" w:type="auto"/>
            <w:shd w:val="clear" w:color="auto" w:fill="auto"/>
            <w:hideMark/>
          </w:tcPr>
          <w:p w14:paraId="7A6D64F4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Increases their agency and control over conditions</w:t>
            </w:r>
          </w:p>
        </w:tc>
        <w:tc>
          <w:tcPr>
            <w:tcW w:w="0" w:type="auto"/>
            <w:shd w:val="clear" w:color="auto" w:fill="auto"/>
            <w:hideMark/>
          </w:tcPr>
          <w:p w14:paraId="51C6CED0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The learner's growing power to influence their social and material conditions; a core goal of expansive learning theory.</w:t>
            </w:r>
          </w:p>
        </w:tc>
        <w:tc>
          <w:tcPr>
            <w:tcW w:w="0" w:type="auto"/>
            <w:shd w:val="clear" w:color="auto" w:fill="auto"/>
            <w:hideMark/>
          </w:tcPr>
          <w:p w14:paraId="52F8EA3D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In a cultural-historical approach, expansive learning is defined by its outcome of increasing an individual's agency and control over their environment.</w:t>
            </w:r>
          </w:p>
        </w:tc>
      </w:tr>
      <w:tr w:rsidR="006A37F0" w:rsidRPr="00B914C4" w14:paraId="3AF3C3E3" w14:textId="77777777" w:rsidTr="006952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82C219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proofErr w:type="spellStart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Saseendran</w:t>
            </w:r>
            <w:proofErr w:type="spellEnd"/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 xml:space="preserve"> &amp; Thomas (2025)</w:t>
            </w:r>
          </w:p>
        </w:tc>
        <w:tc>
          <w:tcPr>
            <w:tcW w:w="0" w:type="auto"/>
            <w:hideMark/>
          </w:tcPr>
          <w:p w14:paraId="175D04C3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Design agency (listed as a component of Design Thinking)</w:t>
            </w:r>
          </w:p>
        </w:tc>
        <w:tc>
          <w:tcPr>
            <w:tcW w:w="0" w:type="auto"/>
            <w:hideMark/>
          </w:tcPr>
          <w:p w14:paraId="668C71D9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Creative control and authority over the design process.</w:t>
            </w:r>
          </w:p>
        </w:tc>
        <w:tc>
          <w:tcPr>
            <w:tcW w:w="0" w:type="auto"/>
            <w:hideMark/>
          </w:tcPr>
          <w:p w14:paraId="34F876D6" w14:textId="77777777" w:rsidR="006A37F0" w:rsidRPr="00B914C4" w:rsidRDefault="006A37F0" w:rsidP="0069525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Design agency is a key conceptual component associated with the Design Thinking pedagogical approach in integrated STEM/STEAM education.</w:t>
            </w:r>
          </w:p>
        </w:tc>
      </w:tr>
      <w:tr w:rsidR="006A37F0" w:rsidRPr="00B914C4" w14:paraId="5301230E" w14:textId="77777777" w:rsidTr="006952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4AEB4A1" w14:textId="77777777" w:rsidR="006A37F0" w:rsidRPr="00B914C4" w:rsidRDefault="006A37F0" w:rsidP="00695254">
            <w:pPr>
              <w:pStyle w:val="NoSpacing"/>
              <w:rPr>
                <w:b w:val="0"/>
                <w:bCs w:val="0"/>
                <w:sz w:val="18"/>
                <w:szCs w:val="18"/>
                <w:lang w:val="en-HK"/>
              </w:rPr>
            </w:pPr>
            <w:r w:rsidRPr="00B914C4">
              <w:rPr>
                <w:b w:val="0"/>
                <w:bCs w:val="0"/>
                <w:sz w:val="18"/>
                <w:szCs w:val="18"/>
                <w:lang w:val="en-HK"/>
              </w:rPr>
              <w:t>Ong &amp; Yew-Jin (2022)</w:t>
            </w:r>
          </w:p>
        </w:tc>
        <w:tc>
          <w:tcPr>
            <w:tcW w:w="0" w:type="auto"/>
            <w:shd w:val="clear" w:color="auto" w:fill="auto"/>
            <w:hideMark/>
          </w:tcPr>
          <w:p w14:paraId="2D54642C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(Agency mentioned as a potential benefit)</w:t>
            </w:r>
          </w:p>
        </w:tc>
        <w:tc>
          <w:tcPr>
            <w:tcW w:w="0" w:type="auto"/>
            <w:shd w:val="clear" w:color="auto" w:fill="auto"/>
            <w:hideMark/>
          </w:tcPr>
          <w:p w14:paraId="1993C41A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Implicitly, the capacity to act or exercise influence, used to describe the overall positive impact of STEM education.</w:t>
            </w:r>
          </w:p>
        </w:tc>
        <w:tc>
          <w:tcPr>
            <w:tcW w:w="0" w:type="auto"/>
            <w:shd w:val="clear" w:color="auto" w:fill="auto"/>
            <w:hideMark/>
          </w:tcPr>
          <w:p w14:paraId="54D6E44C" w14:textId="77777777" w:rsidR="006A37F0" w:rsidRPr="00B914C4" w:rsidRDefault="006A37F0" w:rsidP="0069525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lang w:val="en-HK"/>
              </w:rPr>
            </w:pPr>
            <w:r w:rsidRPr="00B914C4">
              <w:rPr>
                <w:sz w:val="18"/>
                <w:szCs w:val="18"/>
                <w:lang w:val="en-HK"/>
              </w:rPr>
              <w:t>Agency is implicitly linked to the overall relevance and positive outcomes of STEM education being communicated by secondary schools.</w:t>
            </w:r>
          </w:p>
        </w:tc>
      </w:tr>
    </w:tbl>
    <w:p w14:paraId="51C85B30" w14:textId="77777777" w:rsidR="006A37F0" w:rsidRPr="006A37F0" w:rsidRDefault="006A37F0">
      <w:pPr>
        <w:rPr>
          <w:lang w:val="en-HK"/>
        </w:rPr>
      </w:pPr>
    </w:p>
    <w:sectPr w:rsidR="006A37F0" w:rsidRPr="006A37F0" w:rsidSect="006A37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F0"/>
    <w:rsid w:val="003F07F5"/>
    <w:rsid w:val="006A37F0"/>
    <w:rsid w:val="00A34F4F"/>
    <w:rsid w:val="00B60899"/>
    <w:rsid w:val="00BD2BEC"/>
    <w:rsid w:val="00D91973"/>
    <w:rsid w:val="00F8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ABCBB"/>
  <w15:chartTrackingRefBased/>
  <w15:docId w15:val="{51DF712F-604B-4432-8EB4-C371AFE6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H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37F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37F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3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3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3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3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37F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37F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37F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7F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37F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37F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37F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37F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37F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A3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37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3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37F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A3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37F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A3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37F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37F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37F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A37F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6A37F0"/>
    <w:pPr>
      <w:spacing w:after="0" w:line="240" w:lineRule="auto"/>
    </w:pPr>
    <w:rPr>
      <w:lang w:val="en-GB"/>
    </w:rPr>
  </w:style>
  <w:style w:type="table" w:styleId="ListTable6Colorful">
    <w:name w:val="List Table 6 Colorful"/>
    <w:basedOn w:val="TableNormal"/>
    <w:uiPriority w:val="51"/>
    <w:rsid w:val="006A37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Alduais</dc:creator>
  <cp:keywords/>
  <dc:description/>
  <cp:lastModifiedBy>Ahmed Alduais</cp:lastModifiedBy>
  <cp:revision>2</cp:revision>
  <dcterms:created xsi:type="dcterms:W3CDTF">2025-11-08T20:04:00Z</dcterms:created>
  <dcterms:modified xsi:type="dcterms:W3CDTF">2025-12-06T19:07:00Z</dcterms:modified>
</cp:coreProperties>
</file>