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3F235" w14:textId="34CF5241" w:rsidR="00ED04DC" w:rsidRPr="00870B8A" w:rsidRDefault="00870B8A" w:rsidP="00870B8A">
      <w:pPr>
        <w:spacing w:line="360" w:lineRule="auto"/>
        <w:contextualSpacing/>
        <w:rPr>
          <w:rFonts w:ascii="Times New Roman" w:hAnsi="Times New Roman" w:cs="Times New Roman"/>
          <w:b/>
          <w:bCs/>
          <w:sz w:val="20"/>
          <w:szCs w:val="20"/>
        </w:rPr>
      </w:pPr>
      <w:r w:rsidRPr="00870B8A">
        <w:rPr>
          <w:rFonts w:ascii="Times New Roman" w:hAnsi="Times New Roman" w:cs="Times New Roman"/>
          <w:b/>
          <w:bCs/>
          <w:sz w:val="20"/>
          <w:szCs w:val="20"/>
        </w:rPr>
        <w:t>APPENDIX</w:t>
      </w:r>
    </w:p>
    <w:p w14:paraId="6B71A12F" w14:textId="77777777" w:rsidR="006807D3" w:rsidRPr="00870B8A" w:rsidRDefault="006807D3" w:rsidP="00870B8A">
      <w:pPr>
        <w:spacing w:line="360" w:lineRule="auto"/>
        <w:contextualSpacing/>
        <w:jc w:val="both"/>
        <w:rPr>
          <w:rFonts w:ascii="Times New Roman" w:hAnsi="Times New Roman" w:cs="Times New Roman"/>
          <w:b/>
          <w:bCs/>
          <w:sz w:val="20"/>
          <w:szCs w:val="20"/>
        </w:rPr>
      </w:pPr>
      <w:r w:rsidRPr="00870B8A">
        <w:rPr>
          <w:rFonts w:ascii="Times New Roman" w:hAnsi="Times New Roman" w:cs="Times New Roman"/>
          <w:b/>
          <w:bCs/>
          <w:sz w:val="20"/>
          <w:szCs w:val="20"/>
        </w:rPr>
        <w:t>Regression sensitivity analysis</w:t>
      </w:r>
    </w:p>
    <w:p w14:paraId="01416943" w14:textId="77777777" w:rsidR="006807D3" w:rsidRPr="00870B8A" w:rsidRDefault="006807D3" w:rsidP="00870B8A">
      <w:pPr>
        <w:spacing w:line="360" w:lineRule="auto"/>
        <w:contextualSpacing/>
        <w:jc w:val="both"/>
        <w:rPr>
          <w:rFonts w:ascii="Times New Roman" w:hAnsi="Times New Roman" w:cs="Times New Roman"/>
          <w:sz w:val="20"/>
          <w:szCs w:val="20"/>
        </w:rPr>
      </w:pPr>
      <w:r w:rsidRPr="00870B8A">
        <w:rPr>
          <w:rFonts w:ascii="Times New Roman" w:hAnsi="Times New Roman" w:cs="Times New Roman"/>
          <w:sz w:val="20"/>
          <w:szCs w:val="20"/>
        </w:rPr>
        <w:t>To account for potential correlation in injury risk among the nine body regions analyzed via regression, we performed a sensitivity analysis where a set of correlated observation-level random effects was introduced into the model. Thus, to the model shown in Section 2.5.1, we added:</w:t>
      </w:r>
    </w:p>
    <w:p w14:paraId="456FD315" w14:textId="77777777" w:rsidR="006807D3" w:rsidRPr="00870B8A" w:rsidRDefault="00000000" w:rsidP="00870B8A">
      <w:pPr>
        <w:spacing w:line="360" w:lineRule="auto"/>
        <w:contextualSpacing/>
        <w:jc w:val="center"/>
        <w:rPr>
          <w:rFonts w:ascii="Times New Roman" w:hAnsi="Times New Roman" w:cs="Times New Roman"/>
          <w:sz w:val="20"/>
          <w:szCs w:val="20"/>
        </w:rPr>
      </w:pPr>
      <m:oMath>
        <m:sSup>
          <m:sSupPr>
            <m:ctrlPr>
              <w:rPr>
                <w:rFonts w:ascii="Cambria Math" w:hAnsi="Cambria Math" w:cs="Times New Roman"/>
                <w:i/>
                <w:sz w:val="20"/>
                <w:szCs w:val="20"/>
              </w:rPr>
            </m:ctrlPr>
          </m:sSupPr>
          <m:e>
            <m:d>
              <m:dPr>
                <m:begChr m:val="["/>
                <m:endChr m:val="]"/>
                <m:ctrlPr>
                  <w:rPr>
                    <w:rFonts w:ascii="Cambria Math" w:hAnsi="Cambria Math" w:cs="Times New Roman"/>
                    <w:i/>
                    <w:sz w:val="20"/>
                    <w:szCs w:val="20"/>
                  </w:rPr>
                </m:ctrlPr>
              </m:dPr>
              <m:e>
                <m:m>
                  <m:mPr>
                    <m:mcs>
                      <m:mc>
                        <m:mcPr>
                          <m:count m:val="3"/>
                          <m:mcJc m:val="center"/>
                        </m:mcPr>
                      </m:mc>
                    </m:mcs>
                    <m:ctrlPr>
                      <w:rPr>
                        <w:rFonts w:ascii="Cambria Math" w:hAnsi="Cambria Math" w:cs="Times New Roman"/>
                        <w:i/>
                        <w:sz w:val="20"/>
                        <w:szCs w:val="20"/>
                      </w:rPr>
                    </m:ctrlPr>
                  </m:mPr>
                  <m:mr>
                    <m:e>
                      <m:sSubSup>
                        <m:sSubSupPr>
                          <m:ctrlPr>
                            <w:rPr>
                              <w:rFonts w:ascii="Cambria Math" w:hAnsi="Cambria Math" w:cs="Times New Roman"/>
                              <w:i/>
                              <w:sz w:val="20"/>
                              <w:szCs w:val="20"/>
                            </w:rPr>
                          </m:ctrlPr>
                        </m:sSubSupPr>
                        <m:e>
                          <m:r>
                            <w:rPr>
                              <w:rFonts w:ascii="Cambria Math" w:hAnsi="Cambria Math" w:cs="Times New Roman"/>
                              <w:sz w:val="20"/>
                              <w:szCs w:val="20"/>
                            </w:rPr>
                            <m:t>u</m:t>
                          </m:r>
                        </m:e>
                        <m:sub>
                          <m:r>
                            <w:rPr>
                              <w:rFonts w:ascii="Cambria Math" w:hAnsi="Cambria Math" w:cs="Times New Roman"/>
                              <w:sz w:val="20"/>
                              <w:szCs w:val="20"/>
                            </w:rPr>
                            <m:t>i</m:t>
                          </m:r>
                        </m:sub>
                        <m:sup>
                          <m:d>
                            <m:dPr>
                              <m:ctrlPr>
                                <w:rPr>
                                  <w:rFonts w:ascii="Cambria Math" w:hAnsi="Cambria Math" w:cs="Times New Roman"/>
                                  <w:i/>
                                  <w:sz w:val="20"/>
                                  <w:szCs w:val="20"/>
                                </w:rPr>
                              </m:ctrlPr>
                            </m:dPr>
                            <m:e>
                              <m:r>
                                <w:rPr>
                                  <w:rFonts w:ascii="Cambria Math" w:hAnsi="Cambria Math" w:cs="Times New Roman"/>
                                  <w:sz w:val="20"/>
                                  <w:szCs w:val="20"/>
                                </w:rPr>
                                <m:t>1</m:t>
                              </m:r>
                            </m:e>
                          </m:d>
                        </m:sup>
                      </m:sSubSup>
                      <m:r>
                        <w:rPr>
                          <w:rFonts w:ascii="Cambria Math" w:hAnsi="Cambria Math" w:cs="Times New Roman"/>
                          <w:sz w:val="20"/>
                          <w:szCs w:val="20"/>
                        </w:rPr>
                        <m:t>|</m:t>
                      </m:r>
                    </m:e>
                    <m:e>
                      <m:r>
                        <w:rPr>
                          <w:rFonts w:ascii="Cambria Math" w:hAnsi="Cambria Math" w:cs="Times New Roman"/>
                          <w:sz w:val="20"/>
                          <w:szCs w:val="20"/>
                        </w:rPr>
                        <m:t>⋯</m:t>
                      </m:r>
                    </m:e>
                    <m:e>
                      <m:sSubSup>
                        <m:sSubSupPr>
                          <m:ctrlPr>
                            <w:rPr>
                              <w:rFonts w:ascii="Cambria Math" w:hAnsi="Cambria Math" w:cs="Times New Roman"/>
                              <w:i/>
                              <w:sz w:val="20"/>
                              <w:szCs w:val="20"/>
                            </w:rPr>
                          </m:ctrlPr>
                        </m:sSubSupPr>
                        <m:e>
                          <m:r>
                            <w:rPr>
                              <w:rFonts w:ascii="Cambria Math" w:hAnsi="Cambria Math" w:cs="Times New Roman"/>
                              <w:sz w:val="20"/>
                              <w:szCs w:val="20"/>
                            </w:rPr>
                            <m:t>|u</m:t>
                          </m:r>
                        </m:e>
                        <m:sub>
                          <m:r>
                            <w:rPr>
                              <w:rFonts w:ascii="Cambria Math" w:hAnsi="Cambria Math" w:cs="Times New Roman"/>
                              <w:sz w:val="20"/>
                              <w:szCs w:val="20"/>
                            </w:rPr>
                            <m:t>i</m:t>
                          </m:r>
                        </m:sub>
                        <m:sup>
                          <m:d>
                            <m:dPr>
                              <m:ctrlPr>
                                <w:rPr>
                                  <w:rFonts w:ascii="Cambria Math" w:hAnsi="Cambria Math" w:cs="Times New Roman"/>
                                  <w:i/>
                                  <w:sz w:val="20"/>
                                  <w:szCs w:val="20"/>
                                </w:rPr>
                              </m:ctrlPr>
                            </m:dPr>
                            <m:e>
                              <m:r>
                                <w:rPr>
                                  <w:rFonts w:ascii="Cambria Math" w:hAnsi="Cambria Math" w:cs="Times New Roman"/>
                                  <w:sz w:val="20"/>
                                  <w:szCs w:val="20"/>
                                </w:rPr>
                                <m:t>J</m:t>
                              </m:r>
                            </m:e>
                          </m:d>
                        </m:sup>
                      </m:sSubSup>
                    </m:e>
                  </m:mr>
                </m:m>
              </m:e>
            </m:d>
          </m:e>
          <m:sup>
            <m:r>
              <w:rPr>
                <w:rFonts w:ascii="Cambria Math" w:hAnsi="Cambria Math" w:cs="Times New Roman"/>
                <w:sz w:val="20"/>
                <w:szCs w:val="20"/>
              </w:rPr>
              <m:t>T</m:t>
            </m:r>
          </m:sup>
        </m:sSup>
        <m:r>
          <m:rPr>
            <m:sty m:val="p"/>
          </m:rPr>
          <w:rPr>
            <w:rFonts w:ascii="Cambria Math" w:hAnsi="Cambria Math" w:cs="Times New Roman"/>
            <w:sz w:val="20"/>
            <w:szCs w:val="20"/>
          </w:rPr>
          <m:t>~MVN</m:t>
        </m:r>
        <m:d>
          <m:dPr>
            <m:begChr m:val="["/>
            <m:endChr m:val="]"/>
            <m:ctrlPr>
              <w:rPr>
                <w:rFonts w:ascii="Cambria Math" w:hAnsi="Cambria Math" w:cs="Times New Roman"/>
                <w:iCs/>
                <w:sz w:val="20"/>
                <w:szCs w:val="20"/>
              </w:rPr>
            </m:ctrlPr>
          </m:dPr>
          <m:e>
            <m:d>
              <m:dPr>
                <m:ctrlPr>
                  <w:rPr>
                    <w:rFonts w:ascii="Cambria Math" w:hAnsi="Cambria Math" w:cs="Times New Roman"/>
                    <w:i/>
                    <w:iCs/>
                    <w:sz w:val="20"/>
                    <w:szCs w:val="20"/>
                  </w:rPr>
                </m:ctrlPr>
              </m:dPr>
              <m:e>
                <m:m>
                  <m:mPr>
                    <m:mcs>
                      <m:mc>
                        <m:mcPr>
                          <m:count m:val="1"/>
                          <m:mcJc m:val="center"/>
                        </m:mcPr>
                      </m:mc>
                    </m:mcs>
                    <m:ctrlPr>
                      <w:rPr>
                        <w:rFonts w:ascii="Cambria Math" w:hAnsi="Cambria Math" w:cs="Times New Roman"/>
                        <w:b/>
                        <w:bCs/>
                        <w:iCs/>
                        <w:sz w:val="20"/>
                        <w:szCs w:val="20"/>
                      </w:rPr>
                    </m:ctrlPr>
                  </m:mPr>
                  <m:mr>
                    <m:e>
                      <m:r>
                        <w:rPr>
                          <w:rFonts w:ascii="Cambria Math" w:hAnsi="Cambria Math" w:cs="Times New Roman"/>
                          <w:sz w:val="20"/>
                          <w:szCs w:val="20"/>
                        </w:rPr>
                        <m:t>0</m:t>
                      </m:r>
                    </m:e>
                  </m:mr>
                  <m:mr>
                    <m:e>
                      <m:r>
                        <m:rPr>
                          <m:sty m:val="bi"/>
                        </m:rPr>
                        <w:rPr>
                          <w:rFonts w:ascii="Cambria Math" w:hAnsi="Cambria Math" w:cs="Times New Roman"/>
                          <w:sz w:val="20"/>
                          <w:szCs w:val="20"/>
                        </w:rPr>
                        <m:t>⋮</m:t>
                      </m:r>
                    </m:e>
                  </m:mr>
                  <m:mr>
                    <m:e>
                      <m:r>
                        <w:rPr>
                          <w:rFonts w:ascii="Cambria Math" w:hAnsi="Cambria Math" w:cs="Times New Roman"/>
                          <w:sz w:val="20"/>
                          <w:szCs w:val="20"/>
                        </w:rPr>
                        <m:t>0</m:t>
                      </m:r>
                    </m:e>
                  </m:mr>
                </m:m>
              </m:e>
            </m:d>
            <m:r>
              <m:rPr>
                <m:sty m:val="p"/>
              </m:rPr>
              <w:rPr>
                <w:rFonts w:ascii="Cambria Math" w:hAnsi="Cambria Math" w:cs="Times New Roman"/>
                <w:sz w:val="20"/>
                <w:szCs w:val="20"/>
              </w:rPr>
              <m:t xml:space="preserve">, </m:t>
            </m:r>
            <m:d>
              <m:dPr>
                <m:ctrlPr>
                  <w:rPr>
                    <w:rFonts w:ascii="Cambria Math" w:hAnsi="Cambria Math" w:cs="Times New Roman"/>
                    <w:iCs/>
                    <w:sz w:val="20"/>
                    <w:szCs w:val="20"/>
                  </w:rPr>
                </m:ctrlPr>
              </m:dPr>
              <m:e>
                <m:m>
                  <m:mPr>
                    <m:mcs>
                      <m:mc>
                        <m:mcPr>
                          <m:count m:val="3"/>
                          <m:mcJc m:val="center"/>
                        </m:mcPr>
                      </m:mc>
                    </m:mcs>
                    <m:ctrlPr>
                      <w:rPr>
                        <w:rFonts w:ascii="Cambria Math" w:hAnsi="Cambria Math" w:cs="Times New Roman"/>
                        <w:i/>
                        <w:iCs/>
                        <w:sz w:val="20"/>
                        <w:szCs w:val="20"/>
                      </w:rPr>
                    </m:ctrlPr>
                  </m:mPr>
                  <m:mr>
                    <m:e>
                      <m:sSup>
                        <m:sSupPr>
                          <m:ctrlPr>
                            <w:rPr>
                              <w:rFonts w:ascii="Cambria Math" w:hAnsi="Cambria Math" w:cs="Times New Roman"/>
                              <w:i/>
                              <w:iCs/>
                              <w:sz w:val="20"/>
                              <w:szCs w:val="20"/>
                            </w:rPr>
                          </m:ctrlPr>
                        </m:sSupPr>
                        <m:e>
                          <m:r>
                            <w:rPr>
                              <w:rFonts w:ascii="Cambria Math" w:hAnsi="Cambria Math" w:cs="Times New Roman"/>
                              <w:sz w:val="20"/>
                              <w:szCs w:val="20"/>
                            </w:rPr>
                            <m:t>σ</m:t>
                          </m:r>
                        </m:e>
                        <m:sup>
                          <m:r>
                            <w:rPr>
                              <w:rFonts w:ascii="Cambria Math" w:hAnsi="Cambria Math" w:cs="Times New Roman"/>
                              <w:sz w:val="20"/>
                              <w:szCs w:val="20"/>
                            </w:rPr>
                            <m:t>(1)</m:t>
                          </m:r>
                        </m:sup>
                      </m:sSup>
                    </m:e>
                    <m:e>
                      <m:r>
                        <w:rPr>
                          <w:rFonts w:ascii="Cambria Math" w:hAnsi="Cambria Math" w:cs="Times New Roman"/>
                          <w:sz w:val="20"/>
                          <w:szCs w:val="20"/>
                        </w:rPr>
                        <m:t>0</m:t>
                      </m:r>
                    </m:e>
                    <m:e>
                      <m:r>
                        <w:rPr>
                          <w:rFonts w:ascii="Cambria Math" w:hAnsi="Cambria Math" w:cs="Times New Roman"/>
                          <w:sz w:val="20"/>
                          <w:szCs w:val="20"/>
                        </w:rPr>
                        <m:t>0</m:t>
                      </m:r>
                    </m:e>
                  </m:mr>
                  <m:mr>
                    <m:e>
                      <m:r>
                        <w:rPr>
                          <w:rFonts w:ascii="Cambria Math" w:hAnsi="Cambria Math" w:cs="Times New Roman"/>
                          <w:sz w:val="20"/>
                          <w:szCs w:val="20"/>
                        </w:rPr>
                        <m:t>0</m:t>
                      </m:r>
                    </m:e>
                    <m:e>
                      <m:r>
                        <w:rPr>
                          <w:rFonts w:ascii="Cambria Math" w:hAnsi="Cambria Math" w:cs="Times New Roman"/>
                          <w:sz w:val="20"/>
                          <w:szCs w:val="20"/>
                        </w:rPr>
                        <m:t>⋱</m:t>
                      </m:r>
                    </m:e>
                    <m:e>
                      <m:r>
                        <w:rPr>
                          <w:rFonts w:ascii="Cambria Math" w:hAnsi="Cambria Math" w:cs="Times New Roman"/>
                          <w:sz w:val="20"/>
                          <w:szCs w:val="20"/>
                        </w:rPr>
                        <m:t>0</m:t>
                      </m:r>
                    </m:e>
                  </m:mr>
                  <m:mr>
                    <m:e>
                      <m:r>
                        <w:rPr>
                          <w:rFonts w:ascii="Cambria Math" w:hAnsi="Cambria Math" w:cs="Times New Roman"/>
                          <w:sz w:val="20"/>
                          <w:szCs w:val="20"/>
                        </w:rPr>
                        <m:t>0</m:t>
                      </m:r>
                    </m:e>
                    <m:e>
                      <m:r>
                        <w:rPr>
                          <w:rFonts w:ascii="Cambria Math" w:hAnsi="Cambria Math" w:cs="Times New Roman"/>
                          <w:sz w:val="20"/>
                          <w:szCs w:val="20"/>
                        </w:rPr>
                        <m:t>0</m:t>
                      </m:r>
                    </m:e>
                    <m:e>
                      <m:sSup>
                        <m:sSupPr>
                          <m:ctrlPr>
                            <w:rPr>
                              <w:rFonts w:ascii="Cambria Math" w:hAnsi="Cambria Math" w:cs="Times New Roman"/>
                              <w:i/>
                              <w:iCs/>
                              <w:sz w:val="20"/>
                              <w:szCs w:val="20"/>
                            </w:rPr>
                          </m:ctrlPr>
                        </m:sSupPr>
                        <m:e>
                          <m:r>
                            <w:rPr>
                              <w:rFonts w:ascii="Cambria Math" w:hAnsi="Cambria Math" w:cs="Times New Roman"/>
                              <w:sz w:val="20"/>
                              <w:szCs w:val="20"/>
                            </w:rPr>
                            <m:t>σ</m:t>
                          </m:r>
                        </m:e>
                        <m:sup>
                          <m:r>
                            <w:rPr>
                              <w:rFonts w:ascii="Cambria Math" w:hAnsi="Cambria Math" w:cs="Times New Roman"/>
                              <w:sz w:val="20"/>
                              <w:szCs w:val="20"/>
                            </w:rPr>
                            <m:t>(J)</m:t>
                          </m:r>
                        </m:sup>
                      </m:sSup>
                    </m:e>
                  </m:mr>
                </m:m>
              </m:e>
            </m:d>
            <m:sSub>
              <m:sSubPr>
                <m:ctrlPr>
                  <w:rPr>
                    <w:rFonts w:ascii="Cambria Math" w:hAnsi="Cambria Math" w:cs="Times New Roman"/>
                    <w:i/>
                    <w:iCs/>
                    <w:sz w:val="20"/>
                    <w:szCs w:val="20"/>
                  </w:rPr>
                </m:ctrlPr>
              </m:sSubPr>
              <m:e>
                <m:r>
                  <m:rPr>
                    <m:sty m:val="b"/>
                  </m:rPr>
                  <w:rPr>
                    <w:rFonts w:ascii="Cambria Math" w:hAnsi="Cambria Math" w:cs="Times New Roman"/>
                    <w:sz w:val="20"/>
                    <w:szCs w:val="20"/>
                  </w:rPr>
                  <m:t>Ω</m:t>
                </m:r>
                <m:ctrlPr>
                  <w:rPr>
                    <w:rFonts w:ascii="Cambria Math" w:hAnsi="Cambria Math" w:cs="Times New Roman"/>
                    <w:b/>
                    <w:bCs/>
                    <w:iCs/>
                    <w:sz w:val="20"/>
                    <w:szCs w:val="20"/>
                  </w:rPr>
                </m:ctrlPr>
              </m:e>
              <m:sub>
                <m:r>
                  <m:rPr>
                    <m:sty m:val="bi"/>
                  </m:rPr>
                  <w:rPr>
                    <w:rFonts w:ascii="Cambria Math" w:hAnsi="Cambria Math" w:cs="Times New Roman"/>
                    <w:sz w:val="20"/>
                    <w:szCs w:val="20"/>
                  </w:rPr>
                  <m:t>u</m:t>
                </m:r>
              </m:sub>
            </m:sSub>
            <m:d>
              <m:dPr>
                <m:ctrlPr>
                  <w:rPr>
                    <w:rFonts w:ascii="Cambria Math" w:hAnsi="Cambria Math" w:cs="Times New Roman"/>
                    <w:iCs/>
                    <w:sz w:val="20"/>
                    <w:szCs w:val="20"/>
                  </w:rPr>
                </m:ctrlPr>
              </m:dPr>
              <m:e>
                <m:m>
                  <m:mPr>
                    <m:mcs>
                      <m:mc>
                        <m:mcPr>
                          <m:count m:val="3"/>
                          <m:mcJc m:val="center"/>
                        </m:mcPr>
                      </m:mc>
                    </m:mcs>
                    <m:ctrlPr>
                      <w:rPr>
                        <w:rFonts w:ascii="Cambria Math" w:hAnsi="Cambria Math" w:cs="Times New Roman"/>
                        <w:i/>
                        <w:iCs/>
                        <w:sz w:val="20"/>
                        <w:szCs w:val="20"/>
                      </w:rPr>
                    </m:ctrlPr>
                  </m:mPr>
                  <m:mr>
                    <m:e>
                      <m:sSup>
                        <m:sSupPr>
                          <m:ctrlPr>
                            <w:rPr>
                              <w:rFonts w:ascii="Cambria Math" w:hAnsi="Cambria Math" w:cs="Times New Roman"/>
                              <w:i/>
                              <w:iCs/>
                              <w:sz w:val="20"/>
                              <w:szCs w:val="20"/>
                            </w:rPr>
                          </m:ctrlPr>
                        </m:sSupPr>
                        <m:e>
                          <m:r>
                            <w:rPr>
                              <w:rFonts w:ascii="Cambria Math" w:hAnsi="Cambria Math" w:cs="Times New Roman"/>
                              <w:sz w:val="20"/>
                              <w:szCs w:val="20"/>
                            </w:rPr>
                            <m:t>σ</m:t>
                          </m:r>
                        </m:e>
                        <m:sup>
                          <m:r>
                            <w:rPr>
                              <w:rFonts w:ascii="Cambria Math" w:hAnsi="Cambria Math" w:cs="Times New Roman"/>
                              <w:sz w:val="20"/>
                              <w:szCs w:val="20"/>
                            </w:rPr>
                            <m:t>(1)</m:t>
                          </m:r>
                        </m:sup>
                      </m:sSup>
                    </m:e>
                    <m:e>
                      <m:r>
                        <w:rPr>
                          <w:rFonts w:ascii="Cambria Math" w:hAnsi="Cambria Math" w:cs="Times New Roman"/>
                          <w:sz w:val="20"/>
                          <w:szCs w:val="20"/>
                        </w:rPr>
                        <m:t>0</m:t>
                      </m:r>
                    </m:e>
                    <m:e>
                      <m:r>
                        <w:rPr>
                          <w:rFonts w:ascii="Cambria Math" w:hAnsi="Cambria Math" w:cs="Times New Roman"/>
                          <w:sz w:val="20"/>
                          <w:szCs w:val="20"/>
                        </w:rPr>
                        <m:t>0</m:t>
                      </m:r>
                    </m:e>
                  </m:mr>
                  <m:mr>
                    <m:e>
                      <m:r>
                        <w:rPr>
                          <w:rFonts w:ascii="Cambria Math" w:hAnsi="Cambria Math" w:cs="Times New Roman"/>
                          <w:sz w:val="20"/>
                          <w:szCs w:val="20"/>
                        </w:rPr>
                        <m:t>0</m:t>
                      </m:r>
                    </m:e>
                    <m:e>
                      <m:r>
                        <w:rPr>
                          <w:rFonts w:ascii="Cambria Math" w:hAnsi="Cambria Math" w:cs="Times New Roman"/>
                          <w:sz w:val="20"/>
                          <w:szCs w:val="20"/>
                        </w:rPr>
                        <m:t>⋱</m:t>
                      </m:r>
                    </m:e>
                    <m:e>
                      <m:r>
                        <w:rPr>
                          <w:rFonts w:ascii="Cambria Math" w:hAnsi="Cambria Math" w:cs="Times New Roman"/>
                          <w:sz w:val="20"/>
                          <w:szCs w:val="20"/>
                        </w:rPr>
                        <m:t>0</m:t>
                      </m:r>
                    </m:e>
                  </m:mr>
                  <m:mr>
                    <m:e>
                      <m:r>
                        <w:rPr>
                          <w:rFonts w:ascii="Cambria Math" w:hAnsi="Cambria Math" w:cs="Times New Roman"/>
                          <w:sz w:val="20"/>
                          <w:szCs w:val="20"/>
                        </w:rPr>
                        <m:t>0</m:t>
                      </m:r>
                    </m:e>
                    <m:e>
                      <m:r>
                        <w:rPr>
                          <w:rFonts w:ascii="Cambria Math" w:hAnsi="Cambria Math" w:cs="Times New Roman"/>
                          <w:sz w:val="20"/>
                          <w:szCs w:val="20"/>
                        </w:rPr>
                        <m:t>0</m:t>
                      </m:r>
                    </m:e>
                    <m:e>
                      <m:sSup>
                        <m:sSupPr>
                          <m:ctrlPr>
                            <w:rPr>
                              <w:rFonts w:ascii="Cambria Math" w:hAnsi="Cambria Math" w:cs="Times New Roman"/>
                              <w:i/>
                              <w:iCs/>
                              <w:sz w:val="20"/>
                              <w:szCs w:val="20"/>
                            </w:rPr>
                          </m:ctrlPr>
                        </m:sSupPr>
                        <m:e>
                          <m:r>
                            <w:rPr>
                              <w:rFonts w:ascii="Cambria Math" w:hAnsi="Cambria Math" w:cs="Times New Roman"/>
                              <w:sz w:val="20"/>
                              <w:szCs w:val="20"/>
                            </w:rPr>
                            <m:t>σ</m:t>
                          </m:r>
                        </m:e>
                        <m:sup>
                          <m:r>
                            <w:rPr>
                              <w:rFonts w:ascii="Cambria Math" w:hAnsi="Cambria Math" w:cs="Times New Roman"/>
                              <w:sz w:val="20"/>
                              <w:szCs w:val="20"/>
                            </w:rPr>
                            <m:t>(J)</m:t>
                          </m:r>
                        </m:sup>
                      </m:sSup>
                    </m:e>
                  </m:mr>
                </m:m>
              </m:e>
            </m:d>
          </m:e>
        </m:d>
        <m:r>
          <m:rPr>
            <m:sty m:val="p"/>
          </m:rPr>
          <w:rPr>
            <w:rFonts w:ascii="Cambria Math" w:hAnsi="Cambria Math" w:cs="Times New Roman"/>
            <w:sz w:val="20"/>
            <w:szCs w:val="20"/>
          </w:rPr>
          <m:t xml:space="preserve"> </m:t>
        </m:r>
      </m:oMath>
      <w:r w:rsidR="006807D3" w:rsidRPr="00870B8A">
        <w:rPr>
          <w:rFonts w:ascii="Times New Roman" w:eastAsiaTheme="minorEastAsia" w:hAnsi="Times New Roman" w:cs="Times New Roman"/>
          <w:iCs/>
          <w:sz w:val="20"/>
          <w:szCs w:val="20"/>
        </w:rPr>
        <w:t>,</w:t>
      </w:r>
    </w:p>
    <w:p w14:paraId="6E0198C1" w14:textId="77777777" w:rsidR="006807D3" w:rsidRDefault="006807D3" w:rsidP="00870B8A">
      <w:pPr>
        <w:spacing w:line="360" w:lineRule="auto"/>
        <w:contextualSpacing/>
        <w:jc w:val="both"/>
        <w:rPr>
          <w:rFonts w:ascii="Times New Roman" w:eastAsiaTheme="minorEastAsia" w:hAnsi="Times New Roman" w:cs="Times New Roman"/>
          <w:sz w:val="20"/>
          <w:szCs w:val="20"/>
        </w:rPr>
      </w:pPr>
      <w:r w:rsidRPr="00870B8A">
        <w:rPr>
          <w:rFonts w:ascii="Times New Roman" w:eastAsiaTheme="minorEastAsia" w:hAnsi="Times New Roman" w:cs="Times New Roman"/>
          <w:sz w:val="20"/>
          <w:szCs w:val="20"/>
        </w:rPr>
        <w:t xml:space="preserve">where </w:t>
      </w:r>
      <m:oMath>
        <m:sSubSup>
          <m:sSubSupPr>
            <m:ctrlPr>
              <w:rPr>
                <w:rFonts w:ascii="Cambria Math" w:eastAsiaTheme="minorEastAsia" w:hAnsi="Cambria Math" w:cs="Times New Roman"/>
                <w:i/>
                <w:sz w:val="20"/>
                <w:szCs w:val="20"/>
              </w:rPr>
            </m:ctrlPr>
          </m:sSubSupPr>
          <m:e>
            <m:r>
              <w:rPr>
                <w:rFonts w:ascii="Cambria Math" w:eastAsiaTheme="minorEastAsia" w:hAnsi="Cambria Math" w:cs="Times New Roman"/>
                <w:sz w:val="20"/>
                <w:szCs w:val="20"/>
              </w:rPr>
              <m:t>u</m:t>
            </m:r>
          </m:e>
          <m:sub>
            <m:r>
              <w:rPr>
                <w:rFonts w:ascii="Cambria Math" w:eastAsiaTheme="minorEastAsia" w:hAnsi="Cambria Math" w:cs="Times New Roman"/>
                <w:sz w:val="20"/>
                <w:szCs w:val="20"/>
              </w:rPr>
              <m:t>i</m:t>
            </m:r>
          </m:sub>
          <m:sup>
            <m:r>
              <w:rPr>
                <w:rFonts w:ascii="Cambria Math" w:eastAsiaTheme="minorEastAsia" w:hAnsi="Cambria Math" w:cs="Times New Roman"/>
                <w:sz w:val="20"/>
                <w:szCs w:val="20"/>
              </w:rPr>
              <m:t>(j)</m:t>
            </m:r>
          </m:sup>
        </m:sSubSup>
      </m:oMath>
      <w:r w:rsidRPr="00870B8A">
        <w:rPr>
          <w:rFonts w:ascii="Times New Roman" w:eastAsiaTheme="minorEastAsia" w:hAnsi="Times New Roman" w:cs="Times New Roman"/>
          <w:sz w:val="20"/>
          <w:szCs w:val="20"/>
        </w:rPr>
        <w:t xml:space="preserve"> is an observation level random effect for the </w:t>
      </w:r>
      <w:r w:rsidRPr="00870B8A">
        <w:rPr>
          <w:rFonts w:ascii="Times New Roman" w:eastAsiaTheme="minorEastAsia" w:hAnsi="Times New Roman" w:cs="Times New Roman"/>
          <w:i/>
          <w:iCs/>
          <w:sz w:val="20"/>
          <w:szCs w:val="20"/>
        </w:rPr>
        <w:t>j</w:t>
      </w:r>
      <w:r w:rsidRPr="00870B8A">
        <w:rPr>
          <w:rFonts w:ascii="Times New Roman" w:eastAsiaTheme="minorEastAsia" w:hAnsi="Times New Roman" w:cs="Times New Roman"/>
          <w:sz w:val="20"/>
          <w:szCs w:val="20"/>
        </w:rPr>
        <w:t xml:space="preserve">th body region. Correlation among the body regions is modelled via a mean-zero Multivariate Normal distribution with a correlation matrix </w:t>
      </w:r>
      <m:oMath>
        <m:sSub>
          <m:sSubPr>
            <m:ctrlPr>
              <w:rPr>
                <w:rFonts w:ascii="Cambria Math" w:hAnsi="Cambria Math" w:cs="Times New Roman"/>
                <w:i/>
                <w:iCs/>
                <w:sz w:val="20"/>
                <w:szCs w:val="20"/>
              </w:rPr>
            </m:ctrlPr>
          </m:sSubPr>
          <m:e>
            <m:r>
              <m:rPr>
                <m:sty m:val="b"/>
              </m:rPr>
              <w:rPr>
                <w:rFonts w:ascii="Cambria Math" w:hAnsi="Cambria Math" w:cs="Times New Roman"/>
                <w:sz w:val="20"/>
                <w:szCs w:val="20"/>
              </w:rPr>
              <m:t>Ω</m:t>
            </m:r>
            <m:ctrlPr>
              <w:rPr>
                <w:rFonts w:ascii="Cambria Math" w:hAnsi="Cambria Math" w:cs="Times New Roman"/>
                <w:b/>
                <w:bCs/>
                <w:iCs/>
                <w:sz w:val="20"/>
                <w:szCs w:val="20"/>
              </w:rPr>
            </m:ctrlPr>
          </m:e>
          <m:sub>
            <m:r>
              <m:rPr>
                <m:sty m:val="bi"/>
              </m:rPr>
              <w:rPr>
                <w:rFonts w:ascii="Cambria Math" w:hAnsi="Cambria Math" w:cs="Times New Roman"/>
                <w:sz w:val="20"/>
                <w:szCs w:val="20"/>
              </w:rPr>
              <m:t>u</m:t>
            </m:r>
          </m:sub>
        </m:sSub>
      </m:oMath>
      <w:r w:rsidRPr="00870B8A">
        <w:rPr>
          <w:rFonts w:ascii="Times New Roman" w:eastAsiaTheme="minorEastAsia" w:hAnsi="Times New Roman" w:cs="Times New Roman"/>
          <w:iCs/>
          <w:sz w:val="20"/>
          <w:szCs w:val="20"/>
        </w:rPr>
        <w:t>. We note that this sensitivity analysis simultaneously allows for overdispersion, akin to a quasi-Binomial distribution</w:t>
      </w:r>
      <w:r w:rsidRPr="00870B8A">
        <w:rPr>
          <w:rFonts w:ascii="Times New Roman" w:eastAsiaTheme="minorEastAsia" w:hAnsi="Times New Roman" w:cs="Times New Roman"/>
          <w:sz w:val="20"/>
          <w:szCs w:val="20"/>
        </w:rPr>
        <w:t>. W</w:t>
      </w:r>
      <w:r w:rsidRPr="00870B8A">
        <w:rPr>
          <w:rFonts w:ascii="Times New Roman" w:eastAsiaTheme="minorEastAsia" w:hAnsi="Times New Roman" w:cs="Times New Roman"/>
          <w:iCs/>
          <w:sz w:val="20"/>
          <w:szCs w:val="20"/>
        </w:rPr>
        <w:t xml:space="preserve">e used the weakly-informative Lewandowski-Kurowicka-Joe (LKJ) priors for the correlation matrix and Half-Normal priors for the standard deviations: </w:t>
      </w:r>
      <m:oMath>
        <m:sSub>
          <m:sSubPr>
            <m:ctrlPr>
              <w:rPr>
                <w:rFonts w:ascii="Cambria Math" w:eastAsiaTheme="minorEastAsia" w:hAnsi="Cambria Math" w:cs="Times New Roman"/>
                <w:b/>
                <w:bCs/>
                <w:sz w:val="20"/>
                <w:szCs w:val="20"/>
              </w:rPr>
            </m:ctrlPr>
          </m:sSubPr>
          <m:e>
            <m:r>
              <m:rPr>
                <m:sty m:val="b"/>
              </m:rPr>
              <w:rPr>
                <w:rFonts w:ascii="Cambria Math" w:eastAsiaTheme="minorEastAsia" w:hAnsi="Cambria Math" w:cs="Times New Roman"/>
                <w:sz w:val="20"/>
                <w:szCs w:val="20"/>
              </w:rPr>
              <m:t>Ω</m:t>
            </m:r>
            <m:ctrlPr>
              <w:rPr>
                <w:rFonts w:ascii="Cambria Math" w:eastAsiaTheme="minorEastAsia" w:hAnsi="Cambria Math" w:cs="Times New Roman"/>
                <w:i/>
                <w:sz w:val="20"/>
                <w:szCs w:val="20"/>
              </w:rPr>
            </m:ctrlPr>
          </m:e>
          <m:sub>
            <m:r>
              <m:rPr>
                <m:sty m:val="bi"/>
              </m:rPr>
              <w:rPr>
                <w:rFonts w:ascii="Cambria Math" w:eastAsiaTheme="minorEastAsia" w:hAnsi="Cambria Math" w:cs="Times New Roman"/>
                <w:sz w:val="20"/>
                <w:szCs w:val="20"/>
              </w:rPr>
              <m:t>u</m:t>
            </m:r>
          </m:sub>
        </m:sSub>
        <m:r>
          <w:rPr>
            <w:rFonts w:ascii="Cambria Math" w:eastAsiaTheme="minorEastAsia" w:hAnsi="Cambria Math" w:cs="Times New Roman"/>
            <w:sz w:val="20"/>
            <w:szCs w:val="20"/>
          </w:rPr>
          <m:t>~LKJ</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3</m:t>
            </m:r>
          </m:e>
        </m:d>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σ</m:t>
            </m:r>
          </m:e>
          <m:sup>
            <m:r>
              <w:rPr>
                <w:rFonts w:ascii="Cambria Math" w:eastAsiaTheme="minorEastAsia" w:hAnsi="Cambria Math" w:cs="Times New Roman"/>
                <w:sz w:val="20"/>
                <w:szCs w:val="20"/>
              </w:rPr>
              <m:t>(1)</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σ</m:t>
            </m:r>
          </m:e>
          <m:sup>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J</m:t>
                </m:r>
              </m:e>
            </m:d>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N</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(0, 2.5)</m:t>
        </m:r>
      </m:oMath>
      <w:r w:rsidRPr="00870B8A">
        <w:rPr>
          <w:rFonts w:ascii="Times New Roman" w:eastAsiaTheme="minorEastAsia" w:hAnsi="Times New Roman" w:cs="Times New Roman"/>
          <w:sz w:val="20"/>
          <w:szCs w:val="20"/>
        </w:rPr>
        <w:t>.</w:t>
      </w:r>
    </w:p>
    <w:p w14:paraId="406BBE6A" w14:textId="77777777" w:rsidR="00870B8A" w:rsidRPr="00870B8A" w:rsidRDefault="00870B8A" w:rsidP="00870B8A">
      <w:pPr>
        <w:spacing w:line="360" w:lineRule="auto"/>
        <w:contextualSpacing/>
        <w:jc w:val="both"/>
        <w:rPr>
          <w:rFonts w:ascii="Times New Roman" w:eastAsiaTheme="minorEastAsia" w:hAnsi="Times New Roman" w:cs="Times New Roman"/>
          <w:sz w:val="20"/>
          <w:szCs w:val="20"/>
        </w:rPr>
      </w:pPr>
    </w:p>
    <w:p w14:paraId="7A2B3308" w14:textId="77777777" w:rsidR="00C96D4D" w:rsidRPr="00870B8A" w:rsidRDefault="00C96D4D" w:rsidP="00870B8A">
      <w:pPr>
        <w:spacing w:line="360" w:lineRule="auto"/>
        <w:contextualSpacing/>
        <w:jc w:val="both"/>
        <w:rPr>
          <w:rFonts w:ascii="Times New Roman" w:hAnsi="Times New Roman" w:cs="Times New Roman"/>
          <w:b/>
          <w:bCs/>
          <w:sz w:val="20"/>
          <w:szCs w:val="20"/>
        </w:rPr>
      </w:pPr>
      <w:r w:rsidRPr="00870B8A">
        <w:rPr>
          <w:rFonts w:ascii="Times New Roman" w:hAnsi="Times New Roman" w:cs="Times New Roman"/>
          <w:b/>
          <w:bCs/>
          <w:sz w:val="20"/>
          <w:szCs w:val="20"/>
        </w:rPr>
        <w:t>Regression sensitivity analysis results</w:t>
      </w:r>
    </w:p>
    <w:p w14:paraId="6651A3C7" w14:textId="21AD6916" w:rsidR="00C96D4D" w:rsidRPr="00870B8A" w:rsidRDefault="00C96D4D" w:rsidP="00870B8A">
      <w:pPr>
        <w:spacing w:line="360" w:lineRule="auto"/>
        <w:contextualSpacing/>
        <w:jc w:val="both"/>
        <w:rPr>
          <w:rFonts w:ascii="Times New Roman" w:hAnsi="Times New Roman" w:cs="Times New Roman"/>
          <w:sz w:val="20"/>
          <w:szCs w:val="20"/>
        </w:rPr>
      </w:pPr>
      <w:r w:rsidRPr="00870B8A">
        <w:rPr>
          <w:rFonts w:ascii="Times New Roman" w:hAnsi="Times New Roman" w:cs="Times New Roman"/>
          <w:sz w:val="20"/>
          <w:szCs w:val="20"/>
        </w:rPr>
        <w:t xml:space="preserve">The sensitivity analysis that accounted for potential correlations between injury risk to body regions, as well as potential overdispersion, included a </w:t>
      </w:r>
      <m:oMath>
        <m:r>
          <w:rPr>
            <w:rFonts w:ascii="Cambria Math" w:hAnsi="Cambria Math" w:cs="Times New Roman"/>
            <w:sz w:val="20"/>
            <w:szCs w:val="20"/>
          </w:rPr>
          <m:t>9×9</m:t>
        </m:r>
      </m:oMath>
      <w:r w:rsidRPr="00870B8A">
        <w:rPr>
          <w:rFonts w:ascii="Times New Roman" w:eastAsiaTheme="minorEastAsia" w:hAnsi="Times New Roman" w:cs="Times New Roman"/>
          <w:sz w:val="20"/>
          <w:szCs w:val="20"/>
        </w:rPr>
        <w:t xml:space="preserve"> correlation matrix and nine body region random effect standard deviations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σ</m:t>
            </m:r>
          </m:e>
          <m:sup>
            <m:r>
              <w:rPr>
                <w:rFonts w:ascii="Cambria Math" w:eastAsiaTheme="minorEastAsia" w:hAnsi="Cambria Math" w:cs="Times New Roman"/>
                <w:sz w:val="20"/>
                <w:szCs w:val="20"/>
              </w:rPr>
              <m:t>(1)</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σ</m:t>
            </m:r>
          </m:e>
          <m:sup>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9</m:t>
                </m:r>
              </m:e>
            </m:d>
          </m:sup>
        </m:sSup>
      </m:oMath>
      <w:r w:rsidRPr="00870B8A">
        <w:rPr>
          <w:rFonts w:ascii="Times New Roman" w:eastAsiaTheme="minorEastAsia" w:hAnsi="Times New Roman" w:cs="Times New Roman"/>
          <w:sz w:val="20"/>
          <w:szCs w:val="20"/>
        </w:rPr>
        <w:t xml:space="preserve">. The estimates of between-body region correlations (components of the correlation matrix </w:t>
      </w:r>
      <m:oMath>
        <m:sSub>
          <m:sSubPr>
            <m:ctrlPr>
              <w:rPr>
                <w:rFonts w:ascii="Cambria Math" w:hAnsi="Cambria Math" w:cs="Times New Roman"/>
                <w:i/>
                <w:iCs/>
                <w:sz w:val="20"/>
                <w:szCs w:val="20"/>
              </w:rPr>
            </m:ctrlPr>
          </m:sSubPr>
          <m:e>
            <m:r>
              <m:rPr>
                <m:sty m:val="b"/>
              </m:rPr>
              <w:rPr>
                <w:rFonts w:ascii="Cambria Math" w:hAnsi="Cambria Math" w:cs="Times New Roman"/>
                <w:sz w:val="20"/>
                <w:szCs w:val="20"/>
              </w:rPr>
              <m:t>Ω</m:t>
            </m:r>
            <m:ctrlPr>
              <w:rPr>
                <w:rFonts w:ascii="Cambria Math" w:hAnsi="Cambria Math" w:cs="Times New Roman"/>
                <w:b/>
                <w:bCs/>
                <w:iCs/>
                <w:sz w:val="20"/>
                <w:szCs w:val="20"/>
              </w:rPr>
            </m:ctrlPr>
          </m:e>
          <m:sub>
            <m:r>
              <m:rPr>
                <m:sty m:val="bi"/>
              </m:rPr>
              <w:rPr>
                <w:rFonts w:ascii="Cambria Math" w:hAnsi="Cambria Math" w:cs="Times New Roman"/>
                <w:sz w:val="20"/>
                <w:szCs w:val="20"/>
              </w:rPr>
              <m:t>u</m:t>
            </m:r>
          </m:sub>
        </m:sSub>
      </m:oMath>
      <w:r w:rsidRPr="00870B8A">
        <w:rPr>
          <w:rFonts w:ascii="Times New Roman" w:eastAsiaTheme="minorEastAsia" w:hAnsi="Times New Roman" w:cs="Times New Roman"/>
          <w:sz w:val="20"/>
          <w:szCs w:val="20"/>
        </w:rPr>
        <w:t xml:space="preserve">) ranged between 0.03 and -0.01. The random effect SD estimates ranged between 1.50 (upper extremity) and 0.57 (pelvis), corresponding to intraclass correlations of 0.41 and 0.09, respectively. Seat belt effectiveness estimates remained </w:t>
      </w:r>
      <w:proofErr w:type="gramStart"/>
      <w:r w:rsidRPr="00870B8A">
        <w:rPr>
          <w:rFonts w:ascii="Times New Roman" w:eastAsiaTheme="minorEastAsia" w:hAnsi="Times New Roman" w:cs="Times New Roman"/>
          <w:sz w:val="20"/>
          <w:szCs w:val="20"/>
        </w:rPr>
        <w:t>similar to</w:t>
      </w:r>
      <w:proofErr w:type="gramEnd"/>
      <w:r w:rsidRPr="00870B8A">
        <w:rPr>
          <w:rFonts w:ascii="Times New Roman" w:eastAsiaTheme="minorEastAsia" w:hAnsi="Times New Roman" w:cs="Times New Roman"/>
          <w:sz w:val="20"/>
          <w:szCs w:val="20"/>
        </w:rPr>
        <w:t xml:space="preserve"> what is shown in</w:t>
      </w:r>
      <w:r w:rsidR="00C32C2A" w:rsidRPr="00870B8A">
        <w:rPr>
          <w:rFonts w:ascii="Times New Roman" w:eastAsiaTheme="minorEastAsia" w:hAnsi="Times New Roman" w:cs="Times New Roman"/>
          <w:sz w:val="20"/>
          <w:szCs w:val="20"/>
        </w:rPr>
        <w:t xml:space="preserve"> main text</w:t>
      </w:r>
      <w:r w:rsidRPr="00870B8A">
        <w:rPr>
          <w:rFonts w:ascii="Times New Roman" w:eastAsiaTheme="minorEastAsia" w:hAnsi="Times New Roman" w:cs="Times New Roman"/>
          <w:sz w:val="20"/>
          <w:szCs w:val="20"/>
        </w:rPr>
        <w:t xml:space="preserve"> </w:t>
      </w:r>
      <w:r w:rsidRPr="00870B8A">
        <w:rPr>
          <w:rFonts w:ascii="Times New Roman" w:eastAsiaTheme="minorEastAsia" w:hAnsi="Times New Roman" w:cs="Times New Roman"/>
          <w:b/>
          <w:bCs/>
          <w:sz w:val="20"/>
          <w:szCs w:val="20"/>
        </w:rPr>
        <w:t>Figure 1</w:t>
      </w:r>
      <w:r w:rsidRPr="00870B8A">
        <w:rPr>
          <w:rFonts w:ascii="Times New Roman" w:eastAsiaTheme="minorEastAsia" w:hAnsi="Times New Roman" w:cs="Times New Roman"/>
          <w:sz w:val="20"/>
          <w:szCs w:val="20"/>
        </w:rPr>
        <w:t xml:space="preserve">, with the rank order nearly identical and only the estimates for rib and abdomen switching ranks. Taken together, the sensitivity analysis indicates there is not a need to account for either overdispersion or between body region correlations in this regression model.  </w:t>
      </w:r>
    </w:p>
    <w:p w14:paraId="1C86E887" w14:textId="77777777" w:rsidR="00870B8A" w:rsidRDefault="00870B8A" w:rsidP="00870B8A">
      <w:pPr>
        <w:spacing w:line="360" w:lineRule="auto"/>
        <w:contextualSpacing/>
        <w:jc w:val="both"/>
        <w:rPr>
          <w:rFonts w:ascii="Times New Roman" w:hAnsi="Times New Roman" w:cs="Times New Roman"/>
          <w:b/>
          <w:bCs/>
          <w:sz w:val="20"/>
          <w:szCs w:val="20"/>
        </w:rPr>
      </w:pPr>
    </w:p>
    <w:p w14:paraId="55346FF8" w14:textId="0074D11D" w:rsidR="006807D3" w:rsidRPr="00870B8A" w:rsidRDefault="006807D3" w:rsidP="00870B8A">
      <w:pPr>
        <w:spacing w:line="360" w:lineRule="auto"/>
        <w:contextualSpacing/>
        <w:jc w:val="both"/>
        <w:rPr>
          <w:rFonts w:ascii="Times New Roman" w:hAnsi="Times New Roman" w:cs="Times New Roman"/>
          <w:b/>
          <w:bCs/>
          <w:sz w:val="20"/>
          <w:szCs w:val="20"/>
        </w:rPr>
      </w:pPr>
      <w:r w:rsidRPr="00870B8A">
        <w:rPr>
          <w:rFonts w:ascii="Times New Roman" w:hAnsi="Times New Roman" w:cs="Times New Roman"/>
          <w:b/>
          <w:bCs/>
          <w:sz w:val="20"/>
          <w:szCs w:val="20"/>
        </w:rPr>
        <w:t>Injury description by body region</w:t>
      </w:r>
    </w:p>
    <w:p w14:paraId="0C7F9ACC" w14:textId="221D0104" w:rsidR="00290EDB" w:rsidRPr="00870B8A" w:rsidRDefault="00ED04DC" w:rsidP="00870B8A">
      <w:pPr>
        <w:spacing w:line="360" w:lineRule="auto"/>
        <w:contextualSpacing/>
        <w:jc w:val="both"/>
        <w:rPr>
          <w:rFonts w:ascii="Times New Roman" w:hAnsi="Times New Roman" w:cs="Times New Roman"/>
          <w:sz w:val="20"/>
          <w:szCs w:val="20"/>
        </w:rPr>
      </w:pPr>
      <w:r w:rsidRPr="00A96161">
        <w:rPr>
          <w:rFonts w:ascii="Times New Roman" w:hAnsi="Times New Roman" w:cs="Times New Roman"/>
          <w:b/>
          <w:bCs/>
          <w:sz w:val="20"/>
          <w:szCs w:val="20"/>
        </w:rPr>
        <w:t>Table A1</w:t>
      </w:r>
      <w:r w:rsidRPr="00870B8A">
        <w:rPr>
          <w:rFonts w:ascii="Times New Roman" w:hAnsi="Times New Roman" w:cs="Times New Roman"/>
          <w:sz w:val="20"/>
          <w:szCs w:val="20"/>
        </w:rPr>
        <w:t xml:space="preserve"> describes the body regions and types of injuries assessed in the descriptive and regression analyses. The body regions analyzed here were designed to provide potential insight into injury causation mechanisms by dividing the regions into more granular categories than the AIS and ISS body region categories (e.g., head/neck injury, face injury, thorax injury, abdomen injury, extremities injury, and external injury). Consequently, some specific injury types were not included in the body region categories, such as facial fractures, femoral artery injury, metatarsal fractures, knee ligament tears, etc.</w:t>
      </w:r>
    </w:p>
    <w:p w14:paraId="4DBCC74D" w14:textId="77777777" w:rsidR="00290EDB" w:rsidRPr="00870B8A" w:rsidRDefault="00290EDB"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br w:type="page"/>
      </w:r>
    </w:p>
    <w:tbl>
      <w:tblPr>
        <w:tblStyle w:val="TableGrid"/>
        <w:tblW w:w="9936" w:type="dxa"/>
        <w:tblLayout w:type="fixed"/>
        <w:tblLook w:val="04A0" w:firstRow="1" w:lastRow="0" w:firstColumn="1" w:lastColumn="0" w:noHBand="0" w:noVBand="1"/>
      </w:tblPr>
      <w:tblGrid>
        <w:gridCol w:w="2160"/>
        <w:gridCol w:w="3888"/>
        <w:gridCol w:w="3888"/>
      </w:tblGrid>
      <w:tr w:rsidR="00ED04DC" w:rsidRPr="00870B8A" w14:paraId="2E250308" w14:textId="77777777" w:rsidTr="00690279">
        <w:tc>
          <w:tcPr>
            <w:tcW w:w="2160" w:type="dxa"/>
          </w:tcPr>
          <w:p w14:paraId="166238CA" w14:textId="77777777" w:rsidR="00ED04DC" w:rsidRPr="00870B8A" w:rsidRDefault="00ED04DC" w:rsidP="00685247">
            <w:pPr>
              <w:spacing w:line="360" w:lineRule="auto"/>
              <w:contextualSpacing/>
              <w:jc w:val="center"/>
              <w:rPr>
                <w:rFonts w:ascii="Times New Roman" w:hAnsi="Times New Roman" w:cs="Times New Roman"/>
                <w:b/>
                <w:bCs/>
                <w:sz w:val="20"/>
                <w:szCs w:val="20"/>
              </w:rPr>
            </w:pPr>
            <w:r w:rsidRPr="00870B8A">
              <w:rPr>
                <w:rFonts w:ascii="Times New Roman" w:hAnsi="Times New Roman" w:cs="Times New Roman"/>
                <w:b/>
                <w:bCs/>
                <w:sz w:val="20"/>
                <w:szCs w:val="20"/>
              </w:rPr>
              <w:lastRenderedPageBreak/>
              <w:t>Body region</w:t>
            </w:r>
          </w:p>
        </w:tc>
        <w:tc>
          <w:tcPr>
            <w:tcW w:w="3888" w:type="dxa"/>
          </w:tcPr>
          <w:p w14:paraId="51295098" w14:textId="77777777" w:rsidR="00ED04DC" w:rsidRPr="00870B8A" w:rsidRDefault="00ED04DC" w:rsidP="00685247">
            <w:pPr>
              <w:spacing w:line="360" w:lineRule="auto"/>
              <w:contextualSpacing/>
              <w:jc w:val="center"/>
              <w:rPr>
                <w:rFonts w:ascii="Times New Roman" w:hAnsi="Times New Roman" w:cs="Times New Roman"/>
                <w:b/>
                <w:bCs/>
                <w:sz w:val="20"/>
                <w:szCs w:val="20"/>
              </w:rPr>
            </w:pPr>
            <w:r w:rsidRPr="00870B8A">
              <w:rPr>
                <w:rFonts w:ascii="Times New Roman" w:hAnsi="Times New Roman" w:cs="Times New Roman"/>
                <w:b/>
                <w:bCs/>
                <w:sz w:val="20"/>
                <w:szCs w:val="20"/>
              </w:rPr>
              <w:t>General description of region / injuries</w:t>
            </w:r>
          </w:p>
        </w:tc>
        <w:tc>
          <w:tcPr>
            <w:tcW w:w="3888" w:type="dxa"/>
          </w:tcPr>
          <w:p w14:paraId="3905CA0C" w14:textId="77777777" w:rsidR="00ED04DC" w:rsidRPr="00870B8A" w:rsidRDefault="00ED04DC" w:rsidP="00685247">
            <w:pPr>
              <w:spacing w:line="360" w:lineRule="auto"/>
              <w:contextualSpacing/>
              <w:jc w:val="center"/>
              <w:rPr>
                <w:rFonts w:ascii="Times New Roman" w:hAnsi="Times New Roman" w:cs="Times New Roman"/>
                <w:b/>
                <w:bCs/>
                <w:sz w:val="20"/>
                <w:szCs w:val="20"/>
              </w:rPr>
            </w:pPr>
            <w:r w:rsidRPr="00870B8A">
              <w:rPr>
                <w:rFonts w:ascii="Times New Roman" w:hAnsi="Times New Roman" w:cs="Times New Roman"/>
                <w:b/>
                <w:bCs/>
                <w:sz w:val="20"/>
                <w:szCs w:val="20"/>
              </w:rPr>
              <w:t>Other notes</w:t>
            </w:r>
          </w:p>
        </w:tc>
      </w:tr>
      <w:tr w:rsidR="00ED04DC" w:rsidRPr="00870B8A" w14:paraId="516278E0" w14:textId="77777777" w:rsidTr="00690279">
        <w:tc>
          <w:tcPr>
            <w:tcW w:w="2160" w:type="dxa"/>
          </w:tcPr>
          <w:p w14:paraId="5CF2071F"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Upper extremity</w:t>
            </w:r>
          </w:p>
        </w:tc>
        <w:tc>
          <w:tcPr>
            <w:tcW w:w="3888" w:type="dxa"/>
          </w:tcPr>
          <w:p w14:paraId="4C081976"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bones of shoulder complex, arm/forearm, hand/wrist; vasculature; muscles; nerves; tendons; ligaments; joints.</w:t>
            </w:r>
          </w:p>
        </w:tc>
        <w:tc>
          <w:tcPr>
            <w:tcW w:w="3888" w:type="dxa"/>
          </w:tcPr>
          <w:p w14:paraId="6DC59E9A"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fractures, dislocations, lacerations, amputations, and compartment syndrome; crush, penetrating, degloving injuries.</w:t>
            </w:r>
          </w:p>
        </w:tc>
      </w:tr>
      <w:tr w:rsidR="00ED04DC" w:rsidRPr="00870B8A" w14:paraId="2E89A4EE" w14:textId="77777777" w:rsidTr="00690279">
        <w:tc>
          <w:tcPr>
            <w:tcW w:w="2160" w:type="dxa"/>
          </w:tcPr>
          <w:p w14:paraId="49C3F7D3"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Brain</w:t>
            </w:r>
          </w:p>
        </w:tc>
        <w:tc>
          <w:tcPr>
            <w:tcW w:w="3888" w:type="dxa"/>
          </w:tcPr>
          <w:p w14:paraId="7E073A4E"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injuries to all brain regions (cerebrum, cerebellum, brain stem, etc.); brain vasculature; DAI; concussion.</w:t>
            </w:r>
          </w:p>
        </w:tc>
        <w:tc>
          <w:tcPr>
            <w:tcW w:w="3888" w:type="dxa"/>
          </w:tcPr>
          <w:p w14:paraId="7654CEAC"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contusions, hematomas, and hemorrhages; damages related to blow flow to the brain; codes related to post-resuscitation or unconsciousness.</w:t>
            </w:r>
          </w:p>
        </w:tc>
      </w:tr>
      <w:tr w:rsidR="00ED04DC" w:rsidRPr="00870B8A" w14:paraId="4720E52D" w14:textId="77777777" w:rsidTr="00690279">
        <w:tc>
          <w:tcPr>
            <w:tcW w:w="2160" w:type="dxa"/>
          </w:tcPr>
          <w:p w14:paraId="71890F75"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Thorax</w:t>
            </w:r>
          </w:p>
        </w:tc>
        <w:tc>
          <w:tcPr>
            <w:tcW w:w="3888" w:type="dxa"/>
          </w:tcPr>
          <w:p w14:paraId="3222E2E8"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respiratory (trachea, bronchus, lung); esophagus; muscle (including diaphragm); vasculature; nerve; cardiac tissues.</w:t>
            </w:r>
          </w:p>
        </w:tc>
        <w:tc>
          <w:tcPr>
            <w:tcW w:w="3888" w:type="dxa"/>
          </w:tcPr>
          <w:p w14:paraId="7F67AB3B"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lacerations, tears, perforations, punctures, rupture, transection, crush injuries; pneumothorax and hemopneumothorax.</w:t>
            </w:r>
          </w:p>
        </w:tc>
      </w:tr>
      <w:tr w:rsidR="00ED04DC" w:rsidRPr="00870B8A" w14:paraId="618DDA33" w14:textId="77777777" w:rsidTr="00690279">
        <w:tc>
          <w:tcPr>
            <w:tcW w:w="2160" w:type="dxa"/>
          </w:tcPr>
          <w:p w14:paraId="5404DB2B"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Uterus/placenta</w:t>
            </w:r>
          </w:p>
        </w:tc>
        <w:tc>
          <w:tcPr>
            <w:tcW w:w="3888" w:type="dxa"/>
          </w:tcPr>
          <w:p w14:paraId="5958E912"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uterus; uterine artery; placental abruption.</w:t>
            </w:r>
          </w:p>
        </w:tc>
        <w:tc>
          <w:tcPr>
            <w:tcW w:w="3888" w:type="dxa"/>
          </w:tcPr>
          <w:p w14:paraId="42F23952"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lacerations, perforations, ruptures, and avulsions.</w:t>
            </w:r>
          </w:p>
        </w:tc>
      </w:tr>
      <w:tr w:rsidR="00ED04DC" w:rsidRPr="00870B8A" w14:paraId="5F1C9BF6" w14:textId="77777777" w:rsidTr="00690279">
        <w:tc>
          <w:tcPr>
            <w:tcW w:w="2160" w:type="dxa"/>
          </w:tcPr>
          <w:p w14:paraId="19F8C772"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Pelvis</w:t>
            </w:r>
          </w:p>
        </w:tc>
        <w:tc>
          <w:tcPr>
            <w:tcW w:w="3888" w:type="dxa"/>
          </w:tcPr>
          <w:p w14:paraId="78082FFC"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 xml:space="preserve">Includes pelvis and acetabular fracture. </w:t>
            </w:r>
          </w:p>
        </w:tc>
        <w:tc>
          <w:tcPr>
            <w:tcW w:w="3888" w:type="dxa"/>
          </w:tcPr>
          <w:p w14:paraId="6D25D300"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sacroiliac joint.</w:t>
            </w:r>
          </w:p>
        </w:tc>
      </w:tr>
      <w:tr w:rsidR="00ED04DC" w:rsidRPr="00870B8A" w14:paraId="4F8CDB01" w14:textId="77777777" w:rsidTr="00690279">
        <w:tc>
          <w:tcPr>
            <w:tcW w:w="2160" w:type="dxa"/>
          </w:tcPr>
          <w:p w14:paraId="67981B09"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Abdomen (excluding uterus/placenta)</w:t>
            </w:r>
          </w:p>
        </w:tc>
        <w:tc>
          <w:tcPr>
            <w:tcW w:w="3888" w:type="dxa"/>
          </w:tcPr>
          <w:p w14:paraId="51520CF9"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muscle; vasculature; organs (digestive, urinary, liver, kidney, pancreas, spleen).</w:t>
            </w:r>
          </w:p>
        </w:tc>
        <w:tc>
          <w:tcPr>
            <w:tcW w:w="3888" w:type="dxa"/>
          </w:tcPr>
          <w:p w14:paraId="53C88B17"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lacerations, tears, perforations, punctures, rupture, transection, injuries.</w:t>
            </w:r>
          </w:p>
        </w:tc>
      </w:tr>
      <w:tr w:rsidR="00ED04DC" w:rsidRPr="00870B8A" w14:paraId="5DD8D360" w14:textId="77777777" w:rsidTr="00690279">
        <w:tc>
          <w:tcPr>
            <w:tcW w:w="2160" w:type="dxa"/>
          </w:tcPr>
          <w:p w14:paraId="69BA938C"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Ribs</w:t>
            </w:r>
          </w:p>
        </w:tc>
        <w:tc>
          <w:tcPr>
            <w:tcW w:w="3888" w:type="dxa"/>
          </w:tcPr>
          <w:p w14:paraId="35BB4810"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rib fractures.</w:t>
            </w:r>
          </w:p>
        </w:tc>
        <w:tc>
          <w:tcPr>
            <w:tcW w:w="3888" w:type="dxa"/>
          </w:tcPr>
          <w:p w14:paraId="6CC85E5C" w14:textId="77777777" w:rsidR="00ED04DC" w:rsidRPr="00870B8A" w:rsidRDefault="00ED04DC" w:rsidP="00870B8A">
            <w:pPr>
              <w:spacing w:line="360" w:lineRule="auto"/>
              <w:contextualSpacing/>
              <w:rPr>
                <w:rFonts w:ascii="Times New Roman" w:hAnsi="Times New Roman" w:cs="Times New Roman"/>
                <w:sz w:val="20"/>
                <w:szCs w:val="20"/>
              </w:rPr>
            </w:pPr>
          </w:p>
        </w:tc>
      </w:tr>
      <w:tr w:rsidR="00ED04DC" w:rsidRPr="00870B8A" w14:paraId="0E94C69F" w14:textId="77777777" w:rsidTr="00690279">
        <w:tc>
          <w:tcPr>
            <w:tcW w:w="2160" w:type="dxa"/>
          </w:tcPr>
          <w:p w14:paraId="6231EFB3"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Ankle</w:t>
            </w:r>
          </w:p>
        </w:tc>
        <w:tc>
          <w:tcPr>
            <w:tcW w:w="3888" w:type="dxa"/>
          </w:tcPr>
          <w:p w14:paraId="30C5A076"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tibia/fibula distal and malleoli, calcaneus,  talus; collateral ligament; ankle joint dislocation.</w:t>
            </w:r>
          </w:p>
        </w:tc>
        <w:tc>
          <w:tcPr>
            <w:tcW w:w="3888" w:type="dxa"/>
          </w:tcPr>
          <w:p w14:paraId="28A9A111"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fractures, dislocations, tears.</w:t>
            </w:r>
          </w:p>
        </w:tc>
      </w:tr>
      <w:tr w:rsidR="00ED04DC" w:rsidRPr="00870B8A" w14:paraId="619F27DB" w14:textId="77777777" w:rsidTr="00690279">
        <w:tc>
          <w:tcPr>
            <w:tcW w:w="2160" w:type="dxa"/>
          </w:tcPr>
          <w:p w14:paraId="7C947323"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Leg</w:t>
            </w:r>
          </w:p>
        </w:tc>
        <w:tc>
          <w:tcPr>
            <w:tcW w:w="3888" w:type="dxa"/>
          </w:tcPr>
          <w:p w14:paraId="6611FA73"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 xml:space="preserve">Includes tibia and fibula fracture. </w:t>
            </w:r>
          </w:p>
        </w:tc>
        <w:tc>
          <w:tcPr>
            <w:tcW w:w="3888" w:type="dxa"/>
          </w:tcPr>
          <w:p w14:paraId="5AC20DFA"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leg fracture NFS; excludes tibia/fibula distal and malleoli fractures.</w:t>
            </w:r>
          </w:p>
        </w:tc>
      </w:tr>
      <w:tr w:rsidR="00ED04DC" w:rsidRPr="00870B8A" w14:paraId="20E13A61" w14:textId="77777777" w:rsidTr="00690279">
        <w:tc>
          <w:tcPr>
            <w:tcW w:w="2160" w:type="dxa"/>
          </w:tcPr>
          <w:p w14:paraId="31C8D5F3"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Cervical spine</w:t>
            </w:r>
          </w:p>
        </w:tc>
        <w:tc>
          <w:tcPr>
            <w:tcW w:w="3888" w:type="dxa"/>
          </w:tcPr>
          <w:p w14:paraId="00C49982"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 xml:space="preserve">Includes vertebra; nerves (spinal cord, nerve root, brachial plexus); disk. </w:t>
            </w:r>
          </w:p>
        </w:tc>
        <w:tc>
          <w:tcPr>
            <w:tcW w:w="3888" w:type="dxa"/>
          </w:tcPr>
          <w:p w14:paraId="1141B59E"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fractures, lacerations, contusions, herniations, and ruptures.</w:t>
            </w:r>
          </w:p>
        </w:tc>
      </w:tr>
      <w:tr w:rsidR="00ED04DC" w:rsidRPr="00870B8A" w14:paraId="6A78B74B" w14:textId="77777777" w:rsidTr="00690279">
        <w:tc>
          <w:tcPr>
            <w:tcW w:w="2160" w:type="dxa"/>
          </w:tcPr>
          <w:p w14:paraId="7B896141" w14:textId="77777777" w:rsidR="00ED04DC" w:rsidRPr="00870B8A" w:rsidRDefault="00ED04DC" w:rsidP="00870B8A">
            <w:pPr>
              <w:spacing w:line="360" w:lineRule="auto"/>
              <w:contextualSpacing/>
              <w:jc w:val="both"/>
              <w:rPr>
                <w:rFonts w:ascii="Times New Roman" w:hAnsi="Times New Roman" w:cs="Times New Roman"/>
                <w:sz w:val="20"/>
                <w:szCs w:val="20"/>
              </w:rPr>
            </w:pPr>
            <w:r w:rsidRPr="00870B8A">
              <w:rPr>
                <w:rFonts w:ascii="Times New Roman" w:hAnsi="Times New Roman" w:cs="Times New Roman"/>
                <w:sz w:val="20"/>
                <w:szCs w:val="20"/>
              </w:rPr>
              <w:t>Femur</w:t>
            </w:r>
          </w:p>
        </w:tc>
        <w:tc>
          <w:tcPr>
            <w:tcW w:w="3888" w:type="dxa"/>
          </w:tcPr>
          <w:p w14:paraId="60650424" w14:textId="77777777" w:rsidR="00ED04DC" w:rsidRPr="00870B8A" w:rsidRDefault="00ED04DC" w:rsidP="00870B8A">
            <w:pPr>
              <w:spacing w:line="360" w:lineRule="auto"/>
              <w:contextualSpacing/>
              <w:jc w:val="both"/>
              <w:rPr>
                <w:rFonts w:ascii="Times New Roman" w:hAnsi="Times New Roman" w:cs="Times New Roman"/>
                <w:sz w:val="20"/>
                <w:szCs w:val="20"/>
              </w:rPr>
            </w:pPr>
            <w:r w:rsidRPr="00870B8A">
              <w:rPr>
                <w:rFonts w:ascii="Times New Roman" w:hAnsi="Times New Roman" w:cs="Times New Roman"/>
                <w:sz w:val="20"/>
                <w:szCs w:val="20"/>
              </w:rPr>
              <w:t>Includes femur fracture.</w:t>
            </w:r>
          </w:p>
        </w:tc>
        <w:tc>
          <w:tcPr>
            <w:tcW w:w="3888" w:type="dxa"/>
          </w:tcPr>
          <w:p w14:paraId="1E5CD589" w14:textId="77777777" w:rsidR="00ED04DC" w:rsidRPr="00870B8A" w:rsidRDefault="00ED04DC" w:rsidP="00870B8A">
            <w:pPr>
              <w:spacing w:line="360" w:lineRule="auto"/>
              <w:contextualSpacing/>
              <w:jc w:val="both"/>
              <w:rPr>
                <w:rFonts w:ascii="Times New Roman" w:hAnsi="Times New Roman" w:cs="Times New Roman"/>
                <w:sz w:val="20"/>
                <w:szCs w:val="20"/>
              </w:rPr>
            </w:pPr>
          </w:p>
        </w:tc>
      </w:tr>
      <w:tr w:rsidR="00ED04DC" w:rsidRPr="00870B8A" w14:paraId="7BD8EB56" w14:textId="77777777" w:rsidTr="00690279">
        <w:tc>
          <w:tcPr>
            <w:tcW w:w="2160" w:type="dxa"/>
          </w:tcPr>
          <w:p w14:paraId="341C9FDF"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Lumbar spine</w:t>
            </w:r>
          </w:p>
        </w:tc>
        <w:tc>
          <w:tcPr>
            <w:tcW w:w="3888" w:type="dxa"/>
          </w:tcPr>
          <w:p w14:paraId="492E0FDE"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 xml:space="preserve">Includes vertebra; nerves (spinal cord, nerve root, cauda equina); disk. </w:t>
            </w:r>
          </w:p>
        </w:tc>
        <w:tc>
          <w:tcPr>
            <w:tcW w:w="3888" w:type="dxa"/>
          </w:tcPr>
          <w:p w14:paraId="07239A08"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fractures, lacerations, contusions, herniations, and ruptures.</w:t>
            </w:r>
          </w:p>
        </w:tc>
      </w:tr>
      <w:tr w:rsidR="00ED04DC" w:rsidRPr="00870B8A" w14:paraId="63E7A6F4" w14:textId="77777777" w:rsidTr="00690279">
        <w:tc>
          <w:tcPr>
            <w:tcW w:w="2160" w:type="dxa"/>
          </w:tcPr>
          <w:p w14:paraId="4BC9388E"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Skull</w:t>
            </w:r>
          </w:p>
        </w:tc>
        <w:tc>
          <w:tcPr>
            <w:tcW w:w="3888" w:type="dxa"/>
          </w:tcPr>
          <w:p w14:paraId="018B723C"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skull, basilar, vault, and skull fractures.</w:t>
            </w:r>
          </w:p>
        </w:tc>
        <w:tc>
          <w:tcPr>
            <w:tcW w:w="3888" w:type="dxa"/>
          </w:tcPr>
          <w:p w14:paraId="5DAA28AF" w14:textId="77777777" w:rsidR="00ED04DC" w:rsidRPr="00870B8A" w:rsidRDefault="00ED04DC" w:rsidP="00870B8A">
            <w:pPr>
              <w:spacing w:line="360" w:lineRule="auto"/>
              <w:contextualSpacing/>
              <w:rPr>
                <w:rFonts w:ascii="Times New Roman" w:hAnsi="Times New Roman" w:cs="Times New Roman"/>
                <w:sz w:val="20"/>
                <w:szCs w:val="20"/>
              </w:rPr>
            </w:pPr>
            <w:r w:rsidRPr="00870B8A">
              <w:rPr>
                <w:rFonts w:ascii="Times New Roman" w:hAnsi="Times New Roman" w:cs="Times New Roman"/>
                <w:sz w:val="20"/>
                <w:szCs w:val="20"/>
              </w:rPr>
              <w:t>Includes crush, penetrating, NFS skull fractures.</w:t>
            </w:r>
          </w:p>
        </w:tc>
      </w:tr>
      <w:tr w:rsidR="00ED04DC" w:rsidRPr="00870B8A" w14:paraId="678F5415" w14:textId="77777777" w:rsidTr="00690279">
        <w:tc>
          <w:tcPr>
            <w:tcW w:w="2160" w:type="dxa"/>
          </w:tcPr>
          <w:p w14:paraId="48FCBABA" w14:textId="77777777" w:rsidR="00ED04DC" w:rsidRPr="00870B8A" w:rsidRDefault="00ED04DC" w:rsidP="00870B8A">
            <w:pPr>
              <w:spacing w:line="360" w:lineRule="auto"/>
              <w:contextualSpacing/>
              <w:jc w:val="both"/>
              <w:rPr>
                <w:rFonts w:ascii="Times New Roman" w:hAnsi="Times New Roman" w:cs="Times New Roman"/>
                <w:sz w:val="20"/>
                <w:szCs w:val="20"/>
              </w:rPr>
            </w:pPr>
            <w:r w:rsidRPr="00870B8A">
              <w:rPr>
                <w:rFonts w:ascii="Times New Roman" w:hAnsi="Times New Roman" w:cs="Times New Roman"/>
                <w:sz w:val="20"/>
                <w:szCs w:val="20"/>
              </w:rPr>
              <w:t>Thoracic spine</w:t>
            </w:r>
          </w:p>
        </w:tc>
        <w:tc>
          <w:tcPr>
            <w:tcW w:w="3888" w:type="dxa"/>
          </w:tcPr>
          <w:p w14:paraId="2294547A" w14:textId="77777777" w:rsidR="00ED04DC" w:rsidRPr="00870B8A" w:rsidRDefault="00ED04DC" w:rsidP="00870B8A">
            <w:pPr>
              <w:spacing w:line="360" w:lineRule="auto"/>
              <w:contextualSpacing/>
              <w:jc w:val="both"/>
              <w:rPr>
                <w:rFonts w:ascii="Times New Roman" w:hAnsi="Times New Roman" w:cs="Times New Roman"/>
                <w:sz w:val="20"/>
                <w:szCs w:val="20"/>
              </w:rPr>
            </w:pPr>
            <w:r w:rsidRPr="00870B8A">
              <w:rPr>
                <w:rFonts w:ascii="Times New Roman" w:hAnsi="Times New Roman" w:cs="Times New Roman"/>
                <w:sz w:val="20"/>
                <w:szCs w:val="20"/>
              </w:rPr>
              <w:t xml:space="preserve">Includes vertebra; nerves (spinal cord, nerve root); disk. </w:t>
            </w:r>
          </w:p>
        </w:tc>
        <w:tc>
          <w:tcPr>
            <w:tcW w:w="3888" w:type="dxa"/>
          </w:tcPr>
          <w:p w14:paraId="2F799D2B" w14:textId="77777777" w:rsidR="00ED04DC" w:rsidRPr="00870B8A" w:rsidRDefault="00ED04DC" w:rsidP="00870B8A">
            <w:pPr>
              <w:spacing w:line="360" w:lineRule="auto"/>
              <w:contextualSpacing/>
              <w:jc w:val="both"/>
              <w:rPr>
                <w:rFonts w:ascii="Times New Roman" w:hAnsi="Times New Roman" w:cs="Times New Roman"/>
                <w:sz w:val="20"/>
                <w:szCs w:val="20"/>
              </w:rPr>
            </w:pPr>
            <w:r w:rsidRPr="00870B8A">
              <w:rPr>
                <w:rFonts w:ascii="Times New Roman" w:hAnsi="Times New Roman" w:cs="Times New Roman"/>
                <w:sz w:val="20"/>
                <w:szCs w:val="20"/>
              </w:rPr>
              <w:t>Includes fractures, lacerations, contusions, herniations, and ruptures.</w:t>
            </w:r>
          </w:p>
        </w:tc>
      </w:tr>
      <w:tr w:rsidR="00ED04DC" w:rsidRPr="00870B8A" w14:paraId="0FEF93B2" w14:textId="77777777" w:rsidTr="00690279">
        <w:tc>
          <w:tcPr>
            <w:tcW w:w="2160" w:type="dxa"/>
          </w:tcPr>
          <w:p w14:paraId="0099A531" w14:textId="77777777" w:rsidR="00ED04DC" w:rsidRPr="00870B8A" w:rsidRDefault="00ED04DC" w:rsidP="00870B8A">
            <w:pPr>
              <w:spacing w:line="360" w:lineRule="auto"/>
              <w:contextualSpacing/>
              <w:jc w:val="both"/>
              <w:rPr>
                <w:rFonts w:ascii="Times New Roman" w:hAnsi="Times New Roman" w:cs="Times New Roman"/>
                <w:sz w:val="20"/>
                <w:szCs w:val="20"/>
              </w:rPr>
            </w:pPr>
            <w:r w:rsidRPr="00870B8A">
              <w:rPr>
                <w:rFonts w:ascii="Times New Roman" w:hAnsi="Times New Roman" w:cs="Times New Roman"/>
                <w:sz w:val="20"/>
                <w:szCs w:val="20"/>
              </w:rPr>
              <w:t>Sternum</w:t>
            </w:r>
          </w:p>
        </w:tc>
        <w:tc>
          <w:tcPr>
            <w:tcW w:w="3888" w:type="dxa"/>
          </w:tcPr>
          <w:p w14:paraId="2162EA12" w14:textId="77777777" w:rsidR="00ED04DC" w:rsidRPr="00870B8A" w:rsidRDefault="00ED04DC" w:rsidP="00870B8A">
            <w:pPr>
              <w:spacing w:line="360" w:lineRule="auto"/>
              <w:contextualSpacing/>
              <w:jc w:val="both"/>
              <w:rPr>
                <w:rFonts w:ascii="Times New Roman" w:hAnsi="Times New Roman" w:cs="Times New Roman"/>
                <w:sz w:val="20"/>
                <w:szCs w:val="20"/>
              </w:rPr>
            </w:pPr>
            <w:r w:rsidRPr="00870B8A">
              <w:rPr>
                <w:rFonts w:ascii="Times New Roman" w:hAnsi="Times New Roman" w:cs="Times New Roman"/>
                <w:sz w:val="20"/>
                <w:szCs w:val="20"/>
              </w:rPr>
              <w:t>Includes sternum fractures.</w:t>
            </w:r>
          </w:p>
        </w:tc>
        <w:tc>
          <w:tcPr>
            <w:tcW w:w="3888" w:type="dxa"/>
          </w:tcPr>
          <w:p w14:paraId="6ABA80E4" w14:textId="77777777" w:rsidR="00ED04DC" w:rsidRPr="00870B8A" w:rsidRDefault="00ED04DC" w:rsidP="00870B8A">
            <w:pPr>
              <w:spacing w:line="360" w:lineRule="auto"/>
              <w:contextualSpacing/>
              <w:jc w:val="both"/>
              <w:rPr>
                <w:rFonts w:ascii="Times New Roman" w:hAnsi="Times New Roman" w:cs="Times New Roman"/>
                <w:sz w:val="20"/>
                <w:szCs w:val="20"/>
              </w:rPr>
            </w:pPr>
          </w:p>
        </w:tc>
      </w:tr>
    </w:tbl>
    <w:p w14:paraId="5B538AD9" w14:textId="086A286D" w:rsidR="00210F7F" w:rsidRPr="00870B8A" w:rsidRDefault="00ED04DC" w:rsidP="000A130B">
      <w:pPr>
        <w:spacing w:line="360" w:lineRule="auto"/>
        <w:contextualSpacing/>
        <w:jc w:val="both"/>
        <w:rPr>
          <w:rFonts w:ascii="Times New Roman" w:hAnsi="Times New Roman" w:cs="Times New Roman"/>
          <w:sz w:val="20"/>
          <w:szCs w:val="20"/>
        </w:rPr>
      </w:pPr>
      <w:r w:rsidRPr="000A130B">
        <w:rPr>
          <w:rFonts w:ascii="Times New Roman" w:hAnsi="Times New Roman" w:cs="Times New Roman"/>
          <w:b/>
          <w:bCs/>
          <w:sz w:val="20"/>
          <w:szCs w:val="20"/>
        </w:rPr>
        <w:t>Table A1.</w:t>
      </w:r>
      <w:r w:rsidRPr="00870B8A">
        <w:rPr>
          <w:rFonts w:ascii="Times New Roman" w:hAnsi="Times New Roman" w:cs="Times New Roman"/>
          <w:sz w:val="20"/>
          <w:szCs w:val="20"/>
        </w:rPr>
        <w:t xml:space="preserve"> Injury classifications taxonomy (AIS 2+ unless otherwise noted).</w:t>
      </w:r>
    </w:p>
    <w:sectPr w:rsidR="00210F7F" w:rsidRPr="00870B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638"/>
    <w:rsid w:val="000A130B"/>
    <w:rsid w:val="00210F7F"/>
    <w:rsid w:val="00261F9F"/>
    <w:rsid w:val="00263148"/>
    <w:rsid w:val="00290EDB"/>
    <w:rsid w:val="002D4A98"/>
    <w:rsid w:val="00311638"/>
    <w:rsid w:val="006807D3"/>
    <w:rsid w:val="00685247"/>
    <w:rsid w:val="00870B8A"/>
    <w:rsid w:val="00921163"/>
    <w:rsid w:val="00A96161"/>
    <w:rsid w:val="00AE4389"/>
    <w:rsid w:val="00B57048"/>
    <w:rsid w:val="00B77890"/>
    <w:rsid w:val="00C32C2A"/>
    <w:rsid w:val="00C62ABA"/>
    <w:rsid w:val="00C96D4D"/>
    <w:rsid w:val="00D17194"/>
    <w:rsid w:val="00D5488F"/>
    <w:rsid w:val="00ED0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66EB4"/>
  <w15:chartTrackingRefBased/>
  <w15:docId w15:val="{AA8F72CC-0575-4BD3-B8A8-2E6F81435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DC"/>
    <w:rPr>
      <w:kern w:val="0"/>
      <w14:ligatures w14:val="none"/>
    </w:rPr>
  </w:style>
  <w:style w:type="paragraph" w:styleId="Heading1">
    <w:name w:val="heading 1"/>
    <w:basedOn w:val="Normal"/>
    <w:next w:val="Normal"/>
    <w:link w:val="Heading1Char"/>
    <w:uiPriority w:val="9"/>
    <w:qFormat/>
    <w:rsid w:val="0031163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1163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11638"/>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11638"/>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11638"/>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11638"/>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11638"/>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11638"/>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11638"/>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6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6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6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6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6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638"/>
    <w:rPr>
      <w:rFonts w:eastAsiaTheme="majorEastAsia" w:cstheme="majorBidi"/>
      <w:color w:val="272727" w:themeColor="text1" w:themeTint="D8"/>
    </w:rPr>
  </w:style>
  <w:style w:type="paragraph" w:styleId="Title">
    <w:name w:val="Title"/>
    <w:basedOn w:val="Normal"/>
    <w:next w:val="Normal"/>
    <w:link w:val="TitleChar"/>
    <w:uiPriority w:val="10"/>
    <w:qFormat/>
    <w:rsid w:val="0031163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11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638"/>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11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638"/>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11638"/>
    <w:rPr>
      <w:i/>
      <w:iCs/>
      <w:color w:val="404040" w:themeColor="text1" w:themeTint="BF"/>
    </w:rPr>
  </w:style>
  <w:style w:type="paragraph" w:styleId="ListParagraph">
    <w:name w:val="List Paragraph"/>
    <w:basedOn w:val="Normal"/>
    <w:uiPriority w:val="34"/>
    <w:qFormat/>
    <w:rsid w:val="00311638"/>
    <w:pPr>
      <w:ind w:left="720"/>
      <w:contextualSpacing/>
    </w:pPr>
    <w:rPr>
      <w:kern w:val="2"/>
      <w14:ligatures w14:val="standardContextual"/>
    </w:rPr>
  </w:style>
  <w:style w:type="character" w:styleId="IntenseEmphasis">
    <w:name w:val="Intense Emphasis"/>
    <w:basedOn w:val="DefaultParagraphFont"/>
    <w:uiPriority w:val="21"/>
    <w:qFormat/>
    <w:rsid w:val="00311638"/>
    <w:rPr>
      <w:i/>
      <w:iCs/>
      <w:color w:val="0F4761" w:themeColor="accent1" w:themeShade="BF"/>
    </w:rPr>
  </w:style>
  <w:style w:type="paragraph" w:styleId="IntenseQuote">
    <w:name w:val="Intense Quote"/>
    <w:basedOn w:val="Normal"/>
    <w:next w:val="Normal"/>
    <w:link w:val="IntenseQuoteChar"/>
    <w:uiPriority w:val="30"/>
    <w:qFormat/>
    <w:rsid w:val="00311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11638"/>
    <w:rPr>
      <w:i/>
      <w:iCs/>
      <w:color w:val="0F4761" w:themeColor="accent1" w:themeShade="BF"/>
    </w:rPr>
  </w:style>
  <w:style w:type="character" w:styleId="IntenseReference">
    <w:name w:val="Intense Reference"/>
    <w:basedOn w:val="DefaultParagraphFont"/>
    <w:uiPriority w:val="32"/>
    <w:qFormat/>
    <w:rsid w:val="00311638"/>
    <w:rPr>
      <w:b/>
      <w:bCs/>
      <w:smallCaps/>
      <w:color w:val="0F4761" w:themeColor="accent1" w:themeShade="BF"/>
      <w:spacing w:val="5"/>
    </w:rPr>
  </w:style>
  <w:style w:type="table" w:styleId="TableGrid">
    <w:name w:val="Table Grid"/>
    <w:basedOn w:val="TableNormal"/>
    <w:rsid w:val="00ED04D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4A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732</Words>
  <Characters>4177</Characters>
  <Application>Microsoft Office Word</Application>
  <DocSecurity>0</DocSecurity>
  <Lines>34</Lines>
  <Paragraphs>9</Paragraphs>
  <ScaleCrop>false</ScaleCrop>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Chernyavskiy, Pavel (dww4kc)</dc:creator>
  <cp:keywords/>
  <dc:description/>
  <cp:lastModifiedBy>Chernyavskiy, Pavel (dww4kc)</cp:lastModifiedBy>
  <cp:revision>16</cp:revision>
  <dcterms:created xsi:type="dcterms:W3CDTF">2024-10-13T19:43:00Z</dcterms:created>
  <dcterms:modified xsi:type="dcterms:W3CDTF">2025-06-03T01:49:00Z</dcterms:modified>
</cp:coreProperties>
</file>