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76"/>
      </w:tblGrid>
      <w:tr w:rsidR="009975CF" w:rsidTr="009975CF">
        <w:tc>
          <w:tcPr>
            <w:tcW w:w="0" w:type="auto"/>
          </w:tcPr>
          <w:p w:rsidR="009975CF" w:rsidRDefault="009975CF">
            <w:r>
              <w:rPr>
                <w:noProof/>
                <w:lang w:val="fr-FR" w:eastAsia="fr-FR"/>
              </w:rPr>
              <w:drawing>
                <wp:inline distT="0" distB="0" distL="0" distR="0" wp14:anchorId="5D22D8F1" wp14:editId="1CE97097">
                  <wp:extent cx="5732891" cy="2592125"/>
                  <wp:effectExtent l="0" t="0" r="20320" b="17780"/>
                  <wp:docPr id="1" name="Graphique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9975CF" w:rsidTr="009975CF">
        <w:tc>
          <w:tcPr>
            <w:tcW w:w="0" w:type="auto"/>
          </w:tcPr>
          <w:p w:rsidR="009975CF" w:rsidRDefault="009975CF">
            <w:r>
              <w:rPr>
                <w:noProof/>
                <w:lang w:val="fr-FR" w:eastAsia="fr-FR"/>
              </w:rPr>
              <w:drawing>
                <wp:inline distT="0" distB="0" distL="0" distR="0" wp14:anchorId="56AE8A09" wp14:editId="00F2691E">
                  <wp:extent cx="5732891" cy="2918129"/>
                  <wp:effectExtent l="0" t="0" r="20320" b="15875"/>
                  <wp:docPr id="17" name="Graphique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9975CF" w:rsidTr="009975CF">
        <w:tc>
          <w:tcPr>
            <w:tcW w:w="0" w:type="auto"/>
          </w:tcPr>
          <w:p w:rsidR="009975CF" w:rsidRDefault="009975CF"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09CBD9A4" wp14:editId="6C690EF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1905</wp:posOffset>
                  </wp:positionV>
                  <wp:extent cx="5732780" cy="2759075"/>
                  <wp:effectExtent l="0" t="0" r="20320" b="22225"/>
                  <wp:wrapSquare wrapText="bothSides"/>
                  <wp:docPr id="25" name="Graphique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94FBA" w:rsidRDefault="009975CF">
      <w:r>
        <w:t>Additional file</w:t>
      </w:r>
      <w:r w:rsidR="007263DC">
        <w:t>5</w:t>
      </w:r>
      <w:bookmarkStart w:id="0" w:name="_GoBack"/>
      <w:bookmarkEnd w:id="0"/>
    </w:p>
    <w:sectPr w:rsidR="0099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CF"/>
    <w:rsid w:val="004A67F9"/>
    <w:rsid w:val="007263DC"/>
    <w:rsid w:val="007F7721"/>
    <w:rsid w:val="00994FBA"/>
    <w:rsid w:val="009975CF"/>
    <w:rsid w:val="00F9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97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5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97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5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hmed\Desktop\paper\classeur%20resultats_pyb2_ahme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hmed\Desktop\profil%20normaliser\normaliser%20profil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hmed\Desktop\profil%20modifier\classeur%20resultats_pyb2_ahm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Real profiles, normalized frequency</a:t>
            </a:r>
            <a:endParaRPr lang="fr-FR" sz="120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RP_NF!$C$82</c:f>
              <c:strCache>
                <c:ptCount val="1"/>
                <c:pt idx="0">
                  <c:v>Vbedrock</c:v>
                </c:pt>
              </c:strCache>
            </c:strRef>
          </c:tx>
          <c:cat>
            <c:numLit>
              <c:formatCode>General</c:formatCode>
              <c:ptCount val="6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  <c:pt idx="5">
                <c:v>5</c:v>
              </c:pt>
            </c:numLit>
          </c:cat>
          <c:val>
            <c:numRef>
              <c:f>RP_NF!$C$84:$C$89</c:f>
              <c:numCache>
                <c:formatCode>General</c:formatCode>
                <c:ptCount val="6"/>
                <c:pt idx="0">
                  <c:v>0</c:v>
                </c:pt>
                <c:pt idx="1">
                  <c:v>8.8679245283018702</c:v>
                </c:pt>
                <c:pt idx="2">
                  <c:v>37.995283018867894</c:v>
                </c:pt>
                <c:pt idx="3">
                  <c:v>59.667735849056605</c:v>
                </c:pt>
                <c:pt idx="4">
                  <c:v>90.943396226415103</c:v>
                </c:pt>
                <c:pt idx="5">
                  <c:v>98.301886792452791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RP_NF!$D$82</c:f>
              <c:strCache>
                <c:ptCount val="1"/>
                <c:pt idx="0">
                  <c:v>Vs30</c:v>
                </c:pt>
              </c:strCache>
            </c:strRef>
          </c:tx>
          <c:cat>
            <c:numLit>
              <c:formatCode>General</c:formatCode>
              <c:ptCount val="6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  <c:pt idx="5">
                <c:v>5</c:v>
              </c:pt>
            </c:numLit>
          </c:cat>
          <c:val>
            <c:numRef>
              <c:f>RP_NF!$D$84:$D$89</c:f>
              <c:numCache>
                <c:formatCode>General</c:formatCode>
                <c:ptCount val="6"/>
                <c:pt idx="0">
                  <c:v>0</c:v>
                </c:pt>
                <c:pt idx="1">
                  <c:v>2.64150943396226</c:v>
                </c:pt>
                <c:pt idx="2">
                  <c:v>36.839622641509401</c:v>
                </c:pt>
                <c:pt idx="3">
                  <c:v>71.116352201257911</c:v>
                </c:pt>
                <c:pt idx="4">
                  <c:v>90.778301886792505</c:v>
                </c:pt>
                <c:pt idx="5">
                  <c:v>98.301886792452791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RP_NF!$E$82</c:f>
              <c:strCache>
                <c:ptCount val="1"/>
                <c:pt idx="0">
                  <c:v>Depth</c:v>
                </c:pt>
              </c:strCache>
            </c:strRef>
          </c:tx>
          <c:cat>
            <c:numLit>
              <c:formatCode>General</c:formatCode>
              <c:ptCount val="6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  <c:pt idx="5">
                <c:v>5</c:v>
              </c:pt>
            </c:numLit>
          </c:cat>
          <c:val>
            <c:numRef>
              <c:f>RP_NF!$E$84:$E$89</c:f>
              <c:numCache>
                <c:formatCode>General</c:formatCode>
                <c:ptCount val="6"/>
                <c:pt idx="0">
                  <c:v>0</c:v>
                </c:pt>
                <c:pt idx="1">
                  <c:v>2.1698113207547101</c:v>
                </c:pt>
                <c:pt idx="2">
                  <c:v>32.971698113207495</c:v>
                </c:pt>
                <c:pt idx="3">
                  <c:v>74.308176100628899</c:v>
                </c:pt>
                <c:pt idx="4">
                  <c:v>91.415094339622598</c:v>
                </c:pt>
                <c:pt idx="5">
                  <c:v>98.301886792452791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RP_NF!$F$82</c:f>
              <c:strCache>
                <c:ptCount val="1"/>
                <c:pt idx="0">
                  <c:v>Cv</c:v>
                </c:pt>
              </c:strCache>
            </c:strRef>
          </c:tx>
          <c:cat>
            <c:numLit>
              <c:formatCode>General</c:formatCode>
              <c:ptCount val="6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  <c:pt idx="5">
                <c:v>5</c:v>
              </c:pt>
            </c:numLit>
          </c:cat>
          <c:val>
            <c:numRef>
              <c:f>RP_NF!$F$84:$F$89</c:f>
              <c:numCache>
                <c:formatCode>General</c:formatCode>
                <c:ptCount val="6"/>
                <c:pt idx="0">
                  <c:v>0</c:v>
                </c:pt>
                <c:pt idx="1">
                  <c:v>38.490566037735903</c:v>
                </c:pt>
                <c:pt idx="2">
                  <c:v>66.509433962264097</c:v>
                </c:pt>
                <c:pt idx="3">
                  <c:v>73.692893081761</c:v>
                </c:pt>
                <c:pt idx="4">
                  <c:v>95.825471698113191</c:v>
                </c:pt>
                <c:pt idx="5">
                  <c:v>98.301886792452791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RP_NF!$G$82</c:f>
              <c:strCache>
                <c:ptCount val="1"/>
                <c:pt idx="0">
                  <c:v>Vsm</c:v>
                </c:pt>
              </c:strCache>
            </c:strRef>
          </c:tx>
          <c:cat>
            <c:numLit>
              <c:formatCode>General</c:formatCode>
              <c:ptCount val="6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  <c:pt idx="5">
                <c:v>5</c:v>
              </c:pt>
            </c:numLit>
          </c:cat>
          <c:val>
            <c:numRef>
              <c:f>RP_NF!$G$84:$G$89</c:f>
              <c:numCache>
                <c:formatCode>General</c:formatCode>
                <c:ptCount val="6"/>
                <c:pt idx="0">
                  <c:v>0</c:v>
                </c:pt>
                <c:pt idx="1">
                  <c:v>1.1320754716980999</c:v>
                </c:pt>
                <c:pt idx="2">
                  <c:v>32.853773584905696</c:v>
                </c:pt>
                <c:pt idx="3">
                  <c:v>56.255786163522004</c:v>
                </c:pt>
                <c:pt idx="4">
                  <c:v>90.471698113207495</c:v>
                </c:pt>
                <c:pt idx="5">
                  <c:v>98.301886792452791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5415168"/>
        <c:axId val="500929600"/>
      </c:lineChart>
      <c:catAx>
        <c:axId val="505415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700"/>
                </a:pPr>
                <a:r>
                  <a:rPr lang="fr-FR" sz="1200" b="1" i="0" baseline="0">
                    <a:effectLst/>
                  </a:rPr>
                  <a:t>Number of explanatory site proxies</a:t>
                </a:r>
                <a:endParaRPr lang="fr-FR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0.24885932736668787"/>
              <c:y val="0.8868709453771109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fr-FR"/>
          </a:p>
        </c:txPr>
        <c:crossAx val="500929600"/>
        <c:crossesAt val="0"/>
        <c:auto val="1"/>
        <c:lblAlgn val="ctr"/>
        <c:lblOffset val="100"/>
        <c:tickLblSkip val="1"/>
        <c:noMultiLvlLbl val="0"/>
      </c:catAx>
      <c:valAx>
        <c:axId val="500929600"/>
        <c:scaling>
          <c:orientation val="minMax"/>
          <c:max val="1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1" i="0" baseline="0">
                    <a:effectLst/>
                  </a:rPr>
                  <a:t>Reduction of standard deviation (%) </a:t>
                </a:r>
                <a:endParaRPr lang="fr-FR" sz="700">
                  <a:effectLst/>
                </a:endParaRPr>
              </a:p>
            </c:rich>
          </c:tx>
          <c:layout>
            <c:manualLayout>
              <c:xMode val="edge"/>
              <c:yMode val="edge"/>
              <c:x val="2.4844720496894408E-2"/>
              <c:y val="0.155644530282771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fr-FR"/>
          </a:p>
        </c:txPr>
        <c:crossAx val="505415168"/>
        <c:crossesAt val="1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 Normalized profiles,normalized frequency</a:t>
            </a:r>
            <a:endParaRPr lang="fr-FR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>
              <a:effectLst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NP_NF!$C$81</c:f>
              <c:strCache>
                <c:ptCount val="1"/>
                <c:pt idx="0">
                  <c:v>Depth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NP_NF!$C$73:$C$77</c:f>
              <c:numCache>
                <c:formatCode>General</c:formatCode>
                <c:ptCount val="5"/>
                <c:pt idx="0">
                  <c:v>0</c:v>
                </c:pt>
                <c:pt idx="1">
                  <c:v>2.6243093922652116</c:v>
                </c:pt>
                <c:pt idx="2">
                  <c:v>51.289134438305709</c:v>
                </c:pt>
                <c:pt idx="3">
                  <c:v>75.828729281767963</c:v>
                </c:pt>
                <c:pt idx="4">
                  <c:v>92.679558011049721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NP_NF!$D$81</c:f>
              <c:strCache>
                <c:ptCount val="1"/>
                <c:pt idx="0">
                  <c:v>Vs30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NP_NF!$D$73:$D$77</c:f>
              <c:numCache>
                <c:formatCode>General</c:formatCode>
                <c:ptCount val="5"/>
                <c:pt idx="0">
                  <c:v>0</c:v>
                </c:pt>
                <c:pt idx="1">
                  <c:v>17.265193370165754</c:v>
                </c:pt>
                <c:pt idx="2">
                  <c:v>39.180478821362804</c:v>
                </c:pt>
                <c:pt idx="3">
                  <c:v>69.475138121546962</c:v>
                </c:pt>
                <c:pt idx="4">
                  <c:v>92.679558011049721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NP_NF!$E$81</c:f>
              <c:strCache>
                <c:ptCount val="1"/>
                <c:pt idx="0">
                  <c:v>Vsm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NP_NF!$E$73:$E$77</c:f>
              <c:numCache>
                <c:formatCode>General</c:formatCode>
                <c:ptCount val="5"/>
                <c:pt idx="0">
                  <c:v>0</c:v>
                </c:pt>
                <c:pt idx="1">
                  <c:v>13.397790055248615</c:v>
                </c:pt>
                <c:pt idx="2">
                  <c:v>37.615101289134437</c:v>
                </c:pt>
                <c:pt idx="3">
                  <c:v>68.876611418047901</c:v>
                </c:pt>
                <c:pt idx="4">
                  <c:v>92.679558011049721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NP_NF!$F$81</c:f>
              <c:strCache>
                <c:ptCount val="1"/>
                <c:pt idx="0">
                  <c:v>Cv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NP_NF!$F$73:$F$77</c:f>
              <c:numCache>
                <c:formatCode>General</c:formatCode>
                <c:ptCount val="5"/>
                <c:pt idx="0">
                  <c:v>0</c:v>
                </c:pt>
                <c:pt idx="1">
                  <c:v>22.099447513812166</c:v>
                </c:pt>
                <c:pt idx="2">
                  <c:v>57.274401473296507</c:v>
                </c:pt>
                <c:pt idx="3">
                  <c:v>82.228360957642721</c:v>
                </c:pt>
                <c:pt idx="4">
                  <c:v>92.679558011049721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5374208"/>
        <c:axId val="497034944"/>
      </c:lineChart>
      <c:catAx>
        <c:axId val="505374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fr-FR" sz="1200" b="1" i="0" baseline="0">
                    <a:effectLst/>
                  </a:rPr>
                  <a:t>Number of explanatory site proxies</a:t>
                </a:r>
                <a:endParaRPr lang="fr-FR" sz="12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fr-FR"/>
          </a:p>
        </c:txPr>
        <c:crossAx val="497034944"/>
        <c:crosses val="autoZero"/>
        <c:auto val="1"/>
        <c:lblAlgn val="ctr"/>
        <c:lblOffset val="100"/>
        <c:noMultiLvlLbl val="0"/>
      </c:catAx>
      <c:valAx>
        <c:axId val="4970349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1" i="0" baseline="0">
                    <a:effectLst/>
                  </a:rPr>
                  <a:t>Reduction of standard deviation (%) </a:t>
                </a:r>
                <a:endParaRPr lang="fr-FR" sz="12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 sz="1200"/>
              </a:p>
            </c:rich>
          </c:tx>
          <c:layout>
            <c:manualLayout>
              <c:xMode val="edge"/>
              <c:yMode val="edge"/>
              <c:x val="2.8799291094373063E-2"/>
              <c:y val="0.20611680296719667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600"/>
            </a:pPr>
            <a:endParaRPr lang="fr-FR"/>
          </a:p>
        </c:txPr>
        <c:crossAx val="505374208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sz="1200"/>
          </a:pPr>
          <a:endParaRPr lang="fr-FR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Truncated </a:t>
            </a:r>
            <a:r>
              <a:rPr lang="fr-FR" sz="1200" b="1" i="0" u="none" strike="noStrike" baseline="0">
                <a:effectLst/>
              </a:rPr>
              <a:t>profiles,</a:t>
            </a:r>
            <a:r>
              <a:rPr lang="fr-FR" sz="1200" b="1" i="0" baseline="0">
                <a:effectLst/>
              </a:rPr>
              <a:t>normalized frequency</a:t>
            </a:r>
            <a:endParaRPr lang="fr-FR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>
              <a:effectLst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NP_NF!$C$81</c:f>
              <c:strCache>
                <c:ptCount val="1"/>
                <c:pt idx="0">
                  <c:v>Depth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NP_NF!$C$73:$C$77</c:f>
              <c:numCache>
                <c:formatCode>General</c:formatCode>
                <c:ptCount val="5"/>
                <c:pt idx="0">
                  <c:v>0</c:v>
                </c:pt>
                <c:pt idx="1">
                  <c:v>2.8011204481792729</c:v>
                </c:pt>
                <c:pt idx="2">
                  <c:v>48.692810457516345</c:v>
                </c:pt>
                <c:pt idx="3">
                  <c:v>71.475256769374411</c:v>
                </c:pt>
                <c:pt idx="4">
                  <c:v>85.994397759103649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NP_NF!$D$81</c:f>
              <c:strCache>
                <c:ptCount val="1"/>
                <c:pt idx="0">
                  <c:v>Vs30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NP_NF!$D$73:$D$77</c:f>
              <c:numCache>
                <c:formatCode>General</c:formatCode>
                <c:ptCount val="5"/>
                <c:pt idx="0">
                  <c:v>0</c:v>
                </c:pt>
                <c:pt idx="1">
                  <c:v>8.403361344537819</c:v>
                </c:pt>
                <c:pt idx="2">
                  <c:v>33.380018674136331</c:v>
                </c:pt>
                <c:pt idx="3">
                  <c:v>61.99813258636788</c:v>
                </c:pt>
                <c:pt idx="4">
                  <c:v>85.994397759103649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NP_NF!$E$81</c:f>
              <c:strCache>
                <c:ptCount val="1"/>
                <c:pt idx="0">
                  <c:v>Vsm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NP_NF!$E$73:$E$77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33.239962651727353</c:v>
                </c:pt>
                <c:pt idx="3">
                  <c:v>61.951447245564893</c:v>
                </c:pt>
                <c:pt idx="4">
                  <c:v>85.994397759103649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NP_NF!$F$81</c:f>
              <c:strCache>
                <c:ptCount val="1"/>
                <c:pt idx="0">
                  <c:v>Cv</c:v>
                </c:pt>
              </c:strCache>
            </c:strRef>
          </c:tx>
          <c:cat>
            <c:numLit>
              <c:formatCode>General</c:formatCode>
              <c:ptCount val="5"/>
              <c:pt idx="0">
                <c:v>0</c:v>
              </c:pt>
              <c:pt idx="1">
                <c:v>1</c:v>
              </c:pt>
              <c:pt idx="2">
                <c:v>2</c:v>
              </c:pt>
              <c:pt idx="3">
                <c:v>3</c:v>
              </c:pt>
              <c:pt idx="4">
                <c:v>4</c:v>
              </c:pt>
            </c:numLit>
          </c:cat>
          <c:val>
            <c:numRef>
              <c:f>NP_NF!$F$73:$F$77</c:f>
              <c:numCache>
                <c:formatCode>General</c:formatCode>
                <c:ptCount val="5"/>
                <c:pt idx="0">
                  <c:v>0</c:v>
                </c:pt>
                <c:pt idx="1">
                  <c:v>20.588235294117652</c:v>
                </c:pt>
                <c:pt idx="2">
                  <c:v>43.510737628384696</c:v>
                </c:pt>
                <c:pt idx="3">
                  <c:v>70.681605975723627</c:v>
                </c:pt>
                <c:pt idx="4">
                  <c:v>85.994397759103649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3787520"/>
        <c:axId val="500925568"/>
      </c:lineChart>
      <c:catAx>
        <c:axId val="503787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fr-FR" sz="1200" b="1" i="0" baseline="0">
                    <a:effectLst/>
                  </a:rPr>
                  <a:t>Number of explanatory site proxies</a:t>
                </a:r>
                <a:endParaRPr lang="fr-FR" sz="12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fr-FR"/>
          </a:p>
        </c:txPr>
        <c:crossAx val="500925568"/>
        <c:crosses val="autoZero"/>
        <c:auto val="1"/>
        <c:lblAlgn val="ctr"/>
        <c:lblOffset val="100"/>
        <c:noMultiLvlLbl val="0"/>
      </c:catAx>
      <c:valAx>
        <c:axId val="50092556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1" i="0" baseline="0">
                    <a:effectLst/>
                  </a:rPr>
                  <a:t>Reduction of standard deviation (%) </a:t>
                </a:r>
                <a:endParaRPr lang="fr-FR" sz="12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 sz="1200"/>
              </a:p>
            </c:rich>
          </c:tx>
          <c:layout>
            <c:manualLayout>
              <c:xMode val="edge"/>
              <c:yMode val="edge"/>
              <c:x val="2.9534826482894412E-2"/>
              <c:y val="0.1600043689368589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600"/>
            </a:pPr>
            <a:endParaRPr lang="fr-FR"/>
          </a:p>
        </c:txPr>
        <c:crossAx val="503787520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sz="1200"/>
          </a:pPr>
          <a:endParaRPr lang="fr-FR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2</cp:revision>
  <dcterms:created xsi:type="dcterms:W3CDTF">2017-04-11T12:48:00Z</dcterms:created>
  <dcterms:modified xsi:type="dcterms:W3CDTF">2017-04-11T12:48:00Z</dcterms:modified>
</cp:coreProperties>
</file>