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60C" w:rsidRDefault="00074F27" w:rsidP="0005730B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Supplementary Materials</w:t>
      </w:r>
      <w:r w:rsidR="0031460C">
        <w:rPr>
          <w:rFonts w:ascii="Times New Roman" w:hAnsi="Times New Roman" w:hint="eastAsia"/>
          <w:sz w:val="28"/>
          <w:szCs w:val="28"/>
        </w:rPr>
        <w:t xml:space="preserve"> for</w:t>
      </w:r>
    </w:p>
    <w:p w:rsidR="0031460C" w:rsidRDefault="0031460C" w:rsidP="0005730B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4F0F81" w:rsidRPr="00DC6A7C" w:rsidRDefault="004F0F81" w:rsidP="0005730B">
      <w:pPr>
        <w:spacing w:line="480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DC6A7C">
        <w:rPr>
          <w:rFonts w:ascii="Times New Roman" w:hAnsi="Times New Roman"/>
          <w:b/>
          <w:sz w:val="26"/>
          <w:szCs w:val="26"/>
        </w:rPr>
        <w:t>Lateral variation of the uppermost oceanic p</w:t>
      </w:r>
      <w:r w:rsidR="0031460C" w:rsidRPr="00DC6A7C">
        <w:rPr>
          <w:rFonts w:ascii="Times New Roman" w:hAnsi="Times New Roman"/>
          <w:b/>
          <w:sz w:val="26"/>
          <w:szCs w:val="26"/>
        </w:rPr>
        <w:t>late in the outer rise region of the</w:t>
      </w:r>
      <w:r w:rsidRPr="00DC6A7C">
        <w:rPr>
          <w:rFonts w:ascii="Times New Roman" w:hAnsi="Times New Roman"/>
          <w:b/>
          <w:sz w:val="26"/>
          <w:szCs w:val="26"/>
        </w:rPr>
        <w:t xml:space="preserve"> Northwest Pacific Ocean inferred from </w:t>
      </w:r>
      <w:r w:rsidRPr="00DC6A7C">
        <w:rPr>
          <w:rFonts w:ascii="Times New Roman" w:hAnsi="Times New Roman"/>
          <w:b/>
          <w:i/>
          <w:sz w:val="26"/>
          <w:szCs w:val="26"/>
        </w:rPr>
        <w:t>Po</w:t>
      </w:r>
      <w:r w:rsidRPr="00DC6A7C">
        <w:rPr>
          <w:rFonts w:ascii="Times New Roman" w:hAnsi="Times New Roman"/>
          <w:b/>
          <w:sz w:val="26"/>
          <w:szCs w:val="26"/>
        </w:rPr>
        <w:t>-to-</w:t>
      </w:r>
      <w:r w:rsidRPr="00DC6A7C">
        <w:rPr>
          <w:rFonts w:ascii="Times New Roman" w:hAnsi="Times New Roman"/>
          <w:b/>
          <w:i/>
          <w:sz w:val="26"/>
          <w:szCs w:val="26"/>
        </w:rPr>
        <w:t>s</w:t>
      </w:r>
      <w:r w:rsidRPr="00DC6A7C">
        <w:rPr>
          <w:rFonts w:ascii="Times New Roman" w:hAnsi="Times New Roman"/>
          <w:b/>
          <w:sz w:val="26"/>
          <w:szCs w:val="26"/>
        </w:rPr>
        <w:t xml:space="preserve"> converted waves</w:t>
      </w:r>
    </w:p>
    <w:p w:rsidR="004F0F81" w:rsidRDefault="004F0F81" w:rsidP="004F0F81">
      <w:pPr>
        <w:spacing w:line="480" w:lineRule="auto"/>
        <w:jc w:val="left"/>
        <w:rPr>
          <w:rFonts w:ascii="Times New Roman" w:hAnsi="Times New Roman"/>
        </w:rPr>
      </w:pPr>
    </w:p>
    <w:p w:rsidR="004F0F81" w:rsidRDefault="004F0F81" w:rsidP="00C00D54">
      <w:pPr>
        <w:spacing w:line="480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Takashi Tonegawa</w:t>
      </w:r>
      <w:r w:rsidRPr="004F0F81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 w:hint="eastAsia"/>
        </w:rPr>
        <w:t>, Koichiro Obana</w:t>
      </w:r>
      <w:r w:rsidRPr="004F0F81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 w:hint="eastAsia"/>
        </w:rPr>
        <w:t>, Gou Fujie</w:t>
      </w:r>
      <w:r w:rsidRPr="004F0F81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 w:hint="eastAsia"/>
        </w:rPr>
        <w:t>, Shuichi Kodaira</w:t>
      </w:r>
      <w:r w:rsidRPr="004F0F81">
        <w:rPr>
          <w:rFonts w:ascii="Times New Roman" w:hAnsi="Times New Roman"/>
          <w:vertAlign w:val="superscript"/>
        </w:rPr>
        <w:t>1</w:t>
      </w:r>
    </w:p>
    <w:p w:rsidR="000E6477" w:rsidRDefault="004F0F81" w:rsidP="00C00D54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[1] Japan Agency for Marine-Earth Environmental Science and Technology</w:t>
      </w:r>
    </w:p>
    <w:p w:rsidR="004F0F81" w:rsidRDefault="004F0F81" w:rsidP="004F0F81">
      <w:pPr>
        <w:rPr>
          <w:rFonts w:ascii="Times New Roman" w:hAnsi="Times New Roman"/>
        </w:rPr>
      </w:pPr>
    </w:p>
    <w:p w:rsidR="00C00D54" w:rsidRDefault="00C00D54" w:rsidP="004F0F81">
      <w:pPr>
        <w:rPr>
          <w:rFonts w:ascii="Times New Roman" w:hAnsi="Times New Roman" w:hint="eastAsia"/>
        </w:rPr>
      </w:pPr>
    </w:p>
    <w:p w:rsidR="004F0F81" w:rsidRDefault="00457A50" w:rsidP="004F0F81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Corresponding author: Takashi </w:t>
      </w:r>
      <w:proofErr w:type="spellStart"/>
      <w:r>
        <w:rPr>
          <w:rFonts w:ascii="Times New Roman" w:hAnsi="Times New Roman" w:hint="eastAsia"/>
        </w:rPr>
        <w:t>Tonegawa</w:t>
      </w:r>
      <w:proofErr w:type="spellEnd"/>
      <w:r>
        <w:rPr>
          <w:rFonts w:ascii="Times New Roman" w:hAnsi="Times New Roman" w:hint="eastAsia"/>
        </w:rPr>
        <w:t>, tonegawa@jamstec.go.jp</w:t>
      </w:r>
    </w:p>
    <w:p w:rsidR="00457A50" w:rsidRDefault="00457A50" w:rsidP="004F0F81">
      <w:pPr>
        <w:rPr>
          <w:rFonts w:ascii="Times New Roman" w:hAnsi="Times New Roman"/>
        </w:rPr>
      </w:pPr>
    </w:p>
    <w:p w:rsidR="004F0F81" w:rsidRDefault="00C00D54" w:rsidP="004F0F81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Supplementary </w:t>
      </w:r>
      <w:r>
        <w:rPr>
          <w:rFonts w:ascii="Times New Roman" w:hAnsi="Times New Roman"/>
        </w:rPr>
        <w:t>Figures</w:t>
      </w:r>
    </w:p>
    <w:p w:rsidR="00457A50" w:rsidRDefault="00457A50" w:rsidP="004F0F81">
      <w:pPr>
        <w:rPr>
          <w:rFonts w:ascii="Times New Roman" w:hAnsi="Times New Roman"/>
        </w:rPr>
      </w:pPr>
      <w:r>
        <w:rPr>
          <w:rFonts w:ascii="Times New Roman" w:hAnsi="Times New Roman"/>
        </w:rPr>
        <w:t>Figure S1</w:t>
      </w:r>
      <w:r w:rsidR="0031460C">
        <w:rPr>
          <w:rFonts w:ascii="Times New Roman" w:hAnsi="Times New Roman"/>
        </w:rPr>
        <w:t xml:space="preserve"> </w:t>
      </w:r>
    </w:p>
    <w:p w:rsidR="002A6369" w:rsidRPr="00457A50" w:rsidRDefault="0031460C" w:rsidP="004F0F8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Figure S2 </w:t>
      </w:r>
    </w:p>
    <w:p w:rsidR="00457A50" w:rsidRPr="00E74BB2" w:rsidRDefault="002A6369" w:rsidP="004F0F81">
      <w:pPr>
        <w:rPr>
          <w:rFonts w:ascii="Times New Roman" w:hAnsi="Times New Roman"/>
        </w:rPr>
      </w:pPr>
      <w:r>
        <w:rPr>
          <w:rFonts w:ascii="Times New Roman" w:hAnsi="Times New Roman"/>
        </w:rPr>
        <w:t>Figure S3</w:t>
      </w:r>
      <w:r w:rsidR="0031460C">
        <w:rPr>
          <w:rFonts w:ascii="Times New Roman" w:hAnsi="Times New Roman"/>
        </w:rPr>
        <w:t xml:space="preserve"> </w:t>
      </w:r>
    </w:p>
    <w:p w:rsidR="00AA4692" w:rsidRPr="00E74BB2" w:rsidRDefault="00AA4692" w:rsidP="00AA469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Figure S3 </w:t>
      </w:r>
    </w:p>
    <w:p w:rsidR="004F0F81" w:rsidRDefault="004F0F81" w:rsidP="004F0F81"/>
    <w:p w:rsidR="00AA4692" w:rsidRDefault="00AA4692">
      <w:pPr>
        <w:widowControl/>
        <w:jc w:val="left"/>
      </w:pPr>
      <w:r>
        <w:br w:type="page"/>
      </w:r>
    </w:p>
    <w:p w:rsidR="00AA4692" w:rsidRDefault="00AA4692" w:rsidP="00AA4692">
      <w:pPr>
        <w:spacing w:line="480" w:lineRule="auto"/>
        <w:jc w:val="left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w:lastRenderedPageBreak/>
        <w:drawing>
          <wp:inline distT="0" distB="0" distL="0" distR="0" wp14:anchorId="4CF82F14" wp14:editId="6832E270">
            <wp:extent cx="3327400" cy="4775200"/>
            <wp:effectExtent l="0" t="0" r="0" b="0"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igS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692" w:rsidRDefault="00AA4692" w:rsidP="00AA4692">
      <w:pPr>
        <w:spacing w:line="240" w:lineRule="atLeast"/>
        <w:jc w:val="left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Figure S1. Event distribution for </w:t>
      </w:r>
      <w:r w:rsidRPr="000C1430">
        <w:rPr>
          <w:rFonts w:ascii="Times New Roman" w:hAnsi="Times New Roman" w:cs="Times New Roman"/>
          <w:i/>
          <w:color w:val="000000"/>
          <w:kern w:val="0"/>
        </w:rPr>
        <w:t>Po</w:t>
      </w:r>
      <w:r>
        <w:rPr>
          <w:rFonts w:ascii="Times New Roman" w:hAnsi="Times New Roman" w:cs="Times New Roman"/>
          <w:color w:val="000000"/>
          <w:kern w:val="0"/>
        </w:rPr>
        <w:t xml:space="preserve"> wave collection. Color indicates earthquake depth. Black and gray star represent events used in Fig. 3 (127 km depth with a magnitude of 4.9, 15:01, July 10, 2009) and</w:t>
      </w:r>
      <w:r>
        <w:rPr>
          <w:rFonts w:ascii="Times New Roman" w:hAnsi="Times New Roman" w:cs="Times New Roman" w:hint="eastAsia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Fig. S2 (22 km depth with a magnitude of 4.6, 22:13, May 28, 2015), respectively.</w:t>
      </w:r>
    </w:p>
    <w:p w:rsidR="00AA4692" w:rsidRPr="00D656C1" w:rsidRDefault="00AA4692" w:rsidP="00AA4692">
      <w:pPr>
        <w:spacing w:line="480" w:lineRule="auto"/>
        <w:jc w:val="left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 w:hint="eastAsia"/>
          <w:noProof/>
          <w:color w:val="000000"/>
          <w:kern w:val="0"/>
        </w:rPr>
        <w:lastRenderedPageBreak/>
        <w:drawing>
          <wp:inline distT="0" distB="0" distL="0" distR="0" wp14:anchorId="0325CA2B" wp14:editId="5BC9812D">
            <wp:extent cx="4301067" cy="6490066"/>
            <wp:effectExtent l="0" t="0" r="4445" b="0"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igS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2595" cy="652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692" w:rsidRDefault="00AA4692" w:rsidP="00AA4692">
      <w:pPr>
        <w:spacing w:line="240" w:lineRule="atLeast"/>
        <w:jc w:val="left"/>
        <w:rPr>
          <w:rFonts w:ascii="Times New Roman" w:hAnsi="Times New Roman" w:cs="Times New Roman"/>
          <w:color w:val="000000"/>
          <w:kern w:val="0"/>
        </w:rPr>
      </w:pPr>
      <w:r w:rsidRPr="00DA49E3">
        <w:rPr>
          <w:rFonts w:ascii="Times New Roman" w:hAnsi="Times New Roman" w:cs="Times New Roman"/>
          <w:color w:val="000000" w:themeColor="text1"/>
          <w:kern w:val="0"/>
        </w:rPr>
        <w:t xml:space="preserve">Figure S2. Examples of the anisotropy estimation at an OBS S65 (Fig. 7). (a) RCF (top) and TCF (bottom) for an event (see Fig. S1). (b) Contour plot of </w:t>
      </w:r>
      <w:r w:rsidRPr="00DA49E3">
        <w:rPr>
          <w:rFonts w:ascii="Times New Roman" w:hAnsi="Times New Roman" w:cs="Times New Roman"/>
          <w:i/>
          <w:color w:val="000000" w:themeColor="text1"/>
          <w:kern w:val="0"/>
        </w:rPr>
        <w:t>Pos</w:t>
      </w:r>
      <w:r w:rsidRPr="00DA49E3">
        <w:rPr>
          <w:rFonts w:ascii="Times New Roman" w:hAnsi="Times New Roman" w:cs="Times New Roman"/>
          <w:i/>
          <w:color w:val="000000" w:themeColor="text1"/>
          <w:kern w:val="0"/>
          <w:vertAlign w:val="subscript"/>
        </w:rPr>
        <w:t>1</w:t>
      </w:r>
      <w:r w:rsidRPr="00DA49E3">
        <w:rPr>
          <w:rFonts w:ascii="Times New Roman" w:hAnsi="Times New Roman" w:cs="Times New Roman"/>
          <w:color w:val="000000" w:themeColor="text1"/>
          <w:kern w:val="0"/>
        </w:rPr>
        <w:t xml:space="preserve"> cross correlation coefficient as a function of delay time and fast polarization direction. (c) (top left) </w:t>
      </w:r>
      <w:r w:rsidRPr="00DA49E3">
        <w:rPr>
          <w:rFonts w:ascii="Times New Roman" w:hAnsi="Times New Roman" w:cs="Times New Roman"/>
          <w:i/>
          <w:color w:val="000000" w:themeColor="text1"/>
          <w:kern w:val="0"/>
        </w:rPr>
        <w:t>Pos</w:t>
      </w:r>
      <w:r w:rsidRPr="00DA49E3">
        <w:rPr>
          <w:rFonts w:ascii="Times New Roman" w:hAnsi="Times New Roman" w:cs="Times New Roman"/>
          <w:i/>
          <w:color w:val="000000" w:themeColor="text1"/>
          <w:kern w:val="0"/>
          <w:vertAlign w:val="subscript"/>
        </w:rPr>
        <w:t>1</w:t>
      </w:r>
      <w:r w:rsidRPr="00DA49E3">
        <w:rPr>
          <w:rFonts w:ascii="Times New Roman" w:hAnsi="Times New Roman" w:cs="Times New Roman"/>
          <w:color w:val="000000" w:themeColor="text1"/>
          <w:kern w:val="0"/>
        </w:rPr>
        <w:t xml:space="preserve"> waveforms in the RCF (black) and TCF (red) and (top right) particle motion. Same as top panels, but for rotated and time-shifted waveforms with the splitting parameters estimated in Fig. S2b. (d) Same as Fig. S2b, but for </w:t>
      </w:r>
      <w:r w:rsidRPr="00DA49E3">
        <w:rPr>
          <w:rFonts w:ascii="Times New Roman" w:hAnsi="Times New Roman" w:cs="Times New Roman"/>
          <w:i/>
          <w:color w:val="000000" w:themeColor="text1"/>
          <w:kern w:val="0"/>
        </w:rPr>
        <w:t>Pos</w:t>
      </w:r>
      <w:r w:rsidRPr="00DA49E3">
        <w:rPr>
          <w:rFonts w:ascii="Times New Roman" w:hAnsi="Times New Roman" w:cs="Times New Roman"/>
          <w:i/>
          <w:color w:val="000000" w:themeColor="text1"/>
          <w:kern w:val="0"/>
          <w:vertAlign w:val="subscript"/>
        </w:rPr>
        <w:t>2</w:t>
      </w:r>
      <w:r w:rsidRPr="00DA49E3">
        <w:rPr>
          <w:rFonts w:ascii="Times New Roman" w:hAnsi="Times New Roman" w:cs="Times New Roman"/>
          <w:color w:val="000000" w:themeColor="text1"/>
          <w:kern w:val="0"/>
        </w:rPr>
        <w:t xml:space="preserve">. (e) Same as Fig. S2c, but for </w:t>
      </w:r>
      <w:r w:rsidRPr="00DA49E3">
        <w:rPr>
          <w:rFonts w:ascii="Times New Roman" w:hAnsi="Times New Roman" w:cs="Times New Roman"/>
          <w:i/>
          <w:color w:val="000000" w:themeColor="text1"/>
          <w:kern w:val="0"/>
        </w:rPr>
        <w:t>Pos</w:t>
      </w:r>
      <w:r w:rsidRPr="00DA49E3">
        <w:rPr>
          <w:rFonts w:ascii="Times New Roman" w:hAnsi="Times New Roman" w:cs="Times New Roman"/>
          <w:i/>
          <w:color w:val="000000" w:themeColor="text1"/>
          <w:kern w:val="0"/>
          <w:vertAlign w:val="subscript"/>
        </w:rPr>
        <w:t>2</w:t>
      </w:r>
      <w:r w:rsidRPr="00DA49E3">
        <w:rPr>
          <w:rFonts w:ascii="Times New Roman" w:hAnsi="Times New Roman" w:cs="Times New Roman"/>
          <w:color w:val="000000" w:themeColor="text1"/>
          <w:kern w:val="0"/>
        </w:rPr>
        <w:t xml:space="preserve"> with anisotropic effects at the sediment layer removed.</w:t>
      </w:r>
      <w:r w:rsidRPr="003B430E">
        <w:rPr>
          <w:rFonts w:ascii="Times New Roman" w:hAnsi="Times New Roman" w:cs="Times New Roman"/>
          <w:color w:val="00B050"/>
          <w:kern w:val="0"/>
        </w:rPr>
        <w:t xml:space="preserve"> </w:t>
      </w:r>
    </w:p>
    <w:p w:rsidR="00AA4692" w:rsidRPr="001C6087" w:rsidRDefault="00AA4692" w:rsidP="00AA4692">
      <w:pPr>
        <w:spacing w:line="480" w:lineRule="auto"/>
        <w:jc w:val="left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w:lastRenderedPageBreak/>
        <w:drawing>
          <wp:inline distT="0" distB="0" distL="0" distR="0" wp14:anchorId="5C6D85F9" wp14:editId="70B97E24">
            <wp:extent cx="4811149" cy="6714066"/>
            <wp:effectExtent l="0" t="0" r="2540" b="4445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FigS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4462" cy="671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692" w:rsidRDefault="00AA4692" w:rsidP="00AA4692">
      <w:pPr>
        <w:spacing w:line="240" w:lineRule="atLeast"/>
        <w:jc w:val="left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Figure S3. Geographical maps for obtained results. (a) Averaged amplitudes of </w:t>
      </w:r>
      <w:r w:rsidRPr="000C1430">
        <w:rPr>
          <w:rFonts w:ascii="Times New Roman" w:hAnsi="Times New Roman" w:cs="Times New Roman"/>
          <w:i/>
          <w:color w:val="000000"/>
          <w:kern w:val="0"/>
        </w:rPr>
        <w:t>Pos</w:t>
      </w:r>
      <w:r w:rsidRPr="00B45BE6">
        <w:rPr>
          <w:rFonts w:ascii="Times New Roman" w:hAnsi="Times New Roman" w:cs="Times New Roman"/>
          <w:i/>
          <w:color w:val="000000"/>
          <w:kern w:val="0"/>
        </w:rPr>
        <w:t>1</w:t>
      </w:r>
      <w:r>
        <w:rPr>
          <w:rFonts w:ascii="Times New Roman" w:hAnsi="Times New Roman" w:cs="Times New Roman"/>
          <w:color w:val="000000"/>
          <w:kern w:val="0"/>
        </w:rPr>
        <w:t xml:space="preserve"> waves at each OBS, which are represented by both color and size of circles for display purpose. Yellow stars indicate the locations where </w:t>
      </w:r>
      <w:proofErr w:type="spellStart"/>
      <w:r w:rsidRPr="000C1430">
        <w:rPr>
          <w:rFonts w:ascii="Times New Roman" w:hAnsi="Times New Roman" w:cs="Times New Roman"/>
          <w:i/>
          <w:color w:val="000000"/>
          <w:kern w:val="0"/>
        </w:rPr>
        <w:t>Pos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waves tend to be weak towards the trench. Orange dash line roughly represents the ridge line of the outer rise region. (b) Same as Fig. S3a, but for </w:t>
      </w:r>
      <w:r w:rsidRPr="000C1430">
        <w:rPr>
          <w:rFonts w:ascii="Times New Roman" w:hAnsi="Times New Roman" w:cs="Times New Roman"/>
          <w:i/>
          <w:color w:val="000000"/>
          <w:kern w:val="0"/>
        </w:rPr>
        <w:t>Pos</w:t>
      </w:r>
      <w:r w:rsidRPr="00B45BE6">
        <w:rPr>
          <w:rFonts w:ascii="Times New Roman" w:hAnsi="Times New Roman" w:cs="Times New Roman"/>
          <w:i/>
          <w:color w:val="000000"/>
          <w:kern w:val="0"/>
        </w:rPr>
        <w:t>2</w:t>
      </w:r>
      <w:r>
        <w:rPr>
          <w:rFonts w:ascii="Times New Roman" w:hAnsi="Times New Roman" w:cs="Times New Roman"/>
          <w:color w:val="000000"/>
          <w:kern w:val="0"/>
        </w:rPr>
        <w:t xml:space="preserve"> waves. (c) Averaged amplitude of the noise at each OBS. (d) Number of the observed </w:t>
      </w:r>
      <w:proofErr w:type="spellStart"/>
      <w:r w:rsidRPr="000C1430">
        <w:rPr>
          <w:rFonts w:ascii="Times New Roman" w:hAnsi="Times New Roman" w:cs="Times New Roman"/>
          <w:i/>
          <w:color w:val="000000"/>
          <w:kern w:val="0"/>
        </w:rPr>
        <w:t>Pos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waves at each OBS.</w:t>
      </w:r>
    </w:p>
    <w:p w:rsidR="00AA4692" w:rsidRPr="004E1FBC" w:rsidRDefault="00AA4692" w:rsidP="00AA4692">
      <w:pPr>
        <w:spacing w:line="480" w:lineRule="auto"/>
        <w:jc w:val="left"/>
        <w:rPr>
          <w:rFonts w:ascii="Times New Roman" w:hAnsi="Times New Roman" w:cs="Times New Roman"/>
          <w:color w:val="000000"/>
          <w:kern w:val="0"/>
        </w:rPr>
      </w:pPr>
    </w:p>
    <w:p w:rsidR="00AA4692" w:rsidRDefault="00AA4692" w:rsidP="00AA4692">
      <w:pPr>
        <w:spacing w:line="480" w:lineRule="auto"/>
        <w:jc w:val="left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w:drawing>
          <wp:inline distT="0" distB="0" distL="0" distR="0" wp14:anchorId="17291F5F" wp14:editId="1FA52F65">
            <wp:extent cx="4123666" cy="6121400"/>
            <wp:effectExtent l="0" t="0" r="4445" b="0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igS4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27274" cy="612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692" w:rsidRPr="00DA49E3" w:rsidRDefault="00AA4692" w:rsidP="00AA4692">
      <w:pPr>
        <w:spacing w:line="240" w:lineRule="atLeast"/>
        <w:jc w:val="left"/>
        <w:rPr>
          <w:rFonts w:ascii="Times New Roman" w:hAnsi="Times New Roman" w:cs="Times New Roman"/>
          <w:color w:val="000000" w:themeColor="text1"/>
          <w:kern w:val="0"/>
        </w:rPr>
      </w:pPr>
      <w:r w:rsidRPr="00DA49E3">
        <w:rPr>
          <w:rFonts w:ascii="Times New Roman" w:hAnsi="Times New Roman" w:cs="Times New Roman" w:hint="eastAsia"/>
          <w:color w:val="000000" w:themeColor="text1"/>
          <w:kern w:val="0"/>
        </w:rPr>
        <w:t xml:space="preserve">Figure S4. </w:t>
      </w:r>
      <w:r w:rsidRPr="00DA49E3">
        <w:rPr>
          <w:rFonts w:ascii="Times New Roman" w:hAnsi="Times New Roman" w:cs="Times New Roman"/>
          <w:color w:val="000000" w:themeColor="text1"/>
          <w:kern w:val="0"/>
        </w:rPr>
        <w:t>Histograms of delay time for regions K–M (row) and sediment and crustal layers (column). Numbers at the t</w:t>
      </w:r>
      <w:bookmarkStart w:id="0" w:name="_GoBack"/>
      <w:bookmarkEnd w:id="0"/>
      <w:r w:rsidRPr="00DA49E3">
        <w:rPr>
          <w:rFonts w:ascii="Times New Roman" w:hAnsi="Times New Roman" w:cs="Times New Roman"/>
          <w:color w:val="000000" w:themeColor="text1"/>
          <w:kern w:val="0"/>
        </w:rPr>
        <w:t xml:space="preserve">op right indicate time ranges searching for time delays in the contour map of cross correlation coefficient, determined by delay time distribution. </w:t>
      </w:r>
    </w:p>
    <w:p w:rsidR="00AA4692" w:rsidRDefault="00AA4692" w:rsidP="004F0F81">
      <w:pPr>
        <w:rPr>
          <w:rFonts w:hint="eastAsia"/>
        </w:rPr>
      </w:pPr>
    </w:p>
    <w:sectPr w:rsidR="00AA4692" w:rsidSect="00842B89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 (本文のフォント - コンプレ">
    <w:altName w:val="ＭＳ 明朝"/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81"/>
    <w:rsid w:val="0005730B"/>
    <w:rsid w:val="00074F27"/>
    <w:rsid w:val="002A6369"/>
    <w:rsid w:val="0031460C"/>
    <w:rsid w:val="00333D60"/>
    <w:rsid w:val="00457A50"/>
    <w:rsid w:val="004F0F81"/>
    <w:rsid w:val="00771ED0"/>
    <w:rsid w:val="00842B89"/>
    <w:rsid w:val="00AA4692"/>
    <w:rsid w:val="00C00D54"/>
    <w:rsid w:val="00C55FAD"/>
    <w:rsid w:val="00CE63AB"/>
    <w:rsid w:val="00DA49E3"/>
    <w:rsid w:val="00DC6A7C"/>
    <w:rsid w:val="00E7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5E1DD5"/>
  <w15:chartTrackingRefBased/>
  <w15:docId w15:val="{49AAB2FD-E182-4E49-9B25-56D2B522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 (本文のフォント - コンプレ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0F81"/>
    <w:pPr>
      <w:widowControl w:val="0"/>
      <w:jc w:val="both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利根川貴志</dc:creator>
  <cp:keywords/>
  <dc:description/>
  <cp:lastModifiedBy>Microsoft Office ユーザー</cp:lastModifiedBy>
  <cp:revision>11</cp:revision>
  <dcterms:created xsi:type="dcterms:W3CDTF">2018-04-24T07:13:00Z</dcterms:created>
  <dcterms:modified xsi:type="dcterms:W3CDTF">2018-05-15T01:30:00Z</dcterms:modified>
</cp:coreProperties>
</file>