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C4343" w14:textId="77777777" w:rsidR="00E92FAF" w:rsidRDefault="00E5700F" w:rsidP="00E5700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Additional Materials for</w:t>
      </w:r>
    </w:p>
    <w:p w14:paraId="037D2F7E" w14:textId="77777777" w:rsidR="00E5700F" w:rsidRDefault="00E5700F" w:rsidP="00E5700F">
      <w:pPr>
        <w:jc w:val="center"/>
        <w:rPr>
          <w:rFonts w:ascii="Times New Roman" w:hAnsi="Times New Roman"/>
        </w:rPr>
      </w:pPr>
    </w:p>
    <w:p w14:paraId="7493B98E" w14:textId="62C8DB61" w:rsidR="00E5700F" w:rsidRPr="00127B23" w:rsidRDefault="00E5700F" w:rsidP="00E5700F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b/>
          <w:kern w:val="0"/>
        </w:rPr>
      </w:pPr>
      <w:r w:rsidRPr="00F80044">
        <w:rPr>
          <w:rFonts w:ascii="Times New Roman" w:hAnsi="Times New Roman"/>
          <w:b/>
          <w:kern w:val="0"/>
        </w:rPr>
        <w:t>Unmixing biogenic and terrigenous magnetic mineral components in red clay of the Pacific Ocean using principal component analyses of first-order reversal curve diagrams</w:t>
      </w:r>
      <w:r w:rsidR="00127B23" w:rsidRPr="00127B23">
        <w:rPr>
          <w:rFonts w:ascii="Times New Roman" w:hAnsi="Times New Roman"/>
          <w:b/>
          <w:color w:val="FF0000"/>
          <w:kern w:val="0"/>
        </w:rPr>
        <w:t xml:space="preserve"> </w:t>
      </w:r>
      <w:r w:rsidR="00127B23" w:rsidRPr="00127B23">
        <w:rPr>
          <w:rFonts w:ascii="Times New Roman" w:hAnsi="Times New Roman"/>
          <w:b/>
          <w:kern w:val="0"/>
        </w:rPr>
        <w:t>and paleoenvironmental implications</w:t>
      </w:r>
    </w:p>
    <w:p w14:paraId="6242730C" w14:textId="77777777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</w:p>
    <w:p w14:paraId="2A4473F2" w14:textId="44C1B270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Toshitsugu Yamazaki</w:t>
      </w:r>
      <w:r>
        <w:rPr>
          <w:rFonts w:ascii="Times New Roman" w:hAnsi="Times New Roman"/>
          <w:kern w:val="0"/>
          <w:vertAlign w:val="superscript"/>
        </w:rPr>
        <w:t>1</w:t>
      </w:r>
      <w:r>
        <w:rPr>
          <w:rFonts w:ascii="Times New Roman" w:hAnsi="Times New Roman"/>
          <w:kern w:val="0"/>
        </w:rPr>
        <w:t>, Wei Fu</w:t>
      </w:r>
      <w:r w:rsidRPr="00FC3AD3">
        <w:rPr>
          <w:rFonts w:ascii="Times New Roman" w:hAnsi="Times New Roman"/>
          <w:kern w:val="0"/>
          <w:vertAlign w:val="superscript"/>
        </w:rPr>
        <w:t>1</w:t>
      </w:r>
      <w:r>
        <w:rPr>
          <w:rFonts w:ascii="Times New Roman" w:hAnsi="Times New Roman"/>
          <w:kern w:val="0"/>
        </w:rPr>
        <w:t>, Takaya Shimono</w:t>
      </w:r>
      <w:r w:rsidRPr="00FC3AD3">
        <w:rPr>
          <w:rFonts w:ascii="Times New Roman" w:hAnsi="Times New Roman"/>
          <w:kern w:val="0"/>
          <w:vertAlign w:val="superscript"/>
        </w:rPr>
        <w:t>2</w:t>
      </w:r>
      <w:r>
        <w:rPr>
          <w:rFonts w:ascii="Times New Roman" w:hAnsi="Times New Roman"/>
          <w:kern w:val="0"/>
        </w:rPr>
        <w:t>, and Yoichi Usui</w:t>
      </w:r>
      <w:r w:rsidRPr="00FC3AD3">
        <w:rPr>
          <w:rFonts w:ascii="Times New Roman" w:hAnsi="Times New Roman"/>
          <w:kern w:val="0"/>
          <w:vertAlign w:val="superscript"/>
        </w:rPr>
        <w:t>3</w:t>
      </w:r>
    </w:p>
    <w:p w14:paraId="1F20C390" w14:textId="77777777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[1] Atmosphere and Ocean Research Institute, The University of Tokyo, Kashiwa, Japan</w:t>
      </w:r>
    </w:p>
    <w:p w14:paraId="46FB2B14" w14:textId="77777777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[2] Geological Survey of Japan, National Institute of Advanced Industrial Science and Technology, Tsukuba, Japan</w:t>
      </w:r>
    </w:p>
    <w:p w14:paraId="2CB067D9" w14:textId="3B1C4846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[3] </w:t>
      </w:r>
      <w:r w:rsidR="00A44939">
        <w:rPr>
          <w:rFonts w:ascii="Times New Roman" w:hAnsi="Times New Roman"/>
          <w:kern w:val="0"/>
        </w:rPr>
        <w:t>V</w:t>
      </w:r>
      <w:r w:rsidR="00A44939" w:rsidRPr="002C5932">
        <w:rPr>
          <w:rFonts w:ascii="Times New Roman" w:hAnsi="Times New Roman"/>
          <w:kern w:val="0"/>
        </w:rPr>
        <w:t xml:space="preserve">olcanoes and Earth's Interior Research Center, Research Institute of Marine Geodynamics, </w:t>
      </w:r>
      <w:r>
        <w:rPr>
          <w:rFonts w:ascii="Times New Roman" w:hAnsi="Times New Roman"/>
          <w:kern w:val="0"/>
        </w:rPr>
        <w:t>Japan Agency for Marine-Earth Science and Technology, Yokosuka, Japan</w:t>
      </w:r>
    </w:p>
    <w:p w14:paraId="068CB18C" w14:textId="77777777" w:rsidR="00E5700F" w:rsidRDefault="00E5700F" w:rsidP="00E5700F">
      <w:pPr>
        <w:widowControl/>
        <w:autoSpaceDE w:val="0"/>
        <w:autoSpaceDN w:val="0"/>
        <w:adjustRightInd w:val="0"/>
        <w:rPr>
          <w:rFonts w:ascii="Times New Roman" w:hAnsi="Times New Roman"/>
          <w:kern w:val="0"/>
        </w:rPr>
      </w:pPr>
    </w:p>
    <w:p w14:paraId="5E8406CC" w14:textId="77777777" w:rsidR="00E5700F" w:rsidRDefault="00E5700F" w:rsidP="00E5700F">
      <w:pPr>
        <w:rPr>
          <w:rFonts w:ascii="Times New Roman" w:hAnsi="Times New Roman"/>
        </w:rPr>
      </w:pPr>
      <w:r>
        <w:rPr>
          <w:rFonts w:ascii="Times New Roman" w:hAnsi="Times New Roman"/>
          <w:kern w:val="0"/>
        </w:rPr>
        <w:t>Corresponding author: Toshitsugu Yamazaki (yamazaki@aori.u-tokyo.ac.jp)</w:t>
      </w:r>
    </w:p>
    <w:p w14:paraId="0A05B021" w14:textId="77777777" w:rsidR="00E5700F" w:rsidRDefault="00E5700F" w:rsidP="00E5700F">
      <w:pPr>
        <w:rPr>
          <w:rFonts w:ascii="Times New Roman" w:hAnsi="Times New Roman"/>
        </w:rPr>
      </w:pPr>
    </w:p>
    <w:p w14:paraId="1742AAAC" w14:textId="77777777" w:rsidR="00E5700F" w:rsidRDefault="00E5700F" w:rsidP="00E5700F">
      <w:pPr>
        <w:rPr>
          <w:rFonts w:ascii="Times New Roman" w:hAnsi="Times New Roman"/>
        </w:rPr>
      </w:pPr>
    </w:p>
    <w:p w14:paraId="739A434D" w14:textId="77777777" w:rsidR="00E5700F" w:rsidRDefault="00E5700F" w:rsidP="00E5700F">
      <w:pPr>
        <w:rPr>
          <w:rFonts w:ascii="Times New Roman" w:hAnsi="Times New Roman"/>
        </w:rPr>
      </w:pPr>
      <w:r>
        <w:rPr>
          <w:rFonts w:ascii="Times New Roman" w:hAnsi="Times New Roman"/>
        </w:rPr>
        <w:t>Additional Figures</w:t>
      </w:r>
    </w:p>
    <w:p w14:paraId="0014D15F" w14:textId="77777777" w:rsidR="00E5700F" w:rsidRDefault="00E5700F">
      <w:pPr>
        <w:rPr>
          <w:rFonts w:ascii="Times New Roman" w:hAnsi="Times New Roman"/>
        </w:rPr>
      </w:pPr>
      <w:r>
        <w:rPr>
          <w:rFonts w:ascii="Times New Roman" w:hAnsi="Times New Roman"/>
        </w:rPr>
        <w:t>Figure S1</w:t>
      </w:r>
    </w:p>
    <w:p w14:paraId="39B0C84F" w14:textId="77777777" w:rsidR="00E5700F" w:rsidRDefault="00E5700F">
      <w:pPr>
        <w:rPr>
          <w:rFonts w:ascii="Times New Roman" w:hAnsi="Times New Roman"/>
        </w:rPr>
      </w:pPr>
      <w:r>
        <w:rPr>
          <w:rFonts w:ascii="Times New Roman" w:hAnsi="Times New Roman"/>
        </w:rPr>
        <w:t>Figure S2</w:t>
      </w:r>
    </w:p>
    <w:p w14:paraId="4E014B47" w14:textId="77777777" w:rsidR="00E5700F" w:rsidRDefault="00E5700F">
      <w:pPr>
        <w:rPr>
          <w:rFonts w:ascii="Times New Roman" w:hAnsi="Times New Roman"/>
        </w:rPr>
      </w:pPr>
      <w:r>
        <w:rPr>
          <w:rFonts w:ascii="Times New Roman" w:hAnsi="Times New Roman"/>
        </w:rPr>
        <w:t>Figure S3</w:t>
      </w:r>
    </w:p>
    <w:p w14:paraId="22B1BC56" w14:textId="77777777" w:rsidR="00E5700F" w:rsidRDefault="00E5700F">
      <w:pPr>
        <w:rPr>
          <w:rFonts w:ascii="Times New Roman" w:hAnsi="Times New Roman"/>
        </w:rPr>
      </w:pPr>
      <w:r>
        <w:rPr>
          <w:rFonts w:ascii="Times New Roman" w:hAnsi="Times New Roman"/>
        </w:rPr>
        <w:t>Figure S4</w:t>
      </w:r>
    </w:p>
    <w:p w14:paraId="53BCE533" w14:textId="10B1BD4E" w:rsidR="00DE11B2" w:rsidRDefault="00DE11B2">
      <w:pPr>
        <w:rPr>
          <w:rFonts w:ascii="Times New Roman" w:hAnsi="Times New Roman"/>
        </w:rPr>
      </w:pPr>
      <w:r>
        <w:rPr>
          <w:rFonts w:ascii="Times New Roman" w:hAnsi="Times New Roman"/>
        </w:rPr>
        <w:t>Figure S5</w:t>
      </w:r>
    </w:p>
    <w:p w14:paraId="2688E59F" w14:textId="6CDDD3F5" w:rsidR="00B75C08" w:rsidRDefault="00B75C08">
      <w:pPr>
        <w:rPr>
          <w:rFonts w:ascii="Times New Roman" w:hAnsi="Times New Roman"/>
        </w:rPr>
      </w:pPr>
      <w:r>
        <w:rPr>
          <w:rFonts w:ascii="Times New Roman" w:hAnsi="Times New Roman"/>
        </w:rPr>
        <w:t>Figure S6</w:t>
      </w:r>
    </w:p>
    <w:p w14:paraId="1792E50B" w14:textId="77777777" w:rsidR="002C3EDA" w:rsidRDefault="002C3EDA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9699A81" w14:textId="77777777" w:rsidR="002C3EDA" w:rsidRDefault="002C3EDA">
      <w:pPr>
        <w:rPr>
          <w:rFonts w:ascii="Times New Roman" w:hAnsi="Times New Roman"/>
        </w:rPr>
      </w:pPr>
      <w:r>
        <w:rPr>
          <w:rFonts w:ascii="Times New Roman" w:hAnsi="Times New Roman" w:hint="eastAsia"/>
          <w:noProof/>
        </w:rPr>
        <w:lastRenderedPageBreak/>
        <w:drawing>
          <wp:inline distT="0" distB="0" distL="0" distR="0" wp14:anchorId="7DD41594" wp14:editId="4C4CC0E2">
            <wp:extent cx="5396230" cy="741743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_core_phot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39F4" w14:textId="5051CCF4" w:rsidR="002C3EDA" w:rsidRDefault="002C3EDA" w:rsidP="002C3EDA">
      <w:pPr>
        <w:widowControl/>
        <w:autoSpaceDE w:val="0"/>
        <w:autoSpaceDN w:val="0"/>
        <w:adjustRightInd w:val="0"/>
        <w:ind w:left="2" w:firstLine="1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Fig. S1. Photos of three piston cores </w:t>
      </w:r>
      <w:r w:rsidR="00B75C08">
        <w:rPr>
          <w:rFonts w:ascii="Times New Roman" w:hAnsi="Times New Roman"/>
          <w:kern w:val="0"/>
        </w:rPr>
        <w:t>from</w:t>
      </w:r>
      <w:r>
        <w:rPr>
          <w:rFonts w:ascii="Times New Roman" w:hAnsi="Times New Roman"/>
          <w:kern w:val="0"/>
        </w:rPr>
        <w:t xml:space="preserve"> the western North Pacific</w:t>
      </w:r>
      <w:r w:rsidR="00B75C08">
        <w:rPr>
          <w:rFonts w:ascii="Times New Roman" w:hAnsi="Times New Roman"/>
          <w:kern w:val="0"/>
        </w:rPr>
        <w:t xml:space="preserve"> Ocean</w:t>
      </w:r>
      <w:r>
        <w:rPr>
          <w:rFonts w:ascii="Times New Roman" w:hAnsi="Times New Roman"/>
          <w:kern w:val="0"/>
        </w:rPr>
        <w:t xml:space="preserve">. Length of each section is </w:t>
      </w:r>
      <w:r w:rsidR="00A44939">
        <w:rPr>
          <w:rFonts w:ascii="Times New Roman" w:hAnsi="Times New Roman"/>
          <w:kern w:val="0"/>
        </w:rPr>
        <w:t xml:space="preserve">approximately </w:t>
      </w:r>
      <w:r>
        <w:rPr>
          <w:rFonts w:ascii="Times New Roman" w:hAnsi="Times New Roman"/>
          <w:kern w:val="0"/>
        </w:rPr>
        <w:t>1 m.</w:t>
      </w:r>
      <w:r w:rsidR="00A44939">
        <w:rPr>
          <w:rFonts w:ascii="Times New Roman" w:hAnsi="Times New Roman"/>
          <w:kern w:val="0"/>
        </w:rPr>
        <w:t xml:space="preserve"> </w:t>
      </w:r>
      <w:r w:rsidR="00B75C08">
        <w:rPr>
          <w:rFonts w:ascii="Times New Roman" w:hAnsi="Times New Roman"/>
          <w:kern w:val="0"/>
        </w:rPr>
        <w:t>S</w:t>
      </w:r>
      <w:r w:rsidR="00A44939">
        <w:rPr>
          <w:rFonts w:ascii="Times New Roman" w:hAnsi="Times New Roman"/>
          <w:kern w:val="0"/>
        </w:rPr>
        <w:t>ections</w:t>
      </w:r>
      <w:r>
        <w:rPr>
          <w:rFonts w:ascii="Times New Roman" w:hAnsi="Times New Roman"/>
          <w:kern w:val="0"/>
        </w:rPr>
        <w:t xml:space="preserve"> </w:t>
      </w:r>
      <w:r w:rsidR="00A44939">
        <w:rPr>
          <w:rFonts w:ascii="Times New Roman" w:hAnsi="Times New Roman"/>
          <w:kern w:val="0"/>
        </w:rPr>
        <w:t xml:space="preserve">from the top to the bottom </w:t>
      </w:r>
      <w:r w:rsidR="00B75C08">
        <w:rPr>
          <w:rFonts w:ascii="Times New Roman" w:hAnsi="Times New Roman"/>
          <w:kern w:val="0"/>
        </w:rPr>
        <w:t xml:space="preserve">of the core </w:t>
      </w:r>
      <w:r w:rsidR="00A44939">
        <w:rPr>
          <w:rFonts w:ascii="Times New Roman" w:hAnsi="Times New Roman"/>
          <w:kern w:val="0"/>
        </w:rPr>
        <w:t>are</w:t>
      </w:r>
      <w:r>
        <w:rPr>
          <w:rFonts w:ascii="Times New Roman" w:hAnsi="Times New Roman"/>
          <w:kern w:val="0"/>
        </w:rPr>
        <w:t xml:space="preserve"> aligned from </w:t>
      </w:r>
      <w:r w:rsidR="00A44939">
        <w:rPr>
          <w:rFonts w:ascii="Times New Roman" w:hAnsi="Times New Roman"/>
          <w:kern w:val="0"/>
        </w:rPr>
        <w:t xml:space="preserve">the </w:t>
      </w:r>
      <w:r>
        <w:rPr>
          <w:rFonts w:ascii="Times New Roman" w:hAnsi="Times New Roman"/>
          <w:kern w:val="0"/>
        </w:rPr>
        <w:t xml:space="preserve">right to </w:t>
      </w:r>
      <w:r w:rsidR="00A44939">
        <w:rPr>
          <w:rFonts w:ascii="Times New Roman" w:hAnsi="Times New Roman"/>
          <w:kern w:val="0"/>
        </w:rPr>
        <w:t xml:space="preserve">the </w:t>
      </w:r>
      <w:r>
        <w:rPr>
          <w:rFonts w:ascii="Times New Roman" w:hAnsi="Times New Roman"/>
          <w:kern w:val="0"/>
        </w:rPr>
        <w:t>left.</w:t>
      </w:r>
    </w:p>
    <w:p w14:paraId="71111F7A" w14:textId="5B89B225" w:rsidR="002C3EDA" w:rsidRDefault="002C3EDA">
      <w:pPr>
        <w:widowControl/>
        <w:jc w:val="left"/>
        <w:rPr>
          <w:rFonts w:ascii="Times New Roman" w:hAnsi="Times New Roman"/>
        </w:rPr>
      </w:pPr>
    </w:p>
    <w:p w14:paraId="38F1835B" w14:textId="52935E26" w:rsidR="002C3EDA" w:rsidRDefault="00DE11B2" w:rsidP="00DE11B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A8FC738" wp14:editId="69402E0D">
            <wp:extent cx="3998595" cy="4152387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_PC1.ai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2" t="8382" r="22194" b="45817"/>
                    <a:stretch/>
                  </pic:blipFill>
                  <pic:spPr bwMode="auto">
                    <a:xfrm>
                      <a:off x="0" y="0"/>
                      <a:ext cx="3998595" cy="4152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9139A" w14:textId="77777777" w:rsidR="002C3EDA" w:rsidRDefault="002C3EDA">
      <w:pPr>
        <w:rPr>
          <w:rFonts w:ascii="Times New Roman" w:hAnsi="Times New Roman"/>
        </w:rPr>
      </w:pPr>
    </w:p>
    <w:p w14:paraId="2281B0BF" w14:textId="20E46721" w:rsidR="002C3EDA" w:rsidRDefault="002C3EDA" w:rsidP="002C3EDA">
      <w:pPr>
        <w:widowControl/>
        <w:autoSpaceDE w:val="0"/>
        <w:autoSpaceDN w:val="0"/>
        <w:adjustRightInd w:val="0"/>
        <w:ind w:left="2" w:firstLine="1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Fig. S2. Inclination of remanent magnetization </w:t>
      </w:r>
      <w:r w:rsidR="00DE11B2">
        <w:rPr>
          <w:rFonts w:ascii="Times New Roman" w:hAnsi="Times New Roman"/>
          <w:kern w:val="0"/>
        </w:rPr>
        <w:t xml:space="preserve">and </w:t>
      </w:r>
      <w:r w:rsidR="00DE11B2" w:rsidRPr="00DE11B2">
        <w:rPr>
          <w:rFonts w:ascii="Times New Roman" w:hAnsi="Times New Roman"/>
          <w:i/>
          <w:kern w:val="0"/>
        </w:rPr>
        <w:t>k</w:t>
      </w:r>
      <w:r w:rsidR="00DE11B2" w:rsidRPr="00DE11B2">
        <w:rPr>
          <w:rFonts w:ascii="Times New Roman" w:hAnsi="Times New Roman"/>
          <w:kern w:val="0"/>
          <w:vertAlign w:val="subscript"/>
        </w:rPr>
        <w:t>ARM</w:t>
      </w:r>
      <w:r w:rsidR="00DE11B2">
        <w:rPr>
          <w:rFonts w:ascii="Times New Roman" w:hAnsi="Times New Roman"/>
          <w:kern w:val="0"/>
        </w:rPr>
        <w:t xml:space="preserve">/SIRM </w:t>
      </w:r>
      <w:r w:rsidR="00B75C08">
        <w:rPr>
          <w:rFonts w:ascii="Times New Roman" w:hAnsi="Times New Roman"/>
          <w:kern w:val="0"/>
        </w:rPr>
        <w:t>for</w:t>
      </w:r>
      <w:r>
        <w:rPr>
          <w:rFonts w:ascii="Times New Roman" w:hAnsi="Times New Roman"/>
          <w:kern w:val="0"/>
        </w:rPr>
        <w:t xml:space="preserve"> core MR13-E02 Leg 2 PC01. </w:t>
      </w:r>
      <w:r w:rsidR="00DE11B2">
        <w:rPr>
          <w:rFonts w:ascii="Times New Roman" w:hAnsi="Times New Roman"/>
          <w:kern w:val="0"/>
        </w:rPr>
        <w:t>(Left) Inclination</w:t>
      </w:r>
      <w:r>
        <w:rPr>
          <w:rFonts w:ascii="Times New Roman" w:hAnsi="Times New Roman"/>
          <w:kern w:val="0"/>
        </w:rPr>
        <w:t xml:space="preserve"> after alternating-field demagnetization at a peak field of 20 mT. The scatter of the data above </w:t>
      </w:r>
      <w:r w:rsidR="00A44939">
        <w:rPr>
          <w:rFonts w:ascii="Times New Roman" w:hAnsi="Times New Roman"/>
          <w:kern w:val="0"/>
        </w:rPr>
        <w:t>~</w:t>
      </w:r>
      <w:r>
        <w:rPr>
          <w:rFonts w:ascii="Times New Roman" w:hAnsi="Times New Roman"/>
          <w:kern w:val="0"/>
        </w:rPr>
        <w:t xml:space="preserve">4.5 m is most likely due to physical disturbance of the core </w:t>
      </w:r>
      <w:r w:rsidR="00A44939">
        <w:rPr>
          <w:rFonts w:ascii="Times New Roman" w:hAnsi="Times New Roman"/>
          <w:kern w:val="0"/>
        </w:rPr>
        <w:t>during</w:t>
      </w:r>
      <w:r>
        <w:rPr>
          <w:rFonts w:ascii="Times New Roman" w:hAnsi="Times New Roman"/>
          <w:kern w:val="0"/>
        </w:rPr>
        <w:t xml:space="preserve"> coring. Cores below 9.3 m were not measured because of severe physical disturbance. M/B: Matuyama-Brunhes transition, J: Jaramillo subchron, O: Olduvai subchron.</w:t>
      </w:r>
      <w:r w:rsidR="00DE11B2">
        <w:rPr>
          <w:rFonts w:ascii="Times New Roman" w:hAnsi="Times New Roman"/>
          <w:kern w:val="0"/>
        </w:rPr>
        <w:t xml:space="preserve"> (Right) The ratio of ARM susceptibility to SIRM (</w:t>
      </w:r>
      <w:r w:rsidR="00DE11B2" w:rsidRPr="00DE11B2">
        <w:rPr>
          <w:rFonts w:ascii="Times New Roman" w:hAnsi="Times New Roman"/>
          <w:i/>
          <w:kern w:val="0"/>
        </w:rPr>
        <w:t>k</w:t>
      </w:r>
      <w:r w:rsidR="00DE11B2" w:rsidRPr="00DE11B2">
        <w:rPr>
          <w:rFonts w:ascii="Times New Roman" w:hAnsi="Times New Roman"/>
          <w:kern w:val="0"/>
          <w:vertAlign w:val="subscript"/>
        </w:rPr>
        <w:t>ARM</w:t>
      </w:r>
      <w:r w:rsidR="00DE11B2">
        <w:rPr>
          <w:rFonts w:ascii="Times New Roman" w:hAnsi="Times New Roman"/>
          <w:kern w:val="0"/>
        </w:rPr>
        <w:t>/SIRM).</w:t>
      </w:r>
    </w:p>
    <w:p w14:paraId="646652E5" w14:textId="77777777" w:rsidR="002C3EDA" w:rsidRDefault="002C3EDA">
      <w:pPr>
        <w:widowControl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0C07D446" w14:textId="474BF223" w:rsidR="00B35848" w:rsidRDefault="00B35848" w:rsidP="00B35848">
      <w:pPr>
        <w:widowControl/>
        <w:jc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noProof/>
          <w:kern w:val="0"/>
        </w:rPr>
        <w:drawing>
          <wp:inline distT="0" distB="0" distL="0" distR="0" wp14:anchorId="4795057A" wp14:editId="78C9BC7D">
            <wp:extent cx="4000199" cy="421449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_PC4.ai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93" t="6088" r="16545" b="46815"/>
                    <a:stretch/>
                  </pic:blipFill>
                  <pic:spPr bwMode="auto">
                    <a:xfrm>
                      <a:off x="0" y="0"/>
                      <a:ext cx="4000199" cy="421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7532A" w14:textId="1BBD2221" w:rsidR="00B35848" w:rsidRDefault="00B35848" w:rsidP="00B35848">
      <w:pPr>
        <w:widowControl/>
        <w:autoSpaceDE w:val="0"/>
        <w:autoSpaceDN w:val="0"/>
        <w:adjustRightInd w:val="0"/>
        <w:ind w:left="2" w:firstLine="1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Fig. S3. Inclination of remanent magnetization and </w:t>
      </w:r>
      <w:r w:rsidRPr="00DE11B2">
        <w:rPr>
          <w:rFonts w:ascii="Times New Roman" w:hAnsi="Times New Roman"/>
          <w:i/>
          <w:kern w:val="0"/>
        </w:rPr>
        <w:t>k</w:t>
      </w:r>
      <w:r w:rsidRPr="00DE11B2">
        <w:rPr>
          <w:rFonts w:ascii="Times New Roman" w:hAnsi="Times New Roman"/>
          <w:kern w:val="0"/>
          <w:vertAlign w:val="subscript"/>
        </w:rPr>
        <w:t>ARM</w:t>
      </w:r>
      <w:r>
        <w:rPr>
          <w:rFonts w:ascii="Times New Roman" w:hAnsi="Times New Roman"/>
          <w:kern w:val="0"/>
        </w:rPr>
        <w:t xml:space="preserve">/SIRM </w:t>
      </w:r>
      <w:r w:rsidR="00B75C08">
        <w:rPr>
          <w:rFonts w:ascii="Times New Roman" w:hAnsi="Times New Roman"/>
          <w:kern w:val="0"/>
        </w:rPr>
        <w:t>for</w:t>
      </w:r>
      <w:r>
        <w:rPr>
          <w:rFonts w:ascii="Times New Roman" w:hAnsi="Times New Roman"/>
          <w:kern w:val="0"/>
        </w:rPr>
        <w:t xml:space="preserve"> core KR14-02 PC04. (Left) Inclination after alternating-field demagnetization at a peak field of 20 mT. (Right) The ratio of ARM susceptibility to SIRM (</w:t>
      </w:r>
      <w:r w:rsidRPr="00DE11B2">
        <w:rPr>
          <w:rFonts w:ascii="Times New Roman" w:hAnsi="Times New Roman"/>
          <w:i/>
          <w:kern w:val="0"/>
        </w:rPr>
        <w:t>k</w:t>
      </w:r>
      <w:r w:rsidRPr="00DE11B2">
        <w:rPr>
          <w:rFonts w:ascii="Times New Roman" w:hAnsi="Times New Roman"/>
          <w:kern w:val="0"/>
          <w:vertAlign w:val="subscript"/>
        </w:rPr>
        <w:t>ARM</w:t>
      </w:r>
      <w:r>
        <w:rPr>
          <w:rFonts w:ascii="Times New Roman" w:hAnsi="Times New Roman"/>
          <w:kern w:val="0"/>
        </w:rPr>
        <w:t>/SIRM).</w:t>
      </w:r>
    </w:p>
    <w:p w14:paraId="6D309503" w14:textId="7BD19543" w:rsidR="00B75C08" w:rsidRDefault="00B75C08">
      <w:pPr>
        <w:widowControl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3258313D" w14:textId="31A06600" w:rsidR="00B75C08" w:rsidRDefault="00F36F7F" w:rsidP="00B75C08">
      <w:pPr>
        <w:widowControl/>
        <w:autoSpaceDE w:val="0"/>
        <w:autoSpaceDN w:val="0"/>
        <w:adjustRightInd w:val="0"/>
        <w:ind w:left="2" w:firstLine="1"/>
        <w:jc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noProof/>
          <w:kern w:val="0"/>
        </w:rPr>
        <w:drawing>
          <wp:inline distT="0" distB="0" distL="0" distR="0" wp14:anchorId="7175D1E2" wp14:editId="5001BAAB">
            <wp:extent cx="4066032" cy="4328160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_U1365_new-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032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FDF2" w14:textId="5972487B" w:rsidR="00B35848" w:rsidRDefault="00B75C08" w:rsidP="00B35848">
      <w:pPr>
        <w:widowControl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Fig. S4. Age estimation of IODP Hole U1365A</w:t>
      </w:r>
      <w:r w:rsidR="00840223">
        <w:rPr>
          <w:rFonts w:ascii="Times New Roman" w:hAnsi="Times New Roman"/>
          <w:kern w:val="0"/>
        </w:rPr>
        <w:t xml:space="preserve"> </w:t>
      </w:r>
      <w:r w:rsidR="00CF2919">
        <w:rPr>
          <w:rFonts w:ascii="Times New Roman" w:hAnsi="Times New Roman"/>
          <w:kern w:val="0"/>
        </w:rPr>
        <w:t>sediments</w:t>
      </w:r>
      <w:r>
        <w:rPr>
          <w:rFonts w:ascii="Times New Roman" w:hAnsi="Times New Roman"/>
          <w:kern w:val="0"/>
        </w:rPr>
        <w:t xml:space="preserve">, South Pacific Ocean. (a) </w:t>
      </w:r>
      <w:r w:rsidR="002733D6">
        <w:rPr>
          <w:rFonts w:ascii="Times New Roman" w:hAnsi="Times New Roman"/>
          <w:kern w:val="0"/>
        </w:rPr>
        <w:t xml:space="preserve">Intercore correlation between IODP Hole U1365A </w:t>
      </w:r>
      <w:r w:rsidR="001E4928">
        <w:rPr>
          <w:rFonts w:ascii="Times New Roman" w:hAnsi="Times New Roman"/>
          <w:kern w:val="0"/>
        </w:rPr>
        <w:t xml:space="preserve">(black) </w:t>
      </w:r>
      <w:r w:rsidR="002733D6">
        <w:rPr>
          <w:rFonts w:ascii="Times New Roman" w:hAnsi="Times New Roman"/>
          <w:kern w:val="0"/>
        </w:rPr>
        <w:t xml:space="preserve">and DSDP </w:t>
      </w:r>
      <w:r w:rsidR="00B4364B">
        <w:rPr>
          <w:rFonts w:ascii="Times New Roman" w:hAnsi="Times New Roman"/>
          <w:kern w:val="0"/>
        </w:rPr>
        <w:t>Hole</w:t>
      </w:r>
      <w:r w:rsidR="002733D6">
        <w:rPr>
          <w:rFonts w:ascii="Times New Roman" w:hAnsi="Times New Roman"/>
          <w:kern w:val="0"/>
        </w:rPr>
        <w:t xml:space="preserve"> 596 </w:t>
      </w:r>
      <w:r w:rsidR="001E4928">
        <w:rPr>
          <w:rFonts w:ascii="Times New Roman" w:hAnsi="Times New Roman"/>
          <w:kern w:val="0"/>
        </w:rPr>
        <w:t xml:space="preserve">(red) </w:t>
      </w:r>
      <w:r w:rsidR="002733D6">
        <w:rPr>
          <w:rFonts w:ascii="Times New Roman" w:hAnsi="Times New Roman"/>
          <w:kern w:val="0"/>
        </w:rPr>
        <w:t>based on magnetic</w:t>
      </w:r>
      <w:r w:rsidR="001E4928">
        <w:rPr>
          <w:rFonts w:ascii="Times New Roman" w:hAnsi="Times New Roman"/>
          <w:kern w:val="0"/>
        </w:rPr>
        <w:t xml:space="preserve"> susceptibility (MS). </w:t>
      </w:r>
      <w:r w:rsidR="00F36F7F">
        <w:rPr>
          <w:rFonts w:ascii="Times New Roman" w:hAnsi="Times New Roman"/>
          <w:kern w:val="0"/>
        </w:rPr>
        <w:t xml:space="preserve">Blue ticks indicate the tie points. </w:t>
      </w:r>
      <w:r w:rsidR="001E4928">
        <w:rPr>
          <w:rFonts w:ascii="Times New Roman" w:hAnsi="Times New Roman"/>
          <w:kern w:val="0"/>
        </w:rPr>
        <w:t xml:space="preserve">Depths of </w:t>
      </w:r>
      <w:r w:rsidR="00B4364B">
        <w:rPr>
          <w:rFonts w:ascii="Times New Roman" w:hAnsi="Times New Roman"/>
          <w:kern w:val="0"/>
        </w:rPr>
        <w:t>Hole</w:t>
      </w:r>
      <w:r w:rsidR="001E4928">
        <w:rPr>
          <w:rFonts w:ascii="Times New Roman" w:hAnsi="Times New Roman"/>
          <w:kern w:val="0"/>
        </w:rPr>
        <w:t xml:space="preserve"> 596 were converted to those of Hole U1365A</w:t>
      </w:r>
      <w:r w:rsidR="00377DC4">
        <w:rPr>
          <w:rFonts w:ascii="Times New Roman" w:hAnsi="Times New Roman"/>
          <w:kern w:val="0"/>
        </w:rPr>
        <w:t xml:space="preserve"> based on the MS correlation</w:t>
      </w:r>
      <w:r w:rsidR="001E4928">
        <w:rPr>
          <w:rFonts w:ascii="Times New Roman" w:hAnsi="Times New Roman"/>
          <w:kern w:val="0"/>
        </w:rPr>
        <w:t>. MS data were</w:t>
      </w:r>
      <w:r w:rsidR="002733D6">
        <w:rPr>
          <w:rFonts w:ascii="Times New Roman" w:hAnsi="Times New Roman"/>
          <w:kern w:val="0"/>
        </w:rPr>
        <w:t xml:space="preserve"> reported </w:t>
      </w:r>
      <w:r w:rsidR="001E4928">
        <w:rPr>
          <w:rFonts w:ascii="Times New Roman" w:hAnsi="Times New Roman"/>
          <w:kern w:val="0"/>
        </w:rPr>
        <w:t>by</w:t>
      </w:r>
      <w:r w:rsidR="002733D6">
        <w:rPr>
          <w:rFonts w:ascii="Times New Roman" w:hAnsi="Times New Roman"/>
          <w:kern w:val="0"/>
        </w:rPr>
        <w:t xml:space="preserve"> Shimono and Yamazaki (2016). (b) </w:t>
      </w:r>
      <w:r w:rsidR="001E4928">
        <w:rPr>
          <w:rFonts w:ascii="Times New Roman" w:hAnsi="Times New Roman"/>
          <w:kern w:val="0"/>
        </w:rPr>
        <w:t>A</w:t>
      </w:r>
      <w:r w:rsidR="002733D6">
        <w:rPr>
          <w:rFonts w:ascii="Times New Roman" w:hAnsi="Times New Roman"/>
          <w:kern w:val="0"/>
        </w:rPr>
        <w:t>ge model for Hole U1365A</w:t>
      </w:r>
      <w:r w:rsidR="00127B23">
        <w:rPr>
          <w:rFonts w:ascii="Times New Roman" w:hAnsi="Times New Roman"/>
          <w:kern w:val="0"/>
        </w:rPr>
        <w:t xml:space="preserve"> sediments</w:t>
      </w:r>
      <w:r w:rsidR="002733D6">
        <w:rPr>
          <w:rFonts w:ascii="Times New Roman" w:hAnsi="Times New Roman"/>
          <w:kern w:val="0"/>
        </w:rPr>
        <w:t xml:space="preserve">, which was transferred from the Os-isotope age </w:t>
      </w:r>
      <w:r w:rsidR="00127B23">
        <w:rPr>
          <w:rFonts w:ascii="Times New Roman" w:hAnsi="Times New Roman"/>
          <w:kern w:val="0"/>
        </w:rPr>
        <w:t>model for Site 596 (Ohta et al.</w:t>
      </w:r>
      <w:r w:rsidR="002733D6">
        <w:rPr>
          <w:rFonts w:ascii="Times New Roman" w:hAnsi="Times New Roman"/>
          <w:kern w:val="0"/>
        </w:rPr>
        <w:t xml:space="preserve"> 2020) based on the </w:t>
      </w:r>
      <w:r w:rsidR="001E4928">
        <w:rPr>
          <w:rFonts w:ascii="Times New Roman" w:hAnsi="Times New Roman"/>
          <w:kern w:val="0"/>
        </w:rPr>
        <w:t xml:space="preserve">intercore </w:t>
      </w:r>
      <w:r w:rsidR="002733D6">
        <w:rPr>
          <w:rFonts w:ascii="Times New Roman" w:hAnsi="Times New Roman"/>
          <w:kern w:val="0"/>
        </w:rPr>
        <w:t>correlation.</w:t>
      </w:r>
      <w:r>
        <w:rPr>
          <w:rFonts w:ascii="Times New Roman" w:hAnsi="Times New Roman"/>
          <w:kern w:val="0"/>
        </w:rPr>
        <w:t xml:space="preserve"> </w:t>
      </w:r>
    </w:p>
    <w:p w14:paraId="44870E48" w14:textId="4B944F77" w:rsidR="002C3EDA" w:rsidRDefault="005E230B" w:rsidP="002C3ED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3B95AE1" wp14:editId="5C310D0B">
            <wp:extent cx="4566306" cy="7861935"/>
            <wp:effectExtent l="0" t="0" r="5715" b="1206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 _Fig_FORC_PC1&amp;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6306" cy="78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BBA00" w14:textId="5F3323F2" w:rsidR="002C3EDA" w:rsidRDefault="002C3EDA" w:rsidP="002C3EDA">
      <w:pPr>
        <w:widowControl/>
        <w:autoSpaceDE w:val="0"/>
        <w:autoSpaceDN w:val="0"/>
        <w:adjustRightInd w:val="0"/>
        <w:ind w:left="2" w:firstLine="1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Fig. S</w:t>
      </w:r>
      <w:r w:rsidR="00B75C08">
        <w:rPr>
          <w:rFonts w:ascii="Times New Roman" w:hAnsi="Times New Roman"/>
          <w:kern w:val="0"/>
        </w:rPr>
        <w:t>5</w:t>
      </w:r>
      <w:r>
        <w:rPr>
          <w:rFonts w:ascii="Times New Roman" w:hAnsi="Times New Roman"/>
          <w:kern w:val="0"/>
        </w:rPr>
        <w:t xml:space="preserve">. </w:t>
      </w:r>
      <w:r w:rsidR="00377DC4">
        <w:rPr>
          <w:rFonts w:ascii="Times New Roman" w:hAnsi="Times New Roman"/>
          <w:kern w:val="0"/>
        </w:rPr>
        <w:t xml:space="preserve">Examples of </w:t>
      </w:r>
      <w:r>
        <w:rPr>
          <w:rFonts w:ascii="Times New Roman" w:hAnsi="Times New Roman"/>
          <w:kern w:val="0"/>
        </w:rPr>
        <w:t xml:space="preserve">FORC diagrams </w:t>
      </w:r>
      <w:r w:rsidR="00B75C08">
        <w:rPr>
          <w:rFonts w:ascii="Times New Roman" w:hAnsi="Times New Roman"/>
          <w:kern w:val="0"/>
        </w:rPr>
        <w:t>for</w:t>
      </w:r>
      <w:r>
        <w:rPr>
          <w:rFonts w:ascii="Times New Roman" w:hAnsi="Times New Roman"/>
          <w:kern w:val="0"/>
        </w:rPr>
        <w:t xml:space="preserve"> two cores </w:t>
      </w:r>
      <w:r w:rsidR="00B75C08">
        <w:rPr>
          <w:rFonts w:ascii="Times New Roman" w:hAnsi="Times New Roman"/>
          <w:kern w:val="0"/>
        </w:rPr>
        <w:t xml:space="preserve">from the </w:t>
      </w:r>
      <w:r>
        <w:rPr>
          <w:rFonts w:ascii="Times New Roman" w:hAnsi="Times New Roman"/>
          <w:kern w:val="0"/>
        </w:rPr>
        <w:t xml:space="preserve">western North Pacific. </w:t>
      </w:r>
      <w:r w:rsidRPr="002C3EDA">
        <w:rPr>
          <w:rFonts w:ascii="Times New Roman" w:hAnsi="Times New Roman"/>
          <w:kern w:val="0"/>
        </w:rPr>
        <w:t>Cores MR13-E02 Leg 2 PC01 (left) and KR14-02 PC04 (right).</w:t>
      </w:r>
    </w:p>
    <w:p w14:paraId="6A5B3D4E" w14:textId="77777777" w:rsidR="002C3EDA" w:rsidRDefault="002C3EDA" w:rsidP="002C3EDA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  <w:noProof/>
        </w:rPr>
        <w:drawing>
          <wp:inline distT="0" distB="0" distL="0" distR="0" wp14:anchorId="688D658E" wp14:editId="137DE456">
            <wp:extent cx="3998595" cy="8015121"/>
            <wp:effectExtent l="0" t="0" r="0" b="1143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 _Fig_FORC_U136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844" cy="80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BD917" w14:textId="7C7DFA7D" w:rsidR="002C3EDA" w:rsidRPr="00E5700F" w:rsidRDefault="002C3EDA">
      <w:pPr>
        <w:rPr>
          <w:rFonts w:ascii="Times New Roman" w:hAnsi="Times New Roman"/>
        </w:rPr>
      </w:pPr>
      <w:r>
        <w:rPr>
          <w:rFonts w:ascii="Times New Roman" w:hAnsi="Times New Roman"/>
          <w:kern w:val="0"/>
        </w:rPr>
        <w:t>Fig. S</w:t>
      </w:r>
      <w:r w:rsidR="00B75C08">
        <w:rPr>
          <w:rFonts w:ascii="Times New Roman" w:hAnsi="Times New Roman"/>
          <w:kern w:val="0"/>
        </w:rPr>
        <w:t>6</w:t>
      </w:r>
      <w:r>
        <w:rPr>
          <w:rFonts w:ascii="Times New Roman" w:hAnsi="Times New Roman"/>
          <w:kern w:val="0"/>
        </w:rPr>
        <w:t xml:space="preserve">. </w:t>
      </w:r>
      <w:proofErr w:type="gramStart"/>
      <w:r>
        <w:rPr>
          <w:rFonts w:ascii="Times New Roman" w:hAnsi="Times New Roman"/>
          <w:kern w:val="0"/>
        </w:rPr>
        <w:t xml:space="preserve">Examples of FORC diagrams </w:t>
      </w:r>
      <w:bookmarkStart w:id="0" w:name="_GoBack"/>
      <w:bookmarkEnd w:id="0"/>
      <w:r>
        <w:rPr>
          <w:rFonts w:ascii="Times New Roman" w:hAnsi="Times New Roman"/>
          <w:kern w:val="0"/>
        </w:rPr>
        <w:t>for IOD</w:t>
      </w:r>
      <w:r w:rsidR="00377DC4">
        <w:rPr>
          <w:rFonts w:ascii="Times New Roman" w:hAnsi="Times New Roman"/>
          <w:kern w:val="0"/>
        </w:rPr>
        <w:t>P</w:t>
      </w:r>
      <w:r>
        <w:rPr>
          <w:rFonts w:ascii="Times New Roman" w:hAnsi="Times New Roman"/>
          <w:kern w:val="0"/>
        </w:rPr>
        <w:t xml:space="preserve"> </w:t>
      </w:r>
      <w:r w:rsidR="00A44939">
        <w:rPr>
          <w:rFonts w:ascii="Times New Roman" w:hAnsi="Times New Roman"/>
          <w:kern w:val="0"/>
        </w:rPr>
        <w:t>Hole</w:t>
      </w:r>
      <w:r>
        <w:rPr>
          <w:rFonts w:ascii="Times New Roman" w:hAnsi="Times New Roman"/>
          <w:kern w:val="0"/>
        </w:rPr>
        <w:t xml:space="preserve"> U1365</w:t>
      </w:r>
      <w:r w:rsidR="00A44939">
        <w:rPr>
          <w:rFonts w:ascii="Times New Roman" w:hAnsi="Times New Roman"/>
          <w:kern w:val="0"/>
        </w:rPr>
        <w:t>A</w:t>
      </w:r>
      <w:r w:rsidR="00B75C08">
        <w:rPr>
          <w:rFonts w:ascii="Times New Roman" w:hAnsi="Times New Roman"/>
          <w:kern w:val="0"/>
        </w:rPr>
        <w:t xml:space="preserve">, </w:t>
      </w:r>
      <w:r>
        <w:rPr>
          <w:rFonts w:ascii="Times New Roman" w:hAnsi="Times New Roman"/>
          <w:kern w:val="0"/>
        </w:rPr>
        <w:t>South Pacific</w:t>
      </w:r>
      <w:r w:rsidR="00B75C08">
        <w:rPr>
          <w:rFonts w:ascii="Times New Roman" w:hAnsi="Times New Roman"/>
          <w:kern w:val="0"/>
        </w:rPr>
        <w:t xml:space="preserve"> Ocean</w:t>
      </w:r>
      <w:r>
        <w:rPr>
          <w:rFonts w:ascii="Times New Roman" w:hAnsi="Times New Roman"/>
          <w:kern w:val="0"/>
        </w:rPr>
        <w:t>.</w:t>
      </w:r>
      <w:proofErr w:type="gramEnd"/>
    </w:p>
    <w:sectPr w:rsidR="002C3EDA" w:rsidRPr="00E5700F" w:rsidSect="0061167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0F"/>
    <w:rsid w:val="00127B23"/>
    <w:rsid w:val="001E4928"/>
    <w:rsid w:val="002733D6"/>
    <w:rsid w:val="002C3EDA"/>
    <w:rsid w:val="002F07CE"/>
    <w:rsid w:val="00377DC4"/>
    <w:rsid w:val="00455542"/>
    <w:rsid w:val="005E230B"/>
    <w:rsid w:val="00611675"/>
    <w:rsid w:val="007A186D"/>
    <w:rsid w:val="00840223"/>
    <w:rsid w:val="00A44939"/>
    <w:rsid w:val="00B35848"/>
    <w:rsid w:val="00B4364B"/>
    <w:rsid w:val="00B75C08"/>
    <w:rsid w:val="00CF2919"/>
    <w:rsid w:val="00D7029F"/>
    <w:rsid w:val="00DE11B2"/>
    <w:rsid w:val="00E5700F"/>
    <w:rsid w:val="00E92FAF"/>
    <w:rsid w:val="00F3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C0919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64B0"/>
    <w:rPr>
      <w:rFonts w:ascii="ヒラギノ角ゴ ProN W3" w:eastAsia="ヒラギノ角ゴ ProN W3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64B0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393</Words>
  <Characters>2132</Characters>
  <Application>Microsoft Macintosh Word</Application>
  <DocSecurity>0</DocSecurity>
  <Lines>41</Lines>
  <Paragraphs>7</Paragraphs>
  <ScaleCrop>false</ScaleCrop>
  <Company>GSJ, AIST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Yamazaki Toshitsugu</dc:creator>
  <cp:keywords/>
  <dc:description/>
  <cp:lastModifiedBy>Yamazaki Toshitsugu</cp:lastModifiedBy>
  <cp:revision>14</cp:revision>
  <dcterms:created xsi:type="dcterms:W3CDTF">2020-04-23T07:39:00Z</dcterms:created>
  <dcterms:modified xsi:type="dcterms:W3CDTF">2020-07-26T06:08:00Z</dcterms:modified>
</cp:coreProperties>
</file>