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6962" w14:textId="1F6C1511" w:rsidR="00D8502E" w:rsidRDefault="003651B7" w:rsidP="00A32445">
      <w:pPr>
        <w:widowControl/>
        <w:jc w:val="left"/>
      </w:pPr>
      <w:r w:rsidRPr="003651B7">
        <w:rPr>
          <w:noProof/>
        </w:rPr>
        <w:drawing>
          <wp:inline distT="0" distB="0" distL="0" distR="0" wp14:anchorId="10710332" wp14:editId="29BC63B8">
            <wp:extent cx="4838700" cy="3640129"/>
            <wp:effectExtent l="0" t="0" r="0" b="508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4450" cy="364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B4CB" w14:textId="4BA39802" w:rsidR="00E75763" w:rsidRDefault="00205E29">
      <w:pPr>
        <w:rPr>
          <w:color w:val="000000" w:themeColor="text1"/>
        </w:rPr>
      </w:pPr>
      <w:r>
        <w:t>S1</w:t>
      </w:r>
      <w:r w:rsidR="00E75763">
        <w:t xml:space="preserve"> (a)</w:t>
      </w:r>
      <w:r w:rsidR="00511EE0">
        <w:t>.</w:t>
      </w:r>
      <w:r>
        <w:t xml:space="preserve"> Location of the MT sites in this study. The red rectangle is the sill-like pressure model of the ground inflation from 2016 to 2017 (</w:t>
      </w:r>
      <w:r w:rsidR="00F37151" w:rsidRPr="00750452">
        <w:rPr>
          <w:rFonts w:ascii="Times New Roman" w:hAnsi="Times New Roman" w:cs="Times New Roman"/>
          <w:color w:val="000000" w:themeColor="text1"/>
          <w:kern w:val="0"/>
        </w:rPr>
        <w:t>Faculty of Science, Hokkaido Univ. 2019</w:t>
      </w:r>
      <w:r w:rsidRPr="00750452">
        <w:rPr>
          <w:color w:val="000000" w:themeColor="text1"/>
        </w:rPr>
        <w:t>).</w:t>
      </w:r>
      <w:r w:rsidR="004F2017" w:rsidRPr="00750452">
        <w:rPr>
          <w:color w:val="000000" w:themeColor="text1"/>
        </w:rPr>
        <w:t xml:space="preserve"> </w:t>
      </w:r>
      <w:r w:rsidR="004F2017" w:rsidRPr="00750452">
        <w:rPr>
          <w:rFonts w:ascii="Times New Roman" w:hAnsi="Times New Roman" w:cs="Times New Roman"/>
          <w:color w:val="000000" w:themeColor="text1"/>
          <w:kern w:val="0"/>
        </w:rPr>
        <w:t>M20 and M24 were calculated using the horizontal geomagnetic field data at M22 or M25</w:t>
      </w:r>
      <w:r w:rsidR="001458BB" w:rsidRPr="00750452">
        <w:rPr>
          <w:rFonts w:ascii="Times New Roman" w:hAnsi="Times New Roman" w:cs="Times New Roman"/>
          <w:color w:val="000000" w:themeColor="text1"/>
          <w:kern w:val="0"/>
        </w:rPr>
        <w:t>, a</w:t>
      </w:r>
      <w:r w:rsidR="001458BB" w:rsidRPr="00F37151">
        <w:rPr>
          <w:rFonts w:ascii="Times New Roman" w:hAnsi="Times New Roman" w:cs="Times New Roman"/>
          <w:color w:val="000000" w:themeColor="text1"/>
          <w:kern w:val="0"/>
        </w:rPr>
        <w:t>ssuming</w:t>
      </w:r>
      <w:r w:rsidR="001458BB" w:rsidRPr="00F37151">
        <w:rPr>
          <w:color w:val="000000" w:themeColor="text1"/>
        </w:rPr>
        <w:t xml:space="preserve"> a plane wave approximation for the magnetic field incident to the ground based on </w:t>
      </w:r>
      <w:proofErr w:type="spellStart"/>
      <w:r w:rsidR="001458BB" w:rsidRPr="00F37151">
        <w:rPr>
          <w:color w:val="000000" w:themeColor="text1"/>
        </w:rPr>
        <w:t>magnetotelluric</w:t>
      </w:r>
      <w:proofErr w:type="spellEnd"/>
      <w:r w:rsidR="001458BB" w:rsidRPr="00F37151">
        <w:rPr>
          <w:color w:val="000000" w:themeColor="text1"/>
        </w:rPr>
        <w:t xml:space="preserve"> theory.</w:t>
      </w:r>
    </w:p>
    <w:p w14:paraId="04265F61" w14:textId="1667A1FA" w:rsidR="00E75763" w:rsidRDefault="00D52CEB">
      <w:pPr>
        <w:rPr>
          <w:color w:val="000000" w:themeColor="text1"/>
        </w:rPr>
      </w:pPr>
      <w:r w:rsidRPr="00D52CEB">
        <w:rPr>
          <w:noProof/>
          <w:color w:val="000000" w:themeColor="text1"/>
        </w:rPr>
        <w:drawing>
          <wp:inline distT="0" distB="0" distL="0" distR="0" wp14:anchorId="20BDB4DC" wp14:editId="48505410">
            <wp:extent cx="5186363" cy="2865377"/>
            <wp:effectExtent l="0" t="0" r="0" b="508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0193" cy="28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63A2" w14:textId="35A751D4" w:rsidR="00956AFA" w:rsidRPr="001458BB" w:rsidRDefault="00E75763" w:rsidP="00D52CEB">
      <w:pPr>
        <w:rPr>
          <w:color w:val="000000" w:themeColor="text1"/>
        </w:rPr>
      </w:pPr>
      <w:r w:rsidRPr="001458BB">
        <w:rPr>
          <w:rFonts w:hint="eastAsia"/>
          <w:color w:val="000000" w:themeColor="text1"/>
        </w:rPr>
        <w:t>S</w:t>
      </w:r>
      <w:r w:rsidRPr="001458BB">
        <w:rPr>
          <w:color w:val="000000" w:themeColor="text1"/>
        </w:rPr>
        <w:t xml:space="preserve">1 (b). </w:t>
      </w:r>
      <w:r w:rsidR="00E112B5" w:rsidRPr="001458BB">
        <w:rPr>
          <w:color w:val="000000" w:themeColor="text1"/>
        </w:rPr>
        <w:t xml:space="preserve">The </w:t>
      </w:r>
      <w:r w:rsidR="00813E1F" w:rsidRPr="001458BB">
        <w:rPr>
          <w:color w:val="000000" w:themeColor="text1"/>
        </w:rPr>
        <w:t>overall</w:t>
      </w:r>
      <w:r w:rsidR="00E112B5" w:rsidRPr="001458BB">
        <w:rPr>
          <w:color w:val="000000" w:themeColor="text1"/>
        </w:rPr>
        <w:t xml:space="preserve"> calculation area used </w:t>
      </w:r>
      <w:r w:rsidR="005E67FA" w:rsidRPr="001458BB">
        <w:rPr>
          <w:color w:val="000000" w:themeColor="text1"/>
        </w:rPr>
        <w:t>for</w:t>
      </w:r>
      <w:r w:rsidR="00E112B5" w:rsidRPr="001458BB">
        <w:rPr>
          <w:color w:val="000000" w:themeColor="text1"/>
        </w:rPr>
        <w:t xml:space="preserve"> the inversion</w:t>
      </w:r>
      <w:r w:rsidR="00813E1F" w:rsidRPr="001458BB">
        <w:rPr>
          <w:color w:val="000000" w:themeColor="text1"/>
        </w:rPr>
        <w:t xml:space="preserve"> (left panel)</w:t>
      </w:r>
      <w:r w:rsidR="00E112B5" w:rsidRPr="001458BB">
        <w:rPr>
          <w:color w:val="000000" w:themeColor="text1"/>
        </w:rPr>
        <w:t xml:space="preserve"> and </w:t>
      </w:r>
      <w:r w:rsidR="00813E1F" w:rsidRPr="001458BB">
        <w:rPr>
          <w:color w:val="000000" w:themeColor="text1"/>
        </w:rPr>
        <w:t xml:space="preserve">the close-up view of </w:t>
      </w:r>
      <w:r w:rsidR="00E112B5" w:rsidRPr="001458BB">
        <w:rPr>
          <w:color w:val="000000" w:themeColor="text1"/>
        </w:rPr>
        <w:t xml:space="preserve">the central area. </w:t>
      </w:r>
      <w:r w:rsidR="00D52CEB" w:rsidRPr="001458BB">
        <w:rPr>
          <w:color w:val="000000" w:themeColor="text1"/>
        </w:rPr>
        <w:t>The cells corresponding to the atmosphere were</w:t>
      </w:r>
      <w:r w:rsidR="00813E1F" w:rsidRPr="001458BB">
        <w:rPr>
          <w:color w:val="000000" w:themeColor="text1"/>
        </w:rPr>
        <w:t xml:space="preserve"> omitted from the figure</w:t>
      </w:r>
      <w:r w:rsidR="00D52CEB" w:rsidRPr="001458BB">
        <w:rPr>
          <w:color w:val="000000" w:themeColor="text1"/>
        </w:rPr>
        <w:t>.</w:t>
      </w:r>
    </w:p>
    <w:p w14:paraId="42C756B9" w14:textId="2DA0BF5C" w:rsidR="00956AFA" w:rsidRPr="00921211" w:rsidRDefault="00921211">
      <w:r>
        <w:rPr>
          <w:noProof/>
        </w:rPr>
        <w:lastRenderedPageBreak/>
        <w:drawing>
          <wp:inline distT="0" distB="0" distL="0" distR="0" wp14:anchorId="0AD9EAFE" wp14:editId="7A062615">
            <wp:extent cx="5396230" cy="5495925"/>
            <wp:effectExtent l="0" t="0" r="1270" b="3175"/>
            <wp:docPr id="1" name="図 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202CA" w14:textId="105DE2FD" w:rsidR="00956AFA" w:rsidRDefault="00956AFA">
      <w:pPr>
        <w:widowControl/>
        <w:jc w:val="left"/>
      </w:pPr>
      <w:r>
        <w:t>S2</w:t>
      </w:r>
      <w:r w:rsidR="00511EE0">
        <w:t>.</w:t>
      </w:r>
      <w:r w:rsidR="00511EE0" w:rsidRPr="00511EE0">
        <w:t xml:space="preserve"> </w:t>
      </w:r>
      <w:r w:rsidR="00511EE0">
        <w:t>Apparent resistivities and phases at all sites</w:t>
      </w:r>
      <w:r w:rsidR="00A41A10">
        <w:t xml:space="preserve"> in </w:t>
      </w:r>
      <w:r w:rsidR="004756F6">
        <w:t xml:space="preserve">the </w:t>
      </w:r>
      <w:r w:rsidR="00A41A10">
        <w:t>survey</w:t>
      </w:r>
      <w:r w:rsidR="00511EE0">
        <w:t>. The dots indicate the observed data, while the solid lines represent synthetic ones from the optimal resistivity model shown in Fig. 3.</w:t>
      </w:r>
    </w:p>
    <w:p w14:paraId="5C9AFE6E" w14:textId="5A9424D0" w:rsidR="00956AFA" w:rsidRDefault="00921211">
      <w:r>
        <w:rPr>
          <w:noProof/>
        </w:rPr>
        <w:lastRenderedPageBreak/>
        <w:drawing>
          <wp:inline distT="0" distB="0" distL="0" distR="0" wp14:anchorId="005520D3" wp14:editId="3DC1AD7D">
            <wp:extent cx="5396230" cy="7473315"/>
            <wp:effectExtent l="0" t="0" r="1270" b="0"/>
            <wp:docPr id="2" name="図 2" descr="カレンダー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カレンダー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47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FC08" w14:textId="58EDCEB8" w:rsidR="00956AFA" w:rsidRDefault="00956AFA">
      <w:pPr>
        <w:widowControl/>
        <w:jc w:val="left"/>
      </w:pPr>
      <w:r>
        <w:t>S2</w:t>
      </w:r>
      <w:r w:rsidR="00511EE0">
        <w:t>.</w:t>
      </w:r>
      <w:r>
        <w:t xml:space="preserve"> </w:t>
      </w:r>
      <w:r w:rsidR="00511EE0">
        <w:t>(continued).</w:t>
      </w:r>
    </w:p>
    <w:p w14:paraId="36205A5C" w14:textId="12375C62" w:rsidR="00262C91" w:rsidRDefault="00262C91">
      <w:pPr>
        <w:widowControl/>
        <w:jc w:val="left"/>
      </w:pPr>
      <w:r>
        <w:br w:type="page"/>
      </w:r>
    </w:p>
    <w:p w14:paraId="1641B964" w14:textId="1FFE14B1" w:rsidR="00DE3DA1" w:rsidRDefault="00921211" w:rsidP="00DE3DA1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16C9800" wp14:editId="34CB6242">
            <wp:extent cx="5396230" cy="5680075"/>
            <wp:effectExtent l="0" t="0" r="1270" b="0"/>
            <wp:docPr id="3" name="図 3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ダイアグラム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68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CA6E8" w14:textId="6C0BA949" w:rsidR="008E2CBA" w:rsidRDefault="008E2CBA">
      <w:pPr>
        <w:widowControl/>
        <w:jc w:val="left"/>
        <w:rPr>
          <w:color w:val="FF0000"/>
        </w:rPr>
      </w:pPr>
      <w:r w:rsidRPr="00023FDF">
        <w:rPr>
          <w:color w:val="000000" w:themeColor="text1"/>
        </w:rPr>
        <w:t>S2. (continued).</w:t>
      </w:r>
    </w:p>
    <w:p w14:paraId="166A4AA3" w14:textId="77777777" w:rsidR="008E2CBA" w:rsidRDefault="008E2CBA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14:paraId="13562D11" w14:textId="7644CAB0" w:rsidR="00DE3DA1" w:rsidRDefault="000A149F">
      <w:pPr>
        <w:widowControl/>
        <w:jc w:val="left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4820C297" wp14:editId="12C0A682">
            <wp:extent cx="5396230" cy="7524750"/>
            <wp:effectExtent l="0" t="0" r="1270" b="6350"/>
            <wp:docPr id="24" name="図 24" descr="カレンダー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カレンダー&#10;&#10;低い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D01B" w14:textId="5423DEA4" w:rsidR="004756F6" w:rsidRPr="008424AF" w:rsidRDefault="004756F6" w:rsidP="004756F6">
      <w:pPr>
        <w:widowControl/>
        <w:jc w:val="left"/>
        <w:rPr>
          <w:color w:val="000000" w:themeColor="text1"/>
        </w:rPr>
      </w:pPr>
      <w:r w:rsidRPr="008424AF">
        <w:rPr>
          <w:color w:val="000000" w:themeColor="text1"/>
        </w:rPr>
        <w:t>S3. Tipper curves at all sites in this survey. The dots indicate the observed data, while the solid lines represent synthetic ones from the optimal resistivity model shown in Fig. 3.</w:t>
      </w:r>
    </w:p>
    <w:p w14:paraId="7F21101E" w14:textId="77777777" w:rsidR="004756F6" w:rsidRDefault="004756F6">
      <w:pPr>
        <w:widowControl/>
        <w:jc w:val="left"/>
      </w:pPr>
      <w:r>
        <w:br w:type="page"/>
      </w:r>
    </w:p>
    <w:p w14:paraId="7BD5CCEF" w14:textId="3F72310E" w:rsidR="004756F6" w:rsidRDefault="000A149F" w:rsidP="004756F6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1AD0B9DC" wp14:editId="15353560">
            <wp:extent cx="5396230" cy="6292215"/>
            <wp:effectExtent l="0" t="0" r="1270" b="0"/>
            <wp:docPr id="25" name="図 25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カレンダー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3525" w14:textId="6A692FA8" w:rsidR="00E26CEB" w:rsidRDefault="004756F6">
      <w:pPr>
        <w:widowControl/>
        <w:jc w:val="left"/>
        <w:rPr>
          <w:color w:val="FF0000"/>
        </w:rPr>
      </w:pPr>
      <w:r w:rsidRPr="008424AF">
        <w:rPr>
          <w:color w:val="000000" w:themeColor="text1"/>
        </w:rPr>
        <w:t>S3. (continued).</w:t>
      </w:r>
      <w:r w:rsidR="00E26CEB">
        <w:rPr>
          <w:color w:val="FF0000"/>
        </w:rPr>
        <w:br/>
      </w:r>
    </w:p>
    <w:p w14:paraId="605625B5" w14:textId="77777777" w:rsidR="00E26CEB" w:rsidRDefault="00E26CEB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14:paraId="05E2D745" w14:textId="1DCA53CD" w:rsidR="008E2CBA" w:rsidRDefault="000A149F">
      <w:pPr>
        <w:widowControl/>
        <w:jc w:val="left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75FD90B3" wp14:editId="537FCF04">
            <wp:extent cx="5396230" cy="6292215"/>
            <wp:effectExtent l="0" t="0" r="1270" b="0"/>
            <wp:docPr id="26" name="図 26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カレンダー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DDB6" w14:textId="68A92836" w:rsidR="00E26CEB" w:rsidRPr="008424AF" w:rsidRDefault="00E26CEB">
      <w:pPr>
        <w:widowControl/>
        <w:jc w:val="left"/>
        <w:rPr>
          <w:color w:val="000000" w:themeColor="text1"/>
        </w:rPr>
      </w:pPr>
      <w:r w:rsidRPr="008424AF">
        <w:rPr>
          <w:color w:val="000000" w:themeColor="text1"/>
        </w:rPr>
        <w:t>S3. (continued).</w:t>
      </w:r>
    </w:p>
    <w:p w14:paraId="4031398E" w14:textId="48CC4D58" w:rsidR="000A149F" w:rsidRDefault="000A149F">
      <w:pPr>
        <w:widowControl/>
        <w:jc w:val="left"/>
      </w:pPr>
      <w:r>
        <w:br w:type="page"/>
      </w:r>
    </w:p>
    <w:p w14:paraId="60BFF4A5" w14:textId="2C14A145" w:rsidR="00956AFA" w:rsidRDefault="000A149F">
      <w:r>
        <w:rPr>
          <w:noProof/>
        </w:rPr>
        <w:lastRenderedPageBreak/>
        <w:drawing>
          <wp:inline distT="0" distB="0" distL="0" distR="0" wp14:anchorId="2E7B9EEC" wp14:editId="199D5F4F">
            <wp:extent cx="5396230" cy="3817620"/>
            <wp:effectExtent l="0" t="0" r="1270" b="5080"/>
            <wp:docPr id="27" name="図 27" descr="カレンダー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カレンダー が含まれている画像&#10;&#10;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19C8" w14:textId="565A42C1" w:rsidR="00E26CEB" w:rsidRDefault="00956AFA">
      <w:r w:rsidRPr="008424AF">
        <w:rPr>
          <w:rFonts w:hint="eastAsia"/>
          <w:color w:val="000000" w:themeColor="text1"/>
        </w:rPr>
        <w:t>S</w:t>
      </w:r>
      <w:r w:rsidR="00E26CEB" w:rsidRPr="008424AF">
        <w:rPr>
          <w:color w:val="000000" w:themeColor="text1"/>
        </w:rPr>
        <w:t>4</w:t>
      </w:r>
      <w:r w:rsidR="00511EE0" w:rsidRPr="008424AF">
        <w:rPr>
          <w:color w:val="000000" w:themeColor="text1"/>
        </w:rPr>
        <w:t>.</w:t>
      </w:r>
      <w:r>
        <w:t xml:space="preserve"> </w:t>
      </w:r>
      <w:r w:rsidR="007909C3">
        <w:t>(a)</w:t>
      </w:r>
      <w:r>
        <w:t>Distribution of the induction vectors</w:t>
      </w:r>
      <w:r>
        <w:rPr>
          <w:rFonts w:hint="eastAsia"/>
        </w:rPr>
        <w:t>（</w:t>
      </w:r>
      <w:r>
        <w:t>observation and the best model response</w:t>
      </w:r>
      <w:r>
        <w:rPr>
          <w:rFonts w:hint="eastAsia"/>
        </w:rPr>
        <w:t>）．</w:t>
      </w:r>
    </w:p>
    <w:p w14:paraId="5FBFDC46" w14:textId="653CB040" w:rsidR="007909C3" w:rsidRDefault="000A149F">
      <w:r>
        <w:rPr>
          <w:noProof/>
        </w:rPr>
        <w:drawing>
          <wp:inline distT="0" distB="0" distL="0" distR="0" wp14:anchorId="64426EE0" wp14:editId="49909F5F">
            <wp:extent cx="5396230" cy="3817620"/>
            <wp:effectExtent l="0" t="0" r="1270" b="5080"/>
            <wp:docPr id="28" name="図 28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, 折れ線グラフ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DE64" w14:textId="7024BE03" w:rsidR="00E26CEB" w:rsidRPr="007909C3" w:rsidRDefault="007909C3">
      <w:pPr>
        <w:widowControl/>
        <w:jc w:val="left"/>
        <w:rPr>
          <w:color w:val="FF0000"/>
        </w:rPr>
      </w:pPr>
      <w:r w:rsidRPr="008424AF">
        <w:rPr>
          <w:rFonts w:hint="eastAsia"/>
          <w:color w:val="000000" w:themeColor="text1"/>
        </w:rPr>
        <w:t>S</w:t>
      </w:r>
      <w:r w:rsidRPr="008424AF">
        <w:rPr>
          <w:color w:val="000000" w:themeColor="text1"/>
        </w:rPr>
        <w:t>4 (b). The plot of RMS misfit for each period.</w:t>
      </w:r>
      <w:r w:rsidR="004F0C1B" w:rsidRPr="008424AF">
        <w:rPr>
          <w:color w:val="000000" w:themeColor="text1"/>
        </w:rPr>
        <w:t xml:space="preserve"> </w:t>
      </w:r>
    </w:p>
    <w:p w14:paraId="49207AEC" w14:textId="1B26066A" w:rsidR="00956AFA" w:rsidRPr="0076543D" w:rsidRDefault="00F039D7">
      <w:r w:rsidRPr="00F039D7">
        <w:rPr>
          <w:noProof/>
        </w:rPr>
        <w:lastRenderedPageBreak/>
        <w:drawing>
          <wp:inline distT="0" distB="0" distL="0" distR="0" wp14:anchorId="1CD0CD47" wp14:editId="7907052F">
            <wp:extent cx="5396230" cy="7479030"/>
            <wp:effectExtent l="0" t="0" r="1270" b="127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182E" w14:textId="7A786D96" w:rsidR="008E2CBA" w:rsidRDefault="00E26CEB">
      <w:r w:rsidRPr="00F37151">
        <w:rPr>
          <w:rFonts w:hint="eastAsia"/>
          <w:color w:val="000000" w:themeColor="text1"/>
        </w:rPr>
        <w:t>S</w:t>
      </w:r>
      <w:r w:rsidR="00FF23BA" w:rsidRPr="00F37151">
        <w:rPr>
          <w:color w:val="000000" w:themeColor="text1"/>
        </w:rPr>
        <w:t>5</w:t>
      </w:r>
      <w:r w:rsidRPr="00F37151">
        <w:rPr>
          <w:color w:val="000000" w:themeColor="text1"/>
        </w:rPr>
        <w:t xml:space="preserve">. </w:t>
      </w:r>
      <w:r w:rsidRPr="008424AF">
        <w:rPr>
          <w:color w:val="000000" w:themeColor="text1"/>
        </w:rPr>
        <w:t xml:space="preserve">The cross section (E-W) of </w:t>
      </w:r>
      <w:r w:rsidR="00325B9C" w:rsidRPr="008424AF">
        <w:rPr>
          <w:color w:val="000000" w:themeColor="text1"/>
        </w:rPr>
        <w:t xml:space="preserve">the modified model in the example of C1 sensitivity </w:t>
      </w:r>
      <w:r w:rsidR="00D463FA">
        <w:rPr>
          <w:color w:val="000000" w:themeColor="text1"/>
        </w:rPr>
        <w:t>tests</w:t>
      </w:r>
      <w:r w:rsidR="00325B9C" w:rsidRPr="008424AF">
        <w:rPr>
          <w:color w:val="000000" w:themeColor="text1"/>
        </w:rPr>
        <w:t>.</w:t>
      </w:r>
    </w:p>
    <w:p w14:paraId="4F918753" w14:textId="4AFBE7FD" w:rsidR="00967A78" w:rsidRDefault="00967A78">
      <w:pPr>
        <w:widowControl/>
        <w:jc w:val="left"/>
      </w:pPr>
      <w:r>
        <w:br w:type="page"/>
      </w:r>
    </w:p>
    <w:p w14:paraId="3CFFA861" w14:textId="7367629A" w:rsidR="008E2CBA" w:rsidRDefault="00295AFC">
      <w:r>
        <w:rPr>
          <w:noProof/>
        </w:rPr>
        <w:lastRenderedPageBreak/>
        <w:drawing>
          <wp:inline distT="0" distB="0" distL="0" distR="0" wp14:anchorId="43384898" wp14:editId="2B5E0FDB">
            <wp:extent cx="4537898" cy="7531100"/>
            <wp:effectExtent l="0" t="0" r="0" b="0"/>
            <wp:docPr id="30" name="図 3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 descr="グラフ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779" cy="75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95A5" w14:textId="5BFFC3C4" w:rsidR="00750452" w:rsidRDefault="00750452">
      <w:pPr>
        <w:rPr>
          <w:rFonts w:hint="eastAsia"/>
        </w:rPr>
      </w:pPr>
      <w:r w:rsidRPr="008424AF">
        <w:rPr>
          <w:rFonts w:hint="eastAsia"/>
          <w:color w:val="000000" w:themeColor="text1"/>
        </w:rPr>
        <w:t>S</w:t>
      </w:r>
      <w:r w:rsidRPr="008424AF">
        <w:rPr>
          <w:color w:val="000000" w:themeColor="text1"/>
        </w:rPr>
        <w:t xml:space="preserve">6 (a). </w:t>
      </w:r>
      <w:r w:rsidRPr="008424AF">
        <w:rPr>
          <w:rFonts w:ascii="Times New Roman" w:hAnsi="Times New Roman" w:cs="Times New Roman"/>
          <w:color w:val="000000" w:themeColor="text1"/>
        </w:rPr>
        <w:t xml:space="preserve">The response curves of </w:t>
      </w:r>
      <w:r w:rsidRPr="008424AF">
        <w:rPr>
          <w:rFonts w:ascii="Times New Roman" w:eastAsia="游明朝" w:hAnsi="Times New Roman" w:cs="Times New Roman"/>
          <w:color w:val="000000" w:themeColor="text1"/>
        </w:rPr>
        <w:t>the full</w:t>
      </w:r>
      <w:r w:rsidRPr="008424AF">
        <w:rPr>
          <w:rFonts w:ascii="Times New Roman" w:hAnsi="Times New Roman" w:cs="Times New Roman"/>
          <w:color w:val="000000" w:themeColor="text1"/>
        </w:rPr>
        <w:t xml:space="preserve"> impedance components at site M23, M24, M25 and M26 when the lower limit of C1 was varied. Each symbol in the figures represents the model response when </w:t>
      </w:r>
      <w:proofErr w:type="spellStart"/>
      <w:r w:rsidRPr="008424AF">
        <w:rPr>
          <w:rFonts w:ascii="Times New Roman" w:hAnsi="Times New Roman" w:cs="Times New Roman"/>
          <w:i/>
          <w:iCs/>
          <w:color w:val="000000" w:themeColor="text1"/>
        </w:rPr>
        <w:t>D</w:t>
      </w:r>
      <w:r w:rsidRPr="008424AF">
        <w:rPr>
          <w:rFonts w:ascii="Times New Roman" w:hAnsi="Times New Roman" w:cs="Times New Roman"/>
          <w:color w:val="000000" w:themeColor="text1"/>
          <w:vertAlign w:val="subscript"/>
        </w:rPr>
        <w:t>max</w:t>
      </w:r>
      <w:proofErr w:type="spellEnd"/>
      <w:r w:rsidRPr="008424AF">
        <w:rPr>
          <w:rFonts w:ascii="Times New Roman" w:hAnsi="Times New Roman" w:cs="Times New Roman"/>
          <w:color w:val="000000" w:themeColor="text1"/>
        </w:rPr>
        <w:t xml:space="preserve"> is varied. The values in parentheses are the RMS misfit values for the model.</w:t>
      </w:r>
    </w:p>
    <w:p w14:paraId="66DBB0C9" w14:textId="0693BF1B" w:rsidR="00967A78" w:rsidRDefault="00295AFC">
      <w:r>
        <w:rPr>
          <w:noProof/>
        </w:rPr>
        <w:lastRenderedPageBreak/>
        <w:drawing>
          <wp:inline distT="0" distB="0" distL="0" distR="0" wp14:anchorId="6D173204" wp14:editId="4423C8E1">
            <wp:extent cx="4615402" cy="7708354"/>
            <wp:effectExtent l="0" t="0" r="0" b="635"/>
            <wp:docPr id="31" name="図 3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グラフ, 折れ線グラフ&#10;&#10;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311" cy="772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848E" w14:textId="5824368F" w:rsidR="00295AFC" w:rsidRPr="008424AF" w:rsidRDefault="00967A78">
      <w:pPr>
        <w:rPr>
          <w:rFonts w:ascii="Times New Roman" w:hAnsi="Times New Roman" w:cs="Times New Roman"/>
          <w:color w:val="000000" w:themeColor="text1"/>
        </w:rPr>
      </w:pPr>
      <w:r w:rsidRPr="008424AF">
        <w:rPr>
          <w:rFonts w:hint="eastAsia"/>
          <w:color w:val="000000" w:themeColor="text1"/>
        </w:rPr>
        <w:t>S</w:t>
      </w:r>
      <w:r w:rsidR="00FF23BA" w:rsidRPr="008424AF">
        <w:rPr>
          <w:color w:val="000000" w:themeColor="text1"/>
        </w:rPr>
        <w:t>6</w:t>
      </w:r>
      <w:r w:rsidRPr="008424AF">
        <w:rPr>
          <w:color w:val="000000" w:themeColor="text1"/>
        </w:rPr>
        <w:t xml:space="preserve"> (a). </w:t>
      </w:r>
      <w:r w:rsidR="00750452" w:rsidRPr="008424AF">
        <w:rPr>
          <w:color w:val="000000" w:themeColor="text1"/>
        </w:rPr>
        <w:t>(continued).</w:t>
      </w:r>
    </w:p>
    <w:p w14:paraId="1B0B541C" w14:textId="77777777" w:rsidR="00295AFC" w:rsidRDefault="00295AFC">
      <w:pPr>
        <w:widowControl/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14:paraId="2E14B719" w14:textId="527B6AE3" w:rsidR="00967A78" w:rsidRDefault="00295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39E08D" wp14:editId="0ECA49E9">
            <wp:extent cx="4254707" cy="7429500"/>
            <wp:effectExtent l="0" t="0" r="0" b="0"/>
            <wp:docPr id="32" name="図 32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グラフ, 折れ線グラフ&#10;&#10;自動的に生成された説明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351" cy="74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07907" w14:textId="69EFF754" w:rsidR="00750452" w:rsidRPr="00295AFC" w:rsidRDefault="00750452">
      <w:pPr>
        <w:rPr>
          <w:rFonts w:ascii="Times New Roman" w:hAnsi="Times New Roman" w:cs="Times New Roman" w:hint="eastAsia"/>
        </w:rPr>
      </w:pPr>
      <w:r w:rsidRPr="008424AF">
        <w:rPr>
          <w:rFonts w:hint="eastAsia"/>
          <w:color w:val="000000" w:themeColor="text1"/>
        </w:rPr>
        <w:t>S</w:t>
      </w:r>
      <w:r w:rsidRPr="008424AF">
        <w:rPr>
          <w:color w:val="000000" w:themeColor="text1"/>
        </w:rPr>
        <w:t xml:space="preserve">6 (b). </w:t>
      </w:r>
      <w:r w:rsidRPr="008424AF">
        <w:rPr>
          <w:rFonts w:ascii="Times New Roman" w:hAnsi="Times New Roman" w:cs="Times New Roman"/>
          <w:color w:val="000000" w:themeColor="text1"/>
        </w:rPr>
        <w:t xml:space="preserve">The response curves of </w:t>
      </w:r>
      <w:r w:rsidRPr="008424AF">
        <w:rPr>
          <w:rFonts w:ascii="Times New Roman" w:eastAsia="游明朝" w:hAnsi="Times New Roman" w:cs="Times New Roman"/>
          <w:color w:val="000000" w:themeColor="text1"/>
        </w:rPr>
        <w:t>the full</w:t>
      </w:r>
      <w:r w:rsidRPr="008424AF">
        <w:rPr>
          <w:rFonts w:ascii="Times New Roman" w:hAnsi="Times New Roman" w:cs="Times New Roman"/>
          <w:color w:val="000000" w:themeColor="text1"/>
        </w:rPr>
        <w:t xml:space="preserve"> impedance components at site M01, M02 and M03 when the lower limit of C2 was varied to -4.5 km. Each symbol in the figures represents the model response when </w:t>
      </w:r>
      <w:proofErr w:type="spellStart"/>
      <w:r w:rsidRPr="008424AF">
        <w:rPr>
          <w:rFonts w:ascii="Times New Roman" w:hAnsi="Times New Roman" w:cs="Times New Roman"/>
          <w:i/>
          <w:iCs/>
          <w:color w:val="000000" w:themeColor="text1"/>
        </w:rPr>
        <w:t>D</w:t>
      </w:r>
      <w:r w:rsidRPr="008424AF">
        <w:rPr>
          <w:rFonts w:ascii="Times New Roman" w:hAnsi="Times New Roman" w:cs="Times New Roman"/>
          <w:color w:val="000000" w:themeColor="text1"/>
          <w:vertAlign w:val="subscript"/>
        </w:rPr>
        <w:t>max</w:t>
      </w:r>
      <w:proofErr w:type="spellEnd"/>
      <w:r w:rsidRPr="008424AF">
        <w:rPr>
          <w:rFonts w:ascii="Times New Roman" w:hAnsi="Times New Roman" w:cs="Times New Roman"/>
          <w:color w:val="000000" w:themeColor="text1"/>
        </w:rPr>
        <w:t xml:space="preserve"> is varied. The values in parentheses are the RMS misfit values for the model.</w:t>
      </w:r>
    </w:p>
    <w:p w14:paraId="1BF993F0" w14:textId="1B8ED318" w:rsidR="00A641FC" w:rsidRDefault="00295AFC">
      <w:r>
        <w:rPr>
          <w:noProof/>
        </w:rPr>
        <w:lastRenderedPageBreak/>
        <w:drawing>
          <wp:inline distT="0" distB="0" distL="0" distR="0" wp14:anchorId="51450D0B" wp14:editId="285B2085">
            <wp:extent cx="4737404" cy="4053385"/>
            <wp:effectExtent l="0" t="0" r="0" b="0"/>
            <wp:docPr id="33" name="図 33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 descr="グラフ, 折れ線グラフ&#10;&#10;自動的に生成された説明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061" cy="40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4E47" w14:textId="360CFA28" w:rsidR="00295AFC" w:rsidRDefault="00A641FC">
      <w:pPr>
        <w:rPr>
          <w:rFonts w:ascii="Times New Roman" w:hAnsi="Times New Roman" w:cs="Times New Roman"/>
          <w:color w:val="FF0000"/>
        </w:rPr>
      </w:pPr>
      <w:r w:rsidRPr="008424AF">
        <w:rPr>
          <w:rFonts w:hint="eastAsia"/>
          <w:color w:val="000000" w:themeColor="text1"/>
        </w:rPr>
        <w:t>S</w:t>
      </w:r>
      <w:r w:rsidR="00FF23BA" w:rsidRPr="008424AF">
        <w:rPr>
          <w:color w:val="000000" w:themeColor="text1"/>
        </w:rPr>
        <w:t>6</w:t>
      </w:r>
      <w:r w:rsidRPr="008424AF">
        <w:rPr>
          <w:color w:val="000000" w:themeColor="text1"/>
        </w:rPr>
        <w:t xml:space="preserve"> (b). </w:t>
      </w:r>
      <w:r w:rsidR="00750452" w:rsidRPr="008424AF">
        <w:rPr>
          <w:color w:val="000000" w:themeColor="text1"/>
        </w:rPr>
        <w:t>(continued).</w:t>
      </w:r>
      <w:r w:rsidR="00712C1D">
        <w:rPr>
          <w:rFonts w:ascii="Times New Roman" w:hAnsi="Times New Roman" w:cs="Times New Roman"/>
          <w:color w:val="FF0000"/>
        </w:rPr>
        <w:br/>
      </w:r>
    </w:p>
    <w:p w14:paraId="73D60667" w14:textId="77777777" w:rsidR="00295AFC" w:rsidRDefault="00295AFC">
      <w:pPr>
        <w:widowControl/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14:paraId="38A86609" w14:textId="3E67E682" w:rsidR="00712C1D" w:rsidRDefault="00295AFC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1CF5E7A3" wp14:editId="7F4CBFD2">
            <wp:extent cx="4595253" cy="7696200"/>
            <wp:effectExtent l="0" t="0" r="2540" b="0"/>
            <wp:docPr id="34" name="図 34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グラフ, 折れ線グラフ&#10;&#10;自動的に生成された説明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111" cy="770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2CF96" w14:textId="72D36CCA" w:rsidR="00750452" w:rsidRDefault="00750452">
      <w:pPr>
        <w:rPr>
          <w:rFonts w:ascii="Times New Roman" w:hAnsi="Times New Roman" w:cs="Times New Roman" w:hint="eastAsia"/>
          <w:color w:val="FF0000"/>
        </w:rPr>
      </w:pPr>
      <w:r w:rsidRPr="008424AF">
        <w:rPr>
          <w:rFonts w:hint="eastAsia"/>
          <w:color w:val="000000" w:themeColor="text1"/>
        </w:rPr>
        <w:t>S</w:t>
      </w:r>
      <w:r w:rsidRPr="008424AF">
        <w:rPr>
          <w:color w:val="000000" w:themeColor="text1"/>
        </w:rPr>
        <w:t>6 (c)</w:t>
      </w:r>
      <w:r>
        <w:rPr>
          <w:color w:val="000000" w:themeColor="text1"/>
        </w:rPr>
        <w:t>.</w:t>
      </w:r>
      <w:r w:rsidRPr="008424AF">
        <w:rPr>
          <w:color w:val="000000" w:themeColor="text1"/>
        </w:rPr>
        <w:t xml:space="preserve"> </w:t>
      </w:r>
      <w:r w:rsidRPr="008424AF">
        <w:rPr>
          <w:rFonts w:ascii="Times New Roman" w:hAnsi="Times New Roman" w:cs="Times New Roman"/>
          <w:color w:val="000000" w:themeColor="text1"/>
        </w:rPr>
        <w:t xml:space="preserve">The response curves of </w:t>
      </w:r>
      <w:r w:rsidRPr="008424AF">
        <w:rPr>
          <w:rFonts w:ascii="Times New Roman" w:eastAsia="游明朝" w:hAnsi="Times New Roman" w:cs="Times New Roman"/>
          <w:color w:val="000000" w:themeColor="text1"/>
        </w:rPr>
        <w:t>the full impedance</w:t>
      </w:r>
      <w:r w:rsidRPr="008424AF">
        <w:rPr>
          <w:rFonts w:ascii="Times New Roman" w:hAnsi="Times New Roman" w:cs="Times New Roman"/>
          <w:color w:val="000000" w:themeColor="text1"/>
        </w:rPr>
        <w:t xml:space="preserve"> components at </w:t>
      </w:r>
      <w:r w:rsidRPr="008424AF">
        <w:rPr>
          <w:rFonts w:ascii="Times New Roman" w:eastAsia="游明朝" w:hAnsi="Times New Roman" w:cs="Times New Roman"/>
          <w:color w:val="000000" w:themeColor="text1"/>
        </w:rPr>
        <w:t>site</w:t>
      </w:r>
      <w:r w:rsidRPr="008424AF">
        <w:rPr>
          <w:rFonts w:ascii="Times New Roman" w:hAnsi="Times New Roman" w:cs="Times New Roman"/>
          <w:color w:val="000000" w:themeColor="text1"/>
        </w:rPr>
        <w:t xml:space="preserve"> M07, M08 and 180A when the bulk resistivity value and the thickness of Ca </w:t>
      </w:r>
      <w:r w:rsidRPr="008424AF">
        <w:rPr>
          <w:rFonts w:ascii="Times New Roman" w:eastAsia="游明朝" w:hAnsi="Times New Roman" w:cs="Times New Roman"/>
          <w:color w:val="000000" w:themeColor="text1"/>
        </w:rPr>
        <w:t>were</w:t>
      </w:r>
      <w:r w:rsidRPr="008424AF">
        <w:rPr>
          <w:rFonts w:ascii="Times New Roman" w:hAnsi="Times New Roman" w:cs="Times New Roman"/>
          <w:color w:val="000000" w:themeColor="text1"/>
        </w:rPr>
        <w:t xml:space="preserve"> varied.</w:t>
      </w:r>
    </w:p>
    <w:p w14:paraId="164182F4" w14:textId="38864913" w:rsidR="00712C1D" w:rsidRPr="00295AFC" w:rsidRDefault="00295AFC" w:rsidP="00295AFC">
      <w:pPr>
        <w:widowControl/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noProof/>
          <w:color w:val="FF0000"/>
        </w:rPr>
        <w:lastRenderedPageBreak/>
        <w:drawing>
          <wp:inline distT="0" distB="0" distL="0" distR="0" wp14:anchorId="12AE2264" wp14:editId="2C1092AE">
            <wp:extent cx="4961570" cy="4326340"/>
            <wp:effectExtent l="0" t="0" r="4445" b="4445"/>
            <wp:docPr id="35" name="図 3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グラフ&#10;&#10;自動的に生成された説明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311" cy="432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32308" w14:textId="025ADCC0" w:rsidR="00712C1D" w:rsidRPr="008424AF" w:rsidRDefault="00712C1D">
      <w:pPr>
        <w:rPr>
          <w:color w:val="000000" w:themeColor="text1"/>
        </w:rPr>
      </w:pPr>
      <w:r w:rsidRPr="008424AF">
        <w:rPr>
          <w:rFonts w:hint="eastAsia"/>
          <w:color w:val="000000" w:themeColor="text1"/>
        </w:rPr>
        <w:t>S</w:t>
      </w:r>
      <w:r w:rsidR="00FF23BA" w:rsidRPr="008424AF">
        <w:rPr>
          <w:color w:val="000000" w:themeColor="text1"/>
        </w:rPr>
        <w:t>6</w:t>
      </w:r>
      <w:r w:rsidRPr="008424AF">
        <w:rPr>
          <w:color w:val="000000" w:themeColor="text1"/>
        </w:rPr>
        <w:t xml:space="preserve"> (c)</w:t>
      </w:r>
      <w:r w:rsidR="00750452" w:rsidRPr="008424AF">
        <w:rPr>
          <w:color w:val="000000" w:themeColor="text1"/>
        </w:rPr>
        <w:t>. (continued).</w:t>
      </w:r>
    </w:p>
    <w:p w14:paraId="5932D014" w14:textId="132DDD8D" w:rsidR="00511EE0" w:rsidRDefault="00511EE0" w:rsidP="00045374">
      <w:pPr>
        <w:widowControl/>
        <w:jc w:val="left"/>
      </w:pPr>
      <w:r>
        <w:br w:type="page"/>
      </w:r>
    </w:p>
    <w:p w14:paraId="6835C8ED" w14:textId="618167B2" w:rsidR="00511EE0" w:rsidRPr="00045374" w:rsidRDefault="00295AFC">
      <w:r>
        <w:rPr>
          <w:noProof/>
        </w:rPr>
        <w:lastRenderedPageBreak/>
        <w:drawing>
          <wp:inline distT="0" distB="0" distL="0" distR="0" wp14:anchorId="3C73F0E7" wp14:editId="74C0A50F">
            <wp:extent cx="5396230" cy="3817620"/>
            <wp:effectExtent l="0" t="0" r="1270" b="5080"/>
            <wp:docPr id="36" name="図 36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C5BB0" w14:textId="22F3CF6F" w:rsidR="00A41A10" w:rsidRDefault="00511EE0">
      <w:r>
        <w:rPr>
          <w:rFonts w:hint="eastAsia"/>
        </w:rPr>
        <w:t>S</w:t>
      </w:r>
      <w:r w:rsidR="00045D6C">
        <w:t>7</w:t>
      </w:r>
      <w:r>
        <w:t>. The best-fit resistivity model sliced at 0 km</w:t>
      </w:r>
      <w:r w:rsidR="00FD3C45">
        <w:t xml:space="preserve"> BSL</w:t>
      </w:r>
      <w:r>
        <w:t>.</w:t>
      </w:r>
      <w:r w:rsidR="00C678CE">
        <w:t xml:space="preserve"> The low resistivity anomalies appeared in the lakeside south shore of Lake Akan and the region around of Mt. </w:t>
      </w:r>
      <w:proofErr w:type="spellStart"/>
      <w:r w:rsidR="00C678CE">
        <w:t>Fuppushidake</w:t>
      </w:r>
      <w:proofErr w:type="spellEnd"/>
      <w:r w:rsidR="00C678CE">
        <w:t>.</w:t>
      </w:r>
      <w:r w:rsidR="008424AF" w:rsidRPr="008424AF">
        <w:t xml:space="preserve"> </w:t>
      </w:r>
      <w:r w:rsidR="008424AF" w:rsidRPr="00D3315C">
        <w:rPr>
          <w:color w:val="000000" w:themeColor="text1"/>
        </w:rPr>
        <w:t>The white dashed line indicates three low gravity anomalies</w:t>
      </w:r>
      <w:r w:rsidR="00A359FC" w:rsidRPr="00D3315C">
        <w:rPr>
          <w:color w:val="000000" w:themeColor="text1"/>
        </w:rPr>
        <w:t xml:space="preserve"> </w:t>
      </w:r>
      <w:r w:rsidR="00A359FC">
        <w:t>(Hasegawa et al., 2009).</w:t>
      </w:r>
    </w:p>
    <w:p w14:paraId="4F1C8C2F" w14:textId="77777777" w:rsidR="00A41A10" w:rsidRDefault="00A41A10">
      <w:pPr>
        <w:widowControl/>
        <w:jc w:val="left"/>
      </w:pPr>
      <w:r>
        <w:br w:type="page"/>
      </w:r>
    </w:p>
    <w:p w14:paraId="0685BEEF" w14:textId="0EFC1B4A" w:rsidR="00511EE0" w:rsidRDefault="00295AFC">
      <w:r>
        <w:rPr>
          <w:noProof/>
        </w:rPr>
        <w:lastRenderedPageBreak/>
        <w:drawing>
          <wp:inline distT="0" distB="0" distL="0" distR="0" wp14:anchorId="78AF9469" wp14:editId="126D1773">
            <wp:extent cx="5396230" cy="2291080"/>
            <wp:effectExtent l="0" t="0" r="1270" b="0"/>
            <wp:docPr id="38" name="図 3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グラフ&#10;&#10;自動的に生成された説明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E234" w14:textId="6722F1F6" w:rsidR="008B66F7" w:rsidRDefault="00A41A10">
      <w:pPr>
        <w:rPr>
          <w:rFonts w:asciiTheme="minorEastAsia" w:hAnsiTheme="minorEastAsia"/>
        </w:rPr>
      </w:pPr>
      <w:r>
        <w:rPr>
          <w:rFonts w:hint="eastAsia"/>
        </w:rPr>
        <w:t>S</w:t>
      </w:r>
      <w:r w:rsidR="00045D6C">
        <w:t>8</w:t>
      </w:r>
      <w:r>
        <w:t>. Comparison between our MT model and the electrical well logging by NEDO (1992) at the drilling site shown as a cross symbol in Fig. 1.</w:t>
      </w:r>
      <w:r>
        <w:rPr>
          <w:rFonts w:asciiTheme="minorEastAsia" w:hAnsiTheme="minorEastAsia"/>
        </w:rPr>
        <w:t xml:space="preserve"> The montmorillonite/chlorite zone reported in NEDO (1992) is hatched.</w:t>
      </w:r>
    </w:p>
    <w:p w14:paraId="7B159385" w14:textId="2D11BA6E" w:rsidR="008B66F7" w:rsidRPr="008B66F7" w:rsidRDefault="008B66F7" w:rsidP="009A500B">
      <w:pPr>
        <w:widowControl/>
        <w:jc w:val="left"/>
        <w:rPr>
          <w:rFonts w:asciiTheme="minorEastAsia" w:hAnsiTheme="minorEastAsia"/>
        </w:rPr>
      </w:pPr>
    </w:p>
    <w:sectPr w:rsidR="008B66F7" w:rsidRPr="008B66F7" w:rsidSect="00E7134B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29"/>
    <w:rsid w:val="00000815"/>
    <w:rsid w:val="00023FDF"/>
    <w:rsid w:val="00045374"/>
    <w:rsid w:val="00045D6C"/>
    <w:rsid w:val="00054823"/>
    <w:rsid w:val="000A149F"/>
    <w:rsid w:val="001458BB"/>
    <w:rsid w:val="001754BC"/>
    <w:rsid w:val="001A62E6"/>
    <w:rsid w:val="001D2757"/>
    <w:rsid w:val="00205E29"/>
    <w:rsid w:val="00262C91"/>
    <w:rsid w:val="00295AFC"/>
    <w:rsid w:val="00325B9C"/>
    <w:rsid w:val="003651B7"/>
    <w:rsid w:val="003C37FC"/>
    <w:rsid w:val="00472784"/>
    <w:rsid w:val="004756F6"/>
    <w:rsid w:val="004D314F"/>
    <w:rsid w:val="004F0C1B"/>
    <w:rsid w:val="004F2017"/>
    <w:rsid w:val="00511EE0"/>
    <w:rsid w:val="00555BC3"/>
    <w:rsid w:val="00566058"/>
    <w:rsid w:val="005E67FA"/>
    <w:rsid w:val="006228FE"/>
    <w:rsid w:val="0064585B"/>
    <w:rsid w:val="006F722A"/>
    <w:rsid w:val="00712C1D"/>
    <w:rsid w:val="00750452"/>
    <w:rsid w:val="0076543D"/>
    <w:rsid w:val="007909C3"/>
    <w:rsid w:val="007E33E3"/>
    <w:rsid w:val="007E7032"/>
    <w:rsid w:val="00813E1F"/>
    <w:rsid w:val="008424AF"/>
    <w:rsid w:val="00865780"/>
    <w:rsid w:val="008B66F7"/>
    <w:rsid w:val="008E2CBA"/>
    <w:rsid w:val="00921211"/>
    <w:rsid w:val="00956AFA"/>
    <w:rsid w:val="00967A78"/>
    <w:rsid w:val="009A500B"/>
    <w:rsid w:val="00A135EF"/>
    <w:rsid w:val="00A32445"/>
    <w:rsid w:val="00A359FC"/>
    <w:rsid w:val="00A41A10"/>
    <w:rsid w:val="00A461B9"/>
    <w:rsid w:val="00A641FC"/>
    <w:rsid w:val="00AC7F6A"/>
    <w:rsid w:val="00AF30DE"/>
    <w:rsid w:val="00B13F58"/>
    <w:rsid w:val="00BE28B0"/>
    <w:rsid w:val="00C678CE"/>
    <w:rsid w:val="00D22772"/>
    <w:rsid w:val="00D3315C"/>
    <w:rsid w:val="00D463FA"/>
    <w:rsid w:val="00D52CEB"/>
    <w:rsid w:val="00D8502E"/>
    <w:rsid w:val="00D91896"/>
    <w:rsid w:val="00D9353F"/>
    <w:rsid w:val="00DE3DA1"/>
    <w:rsid w:val="00E112B5"/>
    <w:rsid w:val="00E26CEB"/>
    <w:rsid w:val="00E57E0F"/>
    <w:rsid w:val="00E7134B"/>
    <w:rsid w:val="00E75763"/>
    <w:rsid w:val="00EF25A1"/>
    <w:rsid w:val="00F039D7"/>
    <w:rsid w:val="00F37151"/>
    <w:rsid w:val="00FD1AD0"/>
    <w:rsid w:val="00FD2967"/>
    <w:rsid w:val="00FD3C45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8B033"/>
  <w15:chartTrackingRefBased/>
  <w15:docId w15:val="{60CBE6DE-DE2A-9646-9B78-EFBA01D9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emf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智裕</dc:creator>
  <cp:keywords/>
  <dc:description/>
  <cp:lastModifiedBy>井上　智裕</cp:lastModifiedBy>
  <cp:revision>55</cp:revision>
  <dcterms:created xsi:type="dcterms:W3CDTF">2021-04-03T06:39:00Z</dcterms:created>
  <dcterms:modified xsi:type="dcterms:W3CDTF">2022-07-19T05:17:00Z</dcterms:modified>
</cp:coreProperties>
</file>