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B9C96" w14:textId="4F01907B" w:rsidR="002A463E" w:rsidRPr="004D3319" w:rsidRDefault="002A463E" w:rsidP="002A463E">
      <w:pPr>
        <w:jc w:val="center"/>
        <w:rPr>
          <w:rFonts w:ascii="Times New Roman" w:hAnsi="Times New Roman" w:cs="Times New Roman"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Additional </w:t>
      </w:r>
      <w:r w:rsidR="00024507" w:rsidRPr="004D3319">
        <w:rPr>
          <w:rFonts w:ascii="Times New Roman" w:hAnsi="Times New Roman" w:cs="Times New Roman"/>
          <w:color w:val="000000" w:themeColor="text1"/>
          <w:kern w:val="0"/>
        </w:rPr>
        <w:t>file</w:t>
      </w:r>
    </w:p>
    <w:p w14:paraId="3DEA86B8" w14:textId="47FCECD7" w:rsidR="00FF3A07" w:rsidRPr="004D3319" w:rsidRDefault="008B141C" w:rsidP="00FF3A07">
      <w:pPr>
        <w:spacing w:line="480" w:lineRule="auto"/>
        <w:jc w:val="left"/>
        <w:rPr>
          <w:rFonts w:ascii="Times New Roman" w:hAnsi="Times New Roman"/>
          <w:b/>
          <w:color w:val="000000" w:themeColor="text1"/>
        </w:rPr>
      </w:pPr>
      <w:r w:rsidRPr="004D3319">
        <w:rPr>
          <w:rFonts w:ascii="Times New Roman" w:hAnsi="Times New Roman" w:cs="Times New Roman"/>
          <w:b/>
          <w:color w:val="000000" w:themeColor="text1"/>
        </w:rPr>
        <w:t xml:space="preserve">Middle </w:t>
      </w:r>
      <w:r w:rsidR="002A463E" w:rsidRPr="004D3319">
        <w:rPr>
          <w:rFonts w:ascii="Times New Roman" w:hAnsi="Times New Roman" w:cs="Times New Roman"/>
          <w:b/>
          <w:color w:val="000000" w:themeColor="text1"/>
        </w:rPr>
        <w:t xml:space="preserve">Miocene Alkaline Magmatism in Amami-Oshima Island, </w:t>
      </w:r>
      <w:r w:rsidR="00F544AA" w:rsidRPr="004D3319">
        <w:rPr>
          <w:rFonts w:ascii="Times New Roman" w:hAnsi="Times New Roman" w:cs="Times New Roman"/>
          <w:b/>
          <w:color w:val="000000" w:themeColor="text1"/>
        </w:rPr>
        <w:t>c</w:t>
      </w:r>
      <w:r w:rsidR="002A463E" w:rsidRPr="004D3319">
        <w:rPr>
          <w:rFonts w:ascii="Times New Roman" w:hAnsi="Times New Roman" w:cs="Times New Roman"/>
          <w:b/>
          <w:color w:val="000000" w:themeColor="text1"/>
        </w:rPr>
        <w:t>entral Ryukyu Arc</w:t>
      </w:r>
      <w:r w:rsidR="00FF3A07" w:rsidRPr="004D3319">
        <w:rPr>
          <w:rFonts w:ascii="Times New Roman" w:hAnsi="Times New Roman"/>
          <w:b/>
          <w:color w:val="000000" w:themeColor="text1"/>
        </w:rPr>
        <w:t xml:space="preserve">: Implications for </w:t>
      </w:r>
      <w:r w:rsidR="00F544AA" w:rsidRPr="004D3319">
        <w:rPr>
          <w:rFonts w:ascii="Times New Roman" w:hAnsi="Times New Roman"/>
          <w:b/>
          <w:color w:val="000000" w:themeColor="text1"/>
        </w:rPr>
        <w:t>P</w:t>
      </w:r>
      <w:r w:rsidR="00FF3A07" w:rsidRPr="004D3319">
        <w:rPr>
          <w:rFonts w:ascii="Times New Roman" w:hAnsi="Times New Roman"/>
          <w:b/>
          <w:color w:val="000000" w:themeColor="text1"/>
        </w:rPr>
        <w:t>aleoreconstruction of Shikoku Basin</w:t>
      </w:r>
      <w:bookmarkStart w:id="0" w:name="_GoBack"/>
      <w:bookmarkEnd w:id="0"/>
    </w:p>
    <w:p w14:paraId="587B8560" w14:textId="693F1AD5" w:rsidR="002A463E" w:rsidRPr="004D3319" w:rsidRDefault="002A463E" w:rsidP="002A463E">
      <w:pPr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7D6C476" w14:textId="4DBFDEC9" w:rsidR="00A33AA8" w:rsidRPr="004D3319" w:rsidRDefault="002A463E" w:rsidP="002A463E">
      <w:pPr>
        <w:jc w:val="left"/>
        <w:rPr>
          <w:rFonts w:ascii="Times New Roman" w:hAnsi="Times New Roman" w:cs="Times New Roman"/>
          <w:color w:val="000000" w:themeColor="text1"/>
          <w:kern w:val="0"/>
          <w:vertAlign w:val="superscript"/>
        </w:rPr>
      </w:pPr>
      <w:r w:rsidRPr="004D3319">
        <w:rPr>
          <w:rFonts w:ascii="Times New Roman" w:hAnsi="Times New Roman" w:cs="Times New Roman"/>
          <w:color w:val="000000" w:themeColor="text1"/>
          <w:kern w:val="0"/>
        </w:rPr>
        <w:t>Ginta Motohashi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1,2</w:t>
      </w:r>
      <w:r w:rsidR="00150B14"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, 3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, Osamu Ishizuka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2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, Hirokuni Oda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2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, Takashi Sano</w:t>
      </w:r>
      <w:r w:rsidR="00150B14"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4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, </w:t>
      </w:r>
      <w:r w:rsidR="00503731" w:rsidRPr="004D3319">
        <w:rPr>
          <w:rFonts w:ascii="Times New Roman" w:hAnsi="Times New Roman" w:cs="Times New Roman"/>
          <w:color w:val="000000" w:themeColor="text1"/>
          <w:kern w:val="0"/>
        </w:rPr>
        <w:t>Shun Sekimoto</w:t>
      </w:r>
      <w:r w:rsidR="00503731"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5</w:t>
      </w:r>
      <w:r w:rsidR="00503731" w:rsidRPr="004D3319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Kohtaro Ujiie</w:t>
      </w:r>
      <w:r w:rsidR="00503731"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6</w:t>
      </w:r>
    </w:p>
    <w:p w14:paraId="468DA442" w14:textId="77777777" w:rsidR="00A33AA8" w:rsidRPr="004D3319" w:rsidRDefault="00A33AA8" w:rsidP="002A463E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4DC48029" w14:textId="17E7F7F5" w:rsidR="00150B14" w:rsidRPr="004D3319" w:rsidRDefault="002A463E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vertAlign w:val="superscript"/>
        </w:rPr>
        <w:t>1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Graduate school of Life and Environmental Sciences, University of Tsukuba, Tsukuba, Japan.</w:t>
      </w:r>
    </w:p>
    <w:p w14:paraId="262C2292" w14:textId="18ADFF90" w:rsidR="002A463E" w:rsidRPr="004D3319" w:rsidRDefault="002A463E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color w:val="000000" w:themeColor="text1"/>
          <w:vertAlign w:val="superscript"/>
        </w:rPr>
        <w:t>2</w:t>
      </w:r>
      <w:r w:rsidR="00150B14" w:rsidRPr="004D3319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Geological Survey of Japan, National Institute of Advanced Industrial Science and Technology, Tsukuba, Japan.</w:t>
      </w:r>
    </w:p>
    <w:p w14:paraId="41014F3A" w14:textId="65B3B596" w:rsidR="00150B14" w:rsidRPr="004D3319" w:rsidRDefault="00150B14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color w:val="000000" w:themeColor="text1"/>
          <w:vertAlign w:val="superscript"/>
        </w:rPr>
        <w:t xml:space="preserve">3 </w:t>
      </w:r>
      <w:r w:rsidRPr="004D3319">
        <w:rPr>
          <w:rFonts w:ascii="Times New Roman" w:hAnsi="Times New Roman" w:cs="Times New Roman"/>
          <w:color w:val="000000" w:themeColor="text1"/>
        </w:rPr>
        <w:t>INPEX Corporation, Akasaka, Japan.</w:t>
      </w:r>
    </w:p>
    <w:p w14:paraId="07996AE6" w14:textId="38230DB2" w:rsidR="002A463E" w:rsidRPr="004D3319" w:rsidRDefault="00150B14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color w:val="000000" w:themeColor="text1"/>
          <w:vertAlign w:val="superscript"/>
        </w:rPr>
        <w:t xml:space="preserve">4 </w:t>
      </w:r>
      <w:r w:rsidR="00813100" w:rsidRPr="004D3319">
        <w:rPr>
          <w:rFonts w:ascii="Times New Roman" w:hAnsi="Times New Roman" w:cs="Times New Roman"/>
          <w:color w:val="000000" w:themeColor="text1"/>
        </w:rPr>
        <w:t>Department of Geology and Paleontology, N</w:t>
      </w:r>
      <w:r w:rsidR="002A463E" w:rsidRPr="004D3319">
        <w:rPr>
          <w:rFonts w:ascii="Times New Roman" w:hAnsi="Times New Roman" w:cs="Times New Roman"/>
          <w:color w:val="000000" w:themeColor="text1"/>
        </w:rPr>
        <w:t>ational Museum of Nature and Science, Tsukuba, Japan.</w:t>
      </w:r>
    </w:p>
    <w:p w14:paraId="024C8D61" w14:textId="71DC7319" w:rsidR="00503731" w:rsidRPr="004D3319" w:rsidRDefault="00503731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color w:val="000000" w:themeColor="text1"/>
          <w:vertAlign w:val="superscript"/>
        </w:rPr>
        <w:t xml:space="preserve">5 </w:t>
      </w:r>
      <w:r w:rsidRPr="004D3319">
        <w:rPr>
          <w:rFonts w:ascii="Times New Roman" w:hAnsi="Times New Roman" w:cs="Times New Roman"/>
          <w:color w:val="000000" w:themeColor="text1"/>
          <w:lang w:val="de-LI"/>
        </w:rPr>
        <w:t>Institute for Integrated Radiation and Nuclear Science, Kyoto University, Osaka, Japan.</w:t>
      </w:r>
    </w:p>
    <w:p w14:paraId="23A6BF77" w14:textId="4750D5FB" w:rsidR="002A463E" w:rsidRPr="004D3319" w:rsidRDefault="00503731" w:rsidP="002A463E">
      <w:pPr>
        <w:jc w:val="left"/>
        <w:rPr>
          <w:rFonts w:ascii="Times New Roman" w:hAnsi="Times New Roman" w:cs="Times New Roman"/>
          <w:color w:val="000000" w:themeColor="text1"/>
        </w:rPr>
      </w:pPr>
      <w:r w:rsidRPr="004D3319">
        <w:rPr>
          <w:rFonts w:ascii="Times New Roman" w:hAnsi="Times New Roman" w:cs="Times New Roman"/>
          <w:color w:val="000000" w:themeColor="text1"/>
          <w:vertAlign w:val="superscript"/>
        </w:rPr>
        <w:t>6</w:t>
      </w:r>
      <w:r w:rsidR="00150B14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="002A463E" w:rsidRPr="004D3319">
        <w:rPr>
          <w:rFonts w:ascii="Times New Roman" w:hAnsi="Times New Roman" w:cs="Times New Roman"/>
          <w:color w:val="000000" w:themeColor="text1"/>
        </w:rPr>
        <w:t>Faculty of Life and Environmental Sciences, University of Tsukuba, Tsukuba, Japan.</w:t>
      </w:r>
    </w:p>
    <w:p w14:paraId="2037997C" w14:textId="766CE06A" w:rsidR="002A463E" w:rsidRPr="004D3319" w:rsidRDefault="002A463E" w:rsidP="002A463E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49EA2F3A" w14:textId="77777777" w:rsidR="00A33AA8" w:rsidRPr="004D3319" w:rsidRDefault="00A33AA8" w:rsidP="002A463E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4675C403" w14:textId="2B2C83E5" w:rsidR="000C68F3" w:rsidRPr="004D3319" w:rsidRDefault="000C68F3" w:rsidP="002A463E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  <w:r w:rsidRPr="004D3319">
        <w:rPr>
          <w:rFonts w:ascii="Times New Roman" w:hAnsi="Times New Roman" w:cs="Times New Roman" w:hint="eastAsia"/>
          <w:color w:val="000000" w:themeColor="text1"/>
          <w:kern w:val="0"/>
        </w:rPr>
        <w:t>C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orresponding author: Ginta Motohashi (motohashi.ginta.md@alumni.tsukuba.ac.jp)</w:t>
      </w:r>
    </w:p>
    <w:p w14:paraId="274DB48D" w14:textId="32FF5FDB" w:rsidR="000C68F3" w:rsidRPr="004D3319" w:rsidRDefault="000C68F3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0A0D12AE" w14:textId="77777777" w:rsidR="00A33AA8" w:rsidRPr="004D3319" w:rsidRDefault="00A33AA8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01BD4AA5" w14:textId="67767E8C" w:rsidR="002A463E" w:rsidRPr="004D3319" w:rsidRDefault="002A463E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Additional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file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Text</w:t>
      </w:r>
    </w:p>
    <w:p w14:paraId="7F707366" w14:textId="1FE11DC2" w:rsidR="002A463E" w:rsidRPr="004D3319" w:rsidRDefault="002A463E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Text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S1</w:t>
      </w:r>
      <w:r w:rsidR="009E26D5" w:rsidRPr="004D3319">
        <w:rPr>
          <w:rFonts w:ascii="Times New Roman" w:hAnsi="Times New Roman" w:cs="Times New Roman"/>
          <w:b/>
          <w:color w:val="000000" w:themeColor="text1"/>
          <w:kern w:val="0"/>
        </w:rPr>
        <w:t>–</w:t>
      </w:r>
      <w:r w:rsidR="009E26D5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="00DA3315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3</w:t>
      </w:r>
    </w:p>
    <w:p w14:paraId="673C2F6B" w14:textId="3534F3FC" w:rsidR="004C0B55" w:rsidRPr="004D3319" w:rsidRDefault="004C0B55" w:rsidP="004C0B55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Additional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file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Figure</w:t>
      </w:r>
    </w:p>
    <w:p w14:paraId="20CF35BD" w14:textId="17D34A96" w:rsidR="004C0B55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Figure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S1</w:t>
      </w:r>
      <w:r w:rsidRPr="004D3319">
        <w:rPr>
          <w:rFonts w:ascii="Times New Roman" w:hAnsi="Times New Roman" w:cs="Times New Roman"/>
          <w:b/>
          <w:color w:val="000000" w:themeColor="text1"/>
          <w:kern w:val="0"/>
        </w:rPr>
        <w:t>–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S9</w:t>
      </w:r>
    </w:p>
    <w:p w14:paraId="0103DD73" w14:textId="4B80DA1F" w:rsidR="002A463E" w:rsidRPr="004D3319" w:rsidRDefault="002A463E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Additional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file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Table </w:t>
      </w:r>
    </w:p>
    <w:p w14:paraId="60307070" w14:textId="293CAD5B" w:rsidR="002A463E" w:rsidRPr="004D3319" w:rsidRDefault="002A463E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Table</w:t>
      </w:r>
      <w:r w:rsidR="00024507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S1</w:t>
      </w:r>
      <w:r w:rsidR="009E26D5" w:rsidRPr="004D3319">
        <w:rPr>
          <w:rFonts w:ascii="Times New Roman" w:hAnsi="Times New Roman" w:cs="Times New Roman"/>
          <w:b/>
          <w:color w:val="000000" w:themeColor="text1"/>
          <w:kern w:val="0"/>
        </w:rPr>
        <w:t>–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="001875BA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5</w:t>
      </w:r>
    </w:p>
    <w:p w14:paraId="2DBDAD4D" w14:textId="1BC38A6E" w:rsidR="00A33AA8" w:rsidRPr="004D3319" w:rsidRDefault="00A33AA8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37A25675" w14:textId="0481F476" w:rsidR="00A33AA8" w:rsidRPr="004D3319" w:rsidRDefault="004D3319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proofErr w:type="gramStart"/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</w:t>
      </w:r>
      <w:proofErr w:type="gramEnd"/>
    </w:p>
    <w:p w14:paraId="1A8D988C" w14:textId="77777777" w:rsidR="004C0B55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</w:p>
    <w:p w14:paraId="7BD1995C" w14:textId="1E537E26" w:rsidR="002A463E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S1 Methods</w:t>
      </w:r>
    </w:p>
    <w:p w14:paraId="00BBED7B" w14:textId="5D2AB418" w:rsidR="007E337C" w:rsidRPr="004D3319" w:rsidRDefault="004C0B55" w:rsidP="007E337C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S1-1. 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  <w:vertAlign w:val="superscript"/>
        </w:rPr>
        <w:t>40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Ar-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  <w:vertAlign w:val="superscript"/>
        </w:rPr>
        <w:t>39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Ar dating analyses</w:t>
      </w:r>
    </w:p>
    <w:p w14:paraId="4492328B" w14:textId="46D06796" w:rsidR="007E337C" w:rsidRPr="004D3319" w:rsidRDefault="007E337C" w:rsidP="007E337C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40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Ar/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39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Ar dating was conducted on plagioclase in basaltic dike samples at the Geological Survey of Japan (GSJ Lab.), AIST. Details of the procedures have been reported by Ishizuka et al. (2018). 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Basaltic dike samples (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160–175 g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)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were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disaggregated 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using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 high-voltage electric pulse fragmentation device (SELFRAG Lab) and sieved to 150–350 μm at 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NMNS. 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Ten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g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rams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of the samples were treated in 6N HCl for 30 min at 95 °C while stirring to remove any alteration products (clays and carbonates) present in interstitial spaces. After this treatment, 20–25 mg of fresh plagioclase was handpicked under a m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icroscope. Sample irradiation was performed at the Kyoto University Reactor (KUR) for 10 h at the hydro-irradiation port under 1 MW operation, where </w:t>
      </w:r>
      <w:r w:rsidR="00E05872" w:rsidRPr="004D3319">
        <w:rPr>
          <w:rFonts w:ascii="Times New Roman" w:hAnsi="Times New Roman" w:cs="Times New Roman"/>
          <w:color w:val="000000" w:themeColor="text1"/>
          <w:kern w:val="0"/>
        </w:rPr>
        <w:t xml:space="preserve">the 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thermal and fast neutron fluxes </w:t>
      </w:r>
      <w:r w:rsidR="00E05872" w:rsidRPr="004D3319">
        <w:rPr>
          <w:rFonts w:ascii="Times New Roman" w:hAnsi="Times New Roman" w:cs="Times New Roman"/>
          <w:color w:val="000000" w:themeColor="text1"/>
          <w:kern w:val="0"/>
        </w:rPr>
        <w:t>we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re 1.6 </w:t>
      </w:r>
      <w:r w:rsidR="00E05872" w:rsidRPr="004D3319">
        <w:rPr>
          <w:rFonts w:ascii="Times New Roman" w:hAnsi="Times New Roman" w:cs="Times New Roman"/>
          <w:color w:val="000000" w:themeColor="text1"/>
          <w:kern w:val="0"/>
        </w:rPr>
        <w:t>×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10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13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and 7.8 </w:t>
      </w:r>
      <w:r w:rsidR="00E05872" w:rsidRPr="004D3319">
        <w:rPr>
          <w:rFonts w:ascii="Times New Roman" w:hAnsi="Times New Roman" w:cs="Times New Roman"/>
          <w:color w:val="000000" w:themeColor="text1"/>
          <w:kern w:val="0"/>
        </w:rPr>
        <w:t>×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10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12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n/ cm</w:t>
      </w:r>
      <w:r w:rsidRPr="004D3319">
        <w:rPr>
          <w:rFonts w:ascii="Times New Roman" w:hAnsi="Times New Roman" w:cs="Times New Roman"/>
          <w:color w:val="000000" w:themeColor="text1"/>
          <w:kern w:val="0"/>
          <w:vertAlign w:val="superscript"/>
        </w:rPr>
        <w:t>2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s, respectively. Sanidine separated from the Fish Canyon Tuff (FC3) was used for</w:t>
      </w:r>
      <w:r w:rsidR="00E05872" w:rsidRPr="004D3319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flux mon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itor</w:t>
      </w:r>
      <w:r w:rsidR="00E05872" w:rsidRPr="004D3319">
        <w:rPr>
          <w:rFonts w:ascii="Times New Roman" w:hAnsi="Times New Roman" w:cs="Times New Roman"/>
          <w:bCs/>
          <w:color w:val="000000" w:themeColor="text1"/>
          <w:kern w:val="0"/>
        </w:rPr>
        <w:t>ing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and assigned an age of 27.5 Ma (Lanphere 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>and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Baadsgaard, 2001). </w:t>
      </w:r>
    </w:p>
    <w:p w14:paraId="37A9D471" w14:textId="473F5067" w:rsidR="007E337C" w:rsidRPr="004D3319" w:rsidRDefault="007E337C" w:rsidP="007E337C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 CO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bscript"/>
        </w:rPr>
        <w:t>2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laser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heating system (NEWWAVE MIR10-30) was used for sample heating. Argon isotopes were measured in 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>the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peak-jumping mode on an IsotopX NGX noble gas mass spectrometer fitted with a Hamamatsu Photonics R4146 secondary electron multiplier. Correction for interfering isotopes was achieved by analy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>zing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CaF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bscript"/>
        </w:rPr>
        <w:t>2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and KFeSiO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bscript"/>
        </w:rPr>
        <w:t>4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glasses irradiated with the samples. The blank of the system including the mass spectrometer and the extraction line was 2.9 × 10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-14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ml STP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36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Ar, 1.4 × 10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-13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ml STP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37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Ar, 1.0 × 10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-14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ml STP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38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Ar, 1.2 × 10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-14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ml STP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39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and 1.9 × 10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-12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ml STP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40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Ar. 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>A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blank analysis was 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performed for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every 2 or 3 step analyses. All errors for</w:t>
      </w:r>
      <w:r w:rsidR="0065065B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40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Ar/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perscript"/>
        </w:rPr>
        <w:t>39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Ar results are reported at one standard deviation. Errors </w:t>
      </w:r>
      <w:r w:rsidR="0052236F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in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ages include analytical uncertainties for Ar isotope analysis, correction for interfering isotopes</w:t>
      </w:r>
      <w:r w:rsidR="0052236F" w:rsidRPr="004D3319">
        <w:rPr>
          <w:rFonts w:ascii="Times New Roman" w:hAnsi="Times New Roman" w:cs="Times New Roman"/>
          <w:bCs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and J value estimation. An error of 0.5% was assigned to</w:t>
      </w:r>
      <w:r w:rsidR="0052236F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J</w:t>
      </w:r>
      <w:r w:rsidR="0052236F" w:rsidRPr="004D3319">
        <w:rPr>
          <w:rFonts w:ascii="Times New Roman" w:eastAsia="MS Mincho" w:hAnsi="Times New Roman" w:cs="Times New Roman"/>
          <w:bCs/>
          <w:color w:val="000000" w:themeColor="text1"/>
          <w:kern w:val="0"/>
        </w:rPr>
        <w:t>-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values as a pooled estimate.</w:t>
      </w:r>
    </w:p>
    <w:p w14:paraId="0947BF1B" w14:textId="44E6796B" w:rsidR="007E337C" w:rsidRPr="004D3319" w:rsidRDefault="007E337C" w:rsidP="007E337C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Plateau ages were calculated as weighted means of</w:t>
      </w:r>
      <w:r w:rsidR="00B41049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ages of plateau</w:t>
      </w:r>
      <w:r w:rsidR="00B41049" w:rsidRPr="004D3319">
        <w:rPr>
          <w:rFonts w:ascii="Times New Roman" w:eastAsia="MS Mincho" w:hAnsi="Times New Roman" w:cs="Times New Roman"/>
          <w:bCs/>
          <w:color w:val="000000" w:themeColor="text1"/>
          <w:kern w:val="0"/>
        </w:rPr>
        <w:t>-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forming steps, where each age was weighted by the inverse of its variance. </w:t>
      </w:r>
      <w:r w:rsidR="00B41049" w:rsidRPr="004D3319">
        <w:rPr>
          <w:rFonts w:ascii="Times New Roman" w:hAnsi="Times New Roman" w:cs="Times New Roman"/>
          <w:bCs/>
          <w:color w:val="000000" w:themeColor="text1"/>
          <w:kern w:val="0"/>
        </w:rPr>
        <w:t>A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ge plateaus were determined </w:t>
      </w:r>
      <w:r w:rsidR="00B41049" w:rsidRPr="004D3319">
        <w:rPr>
          <w:rFonts w:ascii="Times New Roman" w:hAnsi="Times New Roman" w:cs="Times New Roman"/>
          <w:bCs/>
          <w:color w:val="000000" w:themeColor="text1"/>
          <w:kern w:val="0"/>
        </w:rPr>
        <w:t>according to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 definition </w:t>
      </w:r>
      <w:r w:rsidR="00B41049" w:rsidRPr="004D3319">
        <w:rPr>
          <w:rFonts w:ascii="Times New Roman" w:hAnsi="Times New Roman" w:cs="Times New Roman"/>
          <w:bCs/>
          <w:color w:val="000000" w:themeColor="text1"/>
          <w:kern w:val="0"/>
        </w:rPr>
        <w:t>of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Fleck et al. (1977). Inverse isochrons were calculated using York's least-squares fit, which accommodates errors in both </w:t>
      </w:r>
      <w:r w:rsidR="00B41049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ratios and correlations of errors (York, 1968).</w:t>
      </w:r>
    </w:p>
    <w:p w14:paraId="207B304C" w14:textId="1F0C4DD1" w:rsidR="007E337C" w:rsidRPr="004D3319" w:rsidRDefault="007E337C" w:rsidP="007E337C">
      <w:pPr>
        <w:ind w:firstLine="960"/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361211CF" w14:textId="77777777" w:rsidR="00A33AA8" w:rsidRPr="004D3319" w:rsidRDefault="00A33AA8" w:rsidP="007E337C">
      <w:pPr>
        <w:ind w:firstLine="960"/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12D04383" w14:textId="1DF47CB6" w:rsidR="002A463E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S1-</w:t>
      </w:r>
      <w:r w:rsidR="007E337C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2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. Major and trace element analyses</w:t>
      </w:r>
    </w:p>
    <w:p w14:paraId="3B0DC352" w14:textId="0A57FB74" w:rsidR="002A463E" w:rsidRPr="004D3319" w:rsidRDefault="00B41049" w:rsidP="002A463E">
      <w:pPr>
        <w:ind w:firstLine="960"/>
        <w:jc w:val="left"/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</w:pP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m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ajor and trace elements of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ten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unweathered samples from Naon were determined using a Rigaku ZSX Primus II X–ray fluorescence spectrometer (XRF) at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the 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Tsukuba Research Department of Geology and Paleontology, National Museum of Nature and Science (NMNS), Japan. Selected chips of bulk rock samples were desalinated with hot running water at 50 ℃ for one week to remove any trace of sea water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,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and then washed ultrasonically, twice in ethanol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,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and twice in ultrapure water at 45 ℃ for 10 min. The cleaned chips were dried in an oven at 110 ℃ for 12 h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and then broken into 0.5 cm grains in an iron mortar. Fresh grains were handpicked and crushed in an iron mortar to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millimeter-sized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grains. The crushed grains were ground using a multibead shocker (Yasui Kikai, Osaka, Japan) to obtain a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powder </w:t>
      </w:r>
      <w:r w:rsidR="002A463E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sample. </w:t>
      </w:r>
    </w:p>
    <w:p w14:paraId="1A0AFF0D" w14:textId="454F07B4" w:rsidR="002A463E" w:rsidRPr="004D3319" w:rsidRDefault="002A463E" w:rsidP="002A463E">
      <w:pPr>
        <w:ind w:firstLine="960"/>
        <w:jc w:val="left"/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</w:pP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For trace element analyses, 4.0 g of the powder was pressed into a pellet using a 15-ton hydraulic press. Loss on ignition (LOI) values were determined prior to major element analyses by weighting 0.4–1 g of powder before and after heating to 1025 ℃ for 4 h</w:t>
      </w:r>
      <w:r w:rsidR="00293D60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in an electric maffle furnace. After LOI determination, </w:t>
      </w:r>
      <w:r w:rsidR="00293D60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the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sample powder was mixed with a flux of lithium tetraborate (sample: flux = 1:10 in weight) and fused at 1100 ℃ to obtain the glass beads. </w:t>
      </w:r>
      <w:r w:rsidR="00293D60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abundance of m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ajor element</w:t>
      </w:r>
      <w:r w:rsidR="00293D60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s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was determined </w:t>
      </w:r>
      <w:r w:rsidR="00293D60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using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glass beads. </w:t>
      </w:r>
    </w:p>
    <w:p w14:paraId="32E75C88" w14:textId="0BE1D295" w:rsidR="002A463E" w:rsidRPr="004D3319" w:rsidRDefault="002A463E" w:rsidP="002A463E">
      <w:pPr>
        <w:ind w:firstLine="960"/>
        <w:jc w:val="left"/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</w:pP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Details of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the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sample preparation, analytical methods, and analytical accuracy and precision of XRF analyses have been described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by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Sano et al. (2020).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a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nalytical precision was estimated from repeated analys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e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s of well–established reference standards (JB–1).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The a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ccuracy of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the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calibration lines for the XRF analyses in Sano et al. (2020) w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as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used for analytical errors because their values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we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re higher than the standard deviations of repeated analyses.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m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ajor element contents were normalized on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a volatile-free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basis before plotting and interpretations. </w:t>
      </w:r>
    </w:p>
    <w:p w14:paraId="0E3795C7" w14:textId="304AE14A" w:rsidR="002A463E" w:rsidRPr="004D3319" w:rsidRDefault="002A463E" w:rsidP="00A33AA8">
      <w:pPr>
        <w:ind w:firstLine="960"/>
        <w:jc w:val="left"/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</w:pP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Trace element analyses were also conducted at NMNS, using a quadrupole Agilent 7700 inductively coupled plasma source mass spectrometer (ICP–MS), following the procedure documented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by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Sano et al. (2021).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sample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powder was digested using an acid mixture comprising HF–HClO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vertAlign w:val="subscript"/>
          <w:lang w:eastAsia="en-US"/>
        </w:rPr>
        <w:t>4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–HNO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vertAlign w:val="subscript"/>
          <w:lang w:eastAsia="en-US"/>
        </w:rPr>
        <w:t>3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, and fi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nally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dissol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ved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 in 2% HNO3 plus 0.1% HF spiked with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vertAlign w:val="superscript"/>
          <w:lang w:eastAsia="en-US"/>
        </w:rPr>
        <w:t xml:space="preserve">115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In and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vertAlign w:val="superscript"/>
          <w:lang w:eastAsia="en-US"/>
        </w:rPr>
        <w:t xml:space="preserve">209 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 xml:space="preserve">Bi. These elements were added to standardize the signal for the ICP–MS measurements. 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The a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nalytical precision was estimated from repeated analys</w:t>
      </w:r>
      <w:r w:rsidR="007078EC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e</w:t>
      </w:r>
      <w:r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s of well–established reference standards (JB–1a).</w:t>
      </w:r>
    </w:p>
    <w:p w14:paraId="173CFAD2" w14:textId="77777777" w:rsidR="007078EC" w:rsidRPr="004D3319" w:rsidRDefault="007078EC" w:rsidP="00A33AA8">
      <w:pPr>
        <w:ind w:firstLine="960"/>
        <w:jc w:val="left"/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</w:pPr>
    </w:p>
    <w:p w14:paraId="7631F851" w14:textId="678C714C" w:rsidR="002A463E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S1-3. Paleomagnetic measurements</w:t>
      </w:r>
    </w:p>
    <w:p w14:paraId="4526AB61" w14:textId="27992B98" w:rsidR="002A463E" w:rsidRPr="004D3319" w:rsidRDefault="007078EC" w:rsidP="002A463E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The n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atural remanent magnetization of the specimens was measured using a spinner magnetometer (ASPIN; Natsuhara Giken in GSJ-Lab., AIST). Specimens from each block were subjected to stepwise thermal demagnetization experiments (ThD)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at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room temperature, 25 °C, up to 600 ℃ using a thermal demagnetizer (TDS-1; Natsuhara Giken in GSJ-Lab., AIST). The experiments were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conducted </w:t>
      </w:r>
      <w:r w:rsidR="002D48EA" w:rsidRPr="004D3319">
        <w:rPr>
          <w:rFonts w:ascii="Times New Roman" w:hAnsi="Times New Roman" w:cs="Times New Roman"/>
          <w:bCs/>
          <w:color w:val="000000" w:themeColor="text1"/>
          <w:kern w:val="0"/>
        </w:rPr>
        <w:t>over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24 (25 ℃ intervals) or 30 (25 ℃ intervals for 25</w:t>
      </w:r>
      <w:r w:rsidR="002D48EA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500 ℃, and 10 ℃ intervals for 500</w:t>
      </w:r>
      <w:r w:rsidR="002D48EA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600 ℃) steps. The remanent magnetization was measured </w:t>
      </w:r>
      <w:r w:rsidR="002D48EA" w:rsidRPr="004D3319">
        <w:rPr>
          <w:rFonts w:ascii="Times New Roman" w:hAnsi="Times New Roman" w:cs="Times New Roman"/>
          <w:bCs/>
          <w:color w:val="000000" w:themeColor="text1"/>
          <w:kern w:val="0"/>
        </w:rPr>
        <w:t>using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 superconducting rock magnetometer (SRM, model 760; 2G Enterprises in GSJ-Lab., AIST). </w:t>
      </w:r>
    </w:p>
    <w:p w14:paraId="47FDCC13" w14:textId="77777777" w:rsidR="00D57E38" w:rsidRPr="004D3319" w:rsidRDefault="00D57E38" w:rsidP="00D57E38">
      <w:pPr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</w:p>
    <w:p w14:paraId="4110A649" w14:textId="6A5F089D" w:rsidR="00D57E38" w:rsidRPr="004D3319" w:rsidRDefault="004C0B55" w:rsidP="00D57E38">
      <w:pPr>
        <w:jc w:val="left"/>
        <w:rPr>
          <w:rFonts w:ascii="Times New Roman" w:hAnsi="Times New Roman" w:cs="Times New Roman"/>
          <w:b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color w:val="000000" w:themeColor="text1"/>
          <w:kern w:val="0"/>
        </w:rPr>
        <w:t xml:space="preserve">Text </w:t>
      </w:r>
      <w:r w:rsidR="00D57E38" w:rsidRPr="004D3319">
        <w:rPr>
          <w:rFonts w:ascii="Times New Roman" w:hAnsi="Times New Roman" w:cs="Times New Roman"/>
          <w:b/>
          <w:color w:val="000000" w:themeColor="text1"/>
          <w:kern w:val="0"/>
        </w:rPr>
        <w:t xml:space="preserve">S1-4. </w:t>
      </w:r>
      <w:r w:rsidR="0017609D" w:rsidRPr="004D3319">
        <w:rPr>
          <w:rFonts w:ascii="Times New Roman" w:hAnsi="Times New Roman" w:cs="Times New Roman"/>
          <w:b/>
          <w:color w:val="000000" w:themeColor="text1"/>
          <w:kern w:val="0"/>
        </w:rPr>
        <w:t>Paleomagnetic analyses</w:t>
      </w:r>
    </w:p>
    <w:p w14:paraId="36C80BC6" w14:textId="03DE47E0" w:rsidR="00D57E38" w:rsidRPr="004D3319" w:rsidRDefault="00D57E38" w:rsidP="0017609D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The results of stepwise ThD were plotted on orthogonal vector plots (Zijderveld diagrams; Zijderveld, 1967) and equal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>-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area projections using the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>Palomagnetism.org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software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(Koymans et al., 2016, 2020). For a specimen with a stable linear component on the orthogonal vector plot, the direction of the component was determined by fitting a linear regression line using a principal component analysis (PCA; Kirschvink, 1980). For a specimen with vector endpoints of a component forming an arc on the equal area projection, the pole of the component was determined by fitting a great circle using PCA (Kirschvink, 1980). For the PCA, each line or great circle was fit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>ted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using more than 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>three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vector endpoints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>;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then</w:t>
      </w:r>
      <w:r w:rsidR="00083687" w:rsidRPr="004D3319">
        <w:rPr>
          <w:rFonts w:ascii="Times New Roman" w:hAnsi="Times New Roman" w:cs="Times New Roman"/>
          <w:bCs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linear or great circle fittings with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maximum angular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deviation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(MAD) of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&lt;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10° were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considered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reliable. </w:t>
      </w:r>
      <w:r w:rsidR="00706F67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To maximize the success rate and reliability of paleomagnetic directions while minimizing the contamination of secondary magnetizations, the mean ChRM of each hand sample was determined by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="00706F67" w:rsidRPr="004D3319">
        <w:rPr>
          <w:rFonts w:ascii="Times New Roman" w:hAnsi="Times New Roman" w:cs="Times New Roman"/>
          <w:bCs/>
          <w:color w:val="000000" w:themeColor="text1"/>
          <w:kern w:val="0"/>
        </w:rPr>
        <w:t>combined analyses of remagnetization circles (McFadden and McElhinny, 1988) using the fitted lines and great circles of multiple specimens.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F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itting of lines or great circles using PCA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and combined analyses of remagnetization circles were conducted using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>Palomagnetism.org.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</w:p>
    <w:p w14:paraId="56C378F8" w14:textId="670FF0DE" w:rsidR="002A463E" w:rsidRPr="004D3319" w:rsidRDefault="00D57E38" w:rsidP="00481BA2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ChRM direction of each hand sample for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ike1 and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ike2 was determined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using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 following steps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: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1) If two or more specimens with stepwise ThD results w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ere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available from one hand sample, the specimen with a fitting line of MAD &lt;10° was selected for further analysis. Other specimens from the corresponding hand sample were fitted with either a line or a great circle,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and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 average direction of the hand sample was determined by remagnetization circle analyses (McFadden </w:t>
      </w:r>
      <w:r w:rsidR="00795941" w:rsidRPr="004D3319">
        <w:rPr>
          <w:rFonts w:ascii="Times New Roman" w:hAnsi="Times New Roman" w:cs="Times New Roman"/>
          <w:bCs/>
          <w:color w:val="000000" w:themeColor="text1"/>
          <w:kern w:val="0"/>
        </w:rPr>
        <w:t>and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McElhinny, 1988). Only average directions with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95% confidence limit (α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  <w:vertAlign w:val="subscript"/>
        </w:rPr>
        <w:t>95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) of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>&lt;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15° were selected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>for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this study. 2) If only one specimen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>wa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s available from one hand sample with stepwise ThD results showing a reliable linear component,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linear fitting direction with 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MAD of</w:t>
      </w:r>
      <w:r w:rsidR="005C7EDD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&lt;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10° was taken as representative of each hand sample. 3) The mean direction and related statistical parameters of each hand sample were calculated from the selected ChRM directions using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 xml:space="preserve">Paleomagntetism.org.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4) Finally, the mean directions and related statistical parameters of each dike were calculated from those of hand samples using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 xml:space="preserve">Mageplot.com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(Hatakeyama, 2018). The </w:t>
      </w:r>
      <w:r w:rsidR="009A463A" w:rsidRPr="004D3319">
        <w:rPr>
          <w:rFonts w:ascii="Times New Roman" w:hAnsi="Times New Roman" w:cs="Times New Roman"/>
          <w:bCs/>
          <w:color w:val="000000" w:themeColor="text1"/>
          <w:kern w:val="0"/>
        </w:rPr>
        <w:t>v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irtual </w:t>
      </w:r>
      <w:r w:rsidR="009A463A" w:rsidRPr="004D3319">
        <w:rPr>
          <w:rFonts w:ascii="Times New Roman" w:hAnsi="Times New Roman" w:cs="Times New Roman"/>
          <w:bCs/>
          <w:color w:val="000000" w:themeColor="text1"/>
          <w:kern w:val="0"/>
        </w:rPr>
        <w:t>g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eomagnetic </w:t>
      </w:r>
      <w:r w:rsidR="009A463A" w:rsidRPr="004D3319">
        <w:rPr>
          <w:rFonts w:ascii="Times New Roman" w:hAnsi="Times New Roman" w:cs="Times New Roman"/>
          <w:bCs/>
          <w:color w:val="000000" w:themeColor="text1"/>
          <w:kern w:val="0"/>
        </w:rPr>
        <w:t>p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ole (VGP) positions were calculated from the ChRM directions of the dikes using </w:t>
      </w:r>
      <w:r w:rsidR="009A463A" w:rsidRPr="004D3319">
        <w:rPr>
          <w:rFonts w:ascii="Times New Roman" w:hAnsi="Times New Roman" w:cs="Times New Roman"/>
          <w:bCs/>
          <w:color w:val="000000" w:themeColor="text1"/>
          <w:kern w:val="0"/>
        </w:rPr>
        <w:t>the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plotting script of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>Igor Pro</w:t>
      </w:r>
      <w:r w:rsidR="009A463A"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  <w:vertAlign w:val="superscript"/>
        </w:rPr>
        <w:t>TM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after Oda (1995)</w:t>
      </w:r>
      <w:r w:rsidRPr="004D3319"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  <w:t xml:space="preserve">. </w:t>
      </w:r>
    </w:p>
    <w:p w14:paraId="0FA5D897" w14:textId="77777777" w:rsidR="00D57E38" w:rsidRPr="004D3319" w:rsidRDefault="00D57E38" w:rsidP="002A463E">
      <w:pPr>
        <w:jc w:val="left"/>
        <w:rPr>
          <w:rFonts w:ascii="Times New Roman" w:hAnsi="Times New Roman" w:cs="Times New Roman"/>
          <w:bCs/>
          <w:i/>
          <w:iCs/>
          <w:color w:val="000000" w:themeColor="text1"/>
          <w:kern w:val="0"/>
        </w:rPr>
      </w:pPr>
    </w:p>
    <w:p w14:paraId="467FC521" w14:textId="0C65304D" w:rsidR="00D57E38" w:rsidRPr="004D3319" w:rsidRDefault="004C0B55" w:rsidP="002A463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S1-</w:t>
      </w:r>
      <w:r w:rsidR="00D57E3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5</w:t>
      </w:r>
      <w:r w:rsidR="002A463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. Rock magnetic measurements</w:t>
      </w:r>
    </w:p>
    <w:p w14:paraId="59BE8C9F" w14:textId="3FC5E47F" w:rsidR="00D57E38" w:rsidRPr="004D3319" w:rsidRDefault="00ED0704" w:rsidP="00D57E38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The l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ow-temperature phase transition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s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of the magnetic minerals were examined using a magnetic property measurement system (MPMS, Quantum Design Inc.) at the Nano-Processing Facility, AIST-NPF. 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>The sequences of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measurement cycles are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as follows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: </w:t>
      </w:r>
    </w:p>
    <w:p w14:paraId="4E98BB4D" w14:textId="6A39F1F0" w:rsidR="00D57E38" w:rsidRPr="004D3319" w:rsidRDefault="00D57E38" w:rsidP="00D57E38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1. Zero-field (ZF) cycling curve: imparting saturation isothermal remanent magnetization (SIRM) by a magnetic field of 5 T at room temperature (300 K), then measuring a remanence at every 25 ℃ during cooling from 300 to 10 K and warming back to 300 K in zero field.</w:t>
      </w:r>
    </w:p>
    <w:p w14:paraId="07E0E0A1" w14:textId="2EF4125F" w:rsidR="00D57E38" w:rsidRPr="004D3319" w:rsidRDefault="00D57E38" w:rsidP="00D57E38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2. Zero-field cooling (ZFC) curve: cooling from 300 to 10 K in zero field and then imparting SIRM in a field of 5 T at 10 K. This is followed by measuring a remanence at every 25 ℃ in zero field during warming from 10 to 300 K.</w:t>
      </w:r>
    </w:p>
    <w:p w14:paraId="03520A73" w14:textId="77777777" w:rsidR="00BC0A98" w:rsidRPr="004D3319" w:rsidRDefault="00D57E38" w:rsidP="00BC0A98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3. Field cooling (FC) curve: cooling from 300 to 10 K in a magnetic field of 5 T followed by continuous measurement for remanence at 25 ℃ intervals in zero field during warming from 10 to 300 K.</w:t>
      </w:r>
    </w:p>
    <w:p w14:paraId="7F832C28" w14:textId="3B238D2F" w:rsidR="00BC0A98" w:rsidRPr="004D3319" w:rsidRDefault="000A1A51" w:rsidP="00BC0A98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Stepwise t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hermal demagnetization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experiments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of the three-axis 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>isothermal remanent magnetization (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IRM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>)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were performed on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two 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>samples from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each </w:t>
      </w:r>
      <w:r w:rsidR="00D57E3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dike 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>(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Lowrie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,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1990). IRM was imparted at 2.5 T in the X-axis using a pulse magnetizer (Model 660; 2G Enterprises) </w:t>
      </w:r>
      <w:r w:rsidR="00ED0704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at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GSJ-Lab., AIST. A secondary IRM was put at 0.4 T in the Y-axis, which was followed by 0.12 T acquisition of the third IRM in the Z-axis. Th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is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procedure allowed the samples to acquire magnetization for hard (0.4</w:t>
      </w:r>
      <w:r w:rsidR="004017E8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2.5 T), medium (0.12</w:t>
      </w:r>
      <w:r w:rsidR="004017E8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0.4 T), and soft (0</w:t>
      </w:r>
      <w:r w:rsidR="004017E8" w:rsidRPr="004D3319">
        <w:rPr>
          <w:rFonts w:ascii="Times New Roman" w:eastAsia="Times New Roman" w:hAnsi="Times New Roman" w:cs="Times New Roman"/>
          <w:bCs/>
          <w:color w:val="000000" w:themeColor="text1"/>
          <w:kern w:val="28"/>
          <w:lang w:eastAsia="en-US"/>
        </w:rPr>
        <w:t>–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0.12 T) coercivity components in the X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-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, Y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-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, and Z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-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axes, respectively. Stepwise ThD of the IRM was performed from room temperature up to 600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°C at intervals of 25 °C using 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a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thermal demagnetizer in GSJ-Lab., AIST. The IRM at 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temperature steps w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as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measured using the SRM in GSJ-Lab., AIST. During stepwise ThD, 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>thermal alteration of minerals was monitored by measuring the weight and low-field magnetic susceptibility of the specimens using an electronic balance and a magnetic susceptibility meter (KLY-4 Kappabridge; AGICO) in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the</w:t>
      </w:r>
      <w:r w:rsidR="002A463E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GSJ-Lab., AIST, respectively. </w:t>
      </w:r>
    </w:p>
    <w:p w14:paraId="63CB0D2B" w14:textId="4B013B2D" w:rsidR="00686D05" w:rsidRPr="004D3319" w:rsidRDefault="0045507D" w:rsidP="003E1C61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Isothermal remanent magnetization (IRM) acquisition experiments, starting from 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the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initial state 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with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negligible remanence to 2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>T at room temperature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were conducted using a vibrating sample magnetometer (Lake Shore Cryotronics Inc. model 8604 VSM) at GSJ Lab., AIST. First-order reversal curve (FORC) measurement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s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were performed using an alternating gradient magnetometer (Lake Shore Cryotronics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 Inc. PMC MicroMag 2900 AGM) at GSJ Lab</w:t>
      </w:r>
      <w:r w:rsidR="004017E8" w:rsidRPr="004D3319">
        <w:rPr>
          <w:rFonts w:ascii="Times New Roman" w:hAnsi="Times New Roman" w:cs="Times New Roman"/>
          <w:bCs/>
          <w:color w:val="000000" w:themeColor="text1"/>
          <w:kern w:val="0"/>
        </w:rPr>
        <w:t>.</w:t>
      </w:r>
      <w:r w:rsidRPr="004D3319">
        <w:rPr>
          <w:rFonts w:ascii="Times New Roman" w:hAnsi="Times New Roman" w:cs="Times New Roman"/>
          <w:bCs/>
          <w:color w:val="000000" w:themeColor="text1"/>
          <w:kern w:val="0"/>
        </w:rPr>
        <w:t xml:space="preserve">, AIST. </w:t>
      </w:r>
      <w:r w:rsidRPr="004D3319">
        <w:rPr>
          <w:rFonts w:ascii="Times New Roman" w:eastAsia="MS Mincho" w:hAnsi="Times New Roman" w:cs="Times New Roman"/>
          <w:color w:val="000000" w:themeColor="text1"/>
        </w:rPr>
        <w:t xml:space="preserve">The results of IRM and FORC </w:t>
      </w:r>
      <w:r w:rsidR="004017E8" w:rsidRPr="004D3319">
        <w:rPr>
          <w:rFonts w:ascii="Times New Roman" w:eastAsia="MS Mincho" w:hAnsi="Times New Roman" w:cs="Times New Roman"/>
          <w:color w:val="000000" w:themeColor="text1"/>
        </w:rPr>
        <w:t>we</w:t>
      </w:r>
      <w:r w:rsidRPr="004D3319">
        <w:rPr>
          <w:rFonts w:ascii="Times New Roman" w:eastAsia="MS Mincho" w:hAnsi="Times New Roman" w:cs="Times New Roman"/>
          <w:color w:val="000000" w:themeColor="text1"/>
        </w:rPr>
        <w:t xml:space="preserve">re evaluated using MaxUnmix (Maxbauer et al., 2016), and FORCinel software (Harrison and Feinberg, 2008) working on </w:t>
      </w:r>
      <w:r w:rsidRPr="004D3319">
        <w:rPr>
          <w:rFonts w:ascii="Times New Roman" w:eastAsia="MS Mincho" w:hAnsi="Times New Roman" w:cs="Times New Roman"/>
          <w:i/>
          <w:iCs/>
          <w:color w:val="000000" w:themeColor="text1"/>
        </w:rPr>
        <w:t>Igor Pro</w:t>
      </w:r>
      <w:r w:rsidRPr="004D3319">
        <w:rPr>
          <w:rFonts w:ascii="Times New Roman" w:eastAsia="MS Mincho" w:hAnsi="Times New Roman" w:cs="Times New Roman"/>
          <w:color w:val="000000" w:themeColor="text1"/>
          <w:vertAlign w:val="superscript"/>
        </w:rPr>
        <w:t xml:space="preserve"> TM</w:t>
      </w:r>
      <w:r w:rsidRPr="004D3319">
        <w:rPr>
          <w:rFonts w:ascii="Times New Roman" w:eastAsia="MS Mincho" w:hAnsi="Times New Roman" w:cs="Times New Roman"/>
          <w:color w:val="000000" w:themeColor="text1"/>
        </w:rPr>
        <w:t xml:space="preserve">. </w:t>
      </w:r>
    </w:p>
    <w:p w14:paraId="4C1639D7" w14:textId="77777777" w:rsidR="00686D05" w:rsidRPr="004D3319" w:rsidRDefault="00686D05" w:rsidP="00686D05">
      <w:pPr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</w:p>
    <w:p w14:paraId="795E7500" w14:textId="610C8614" w:rsidR="00B9551E" w:rsidRPr="004D3319" w:rsidRDefault="004C0B55" w:rsidP="00B9551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B9551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S2. Rock </w:t>
      </w:r>
      <w:r w:rsidR="006B1946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m</w:t>
      </w:r>
      <w:r w:rsidR="00B9551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agnetism</w:t>
      </w:r>
    </w:p>
    <w:p w14:paraId="67BB14BA" w14:textId="205F7A50" w:rsidR="00BC0A98" w:rsidRPr="004D3319" w:rsidRDefault="004C0B55" w:rsidP="00B9551E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BC0A98" w:rsidRPr="004D3319">
        <w:rPr>
          <w:rFonts w:ascii="Times New Roman" w:hAnsi="Times New Roman" w:cs="Times New Roman" w:hint="eastAsia"/>
          <w:b/>
          <w:bCs/>
          <w:color w:val="000000" w:themeColor="text1"/>
          <w:kern w:val="0"/>
        </w:rPr>
        <w:t>S</w:t>
      </w:r>
      <w:r w:rsidR="00BC0A9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2-1. Results of </w:t>
      </w:r>
      <w:r w:rsidR="006B1946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r</w:t>
      </w:r>
      <w:r w:rsidR="00BC0A9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ock </w:t>
      </w:r>
      <w:r w:rsidR="006B1946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m</w:t>
      </w:r>
      <w:r w:rsidR="00BC0A9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agnetic </w:t>
      </w:r>
      <w:r w:rsidR="006B1946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m</w:t>
      </w:r>
      <w:r w:rsidR="00BC0A9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easurement</w:t>
      </w:r>
    </w:p>
    <w:p w14:paraId="6C6F1BE3" w14:textId="6F3E7AC8" w:rsidR="00B9551E" w:rsidRPr="004D3319" w:rsidRDefault="00B9551E" w:rsidP="00B9551E">
      <w:pPr>
        <w:ind w:firstLine="96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color w:val="000000" w:themeColor="text1"/>
        </w:rPr>
        <w:t>Figure S</w:t>
      </w:r>
      <w:r w:rsidR="008B141C" w:rsidRPr="004D3319">
        <w:rPr>
          <w:rFonts w:ascii="Times New Roman" w:hAnsi="Times New Roman" w:cs="Times New Roman"/>
          <w:color w:val="000000" w:themeColor="text1"/>
        </w:rPr>
        <w:t>6</w:t>
      </w:r>
      <w:r w:rsidRPr="004D3319">
        <w:rPr>
          <w:rFonts w:ascii="Times New Roman" w:hAnsi="Times New Roman" w:cs="Times New Roman"/>
          <w:color w:val="000000" w:themeColor="text1"/>
        </w:rPr>
        <w:t xml:space="preserve"> shows the results of </w:t>
      </w:r>
      <w:r w:rsidR="004017E8" w:rsidRPr="004D3319">
        <w:rPr>
          <w:rFonts w:ascii="Times New Roman" w:hAnsi="Times New Roman" w:cs="Times New Roman"/>
          <w:color w:val="000000" w:themeColor="text1"/>
        </w:rPr>
        <w:t>the l</w:t>
      </w:r>
      <w:r w:rsidRPr="004D3319">
        <w:rPr>
          <w:rFonts w:ascii="Times New Roman" w:hAnsi="Times New Roman" w:cs="Times New Roman"/>
          <w:color w:val="000000" w:themeColor="text1"/>
        </w:rPr>
        <w:t xml:space="preserve">ow-temperature magnetic measurements of basaltic </w:t>
      </w:r>
      <w:r w:rsidR="004017E8" w:rsidRPr="004D3319">
        <w:rPr>
          <w:rFonts w:ascii="Times New Roman" w:hAnsi="Times New Roman" w:cs="Times New Roman"/>
          <w:color w:val="000000" w:themeColor="text1"/>
        </w:rPr>
        <w:t>D</w:t>
      </w:r>
      <w:r w:rsidRPr="004D3319">
        <w:rPr>
          <w:rFonts w:ascii="Times New Roman" w:hAnsi="Times New Roman" w:cs="Times New Roman"/>
          <w:color w:val="000000" w:themeColor="text1"/>
        </w:rPr>
        <w:t xml:space="preserve">ike1 and </w:t>
      </w:r>
      <w:r w:rsidR="004017E8" w:rsidRPr="004D3319">
        <w:rPr>
          <w:rFonts w:ascii="Times New Roman" w:hAnsi="Times New Roman" w:cs="Times New Roman"/>
          <w:color w:val="000000" w:themeColor="text1"/>
        </w:rPr>
        <w:t>D</w:t>
      </w:r>
      <w:r w:rsidRPr="004D3319">
        <w:rPr>
          <w:rFonts w:ascii="Times New Roman" w:hAnsi="Times New Roman" w:cs="Times New Roman"/>
          <w:color w:val="000000" w:themeColor="text1"/>
        </w:rPr>
        <w:t xml:space="preserve">ike2. Magnetization during warming and cooling in ZF cycling, 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and </w:t>
      </w:r>
      <w:r w:rsidRPr="004D3319">
        <w:rPr>
          <w:rFonts w:ascii="Times New Roman" w:hAnsi="Times New Roman" w:cs="Times New Roman"/>
          <w:color w:val="000000" w:themeColor="text1"/>
        </w:rPr>
        <w:t>warming after ZFC and FC show</w:t>
      </w:r>
      <w:r w:rsidR="0027215D" w:rsidRPr="004D3319">
        <w:rPr>
          <w:rFonts w:ascii="Times New Roman" w:hAnsi="Times New Roman" w:cs="Times New Roman"/>
          <w:color w:val="000000" w:themeColor="text1"/>
        </w:rPr>
        <w:t>ed</w:t>
      </w:r>
      <w:r w:rsidRPr="004D3319">
        <w:rPr>
          <w:rFonts w:ascii="Times New Roman" w:hAnsi="Times New Roman" w:cs="Times New Roman"/>
          <w:color w:val="000000" w:themeColor="text1"/>
        </w:rPr>
        <w:t xml:space="preserve"> inflection points of magnetization at ~115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K and ~113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K for Na-D1-7-2a and Na-D2-2-3b, respectively (Figure S</w:t>
      </w:r>
      <w:r w:rsidR="008B141C" w:rsidRPr="004D3319">
        <w:rPr>
          <w:rFonts w:ascii="Times New Roman" w:hAnsi="Times New Roman" w:cs="Times New Roman"/>
          <w:color w:val="000000" w:themeColor="text1"/>
        </w:rPr>
        <w:t>6</w:t>
      </w:r>
      <w:r w:rsidRPr="004D3319">
        <w:rPr>
          <w:rFonts w:ascii="Times New Roman" w:hAnsi="Times New Roman" w:cs="Times New Roman"/>
          <w:color w:val="000000" w:themeColor="text1"/>
        </w:rPr>
        <w:t xml:space="preserve">). 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The </w:t>
      </w:r>
      <w:r w:rsidRPr="004D3319">
        <w:rPr>
          <w:rFonts w:ascii="Times New Roman" w:hAnsi="Times New Roman" w:cs="Times New Roman"/>
          <w:color w:val="000000" w:themeColor="text1"/>
        </w:rPr>
        <w:t xml:space="preserve">ZFC remanence </w:t>
      </w:r>
      <w:r w:rsidR="0027215D" w:rsidRPr="004D3319">
        <w:rPr>
          <w:rFonts w:ascii="Times New Roman" w:hAnsi="Times New Roman" w:cs="Times New Roman"/>
          <w:color w:val="000000" w:themeColor="text1"/>
        </w:rPr>
        <w:t>wa</w:t>
      </w:r>
      <w:r w:rsidRPr="004D3319">
        <w:rPr>
          <w:rFonts w:ascii="Times New Roman" w:hAnsi="Times New Roman" w:cs="Times New Roman"/>
          <w:color w:val="000000" w:themeColor="text1"/>
        </w:rPr>
        <w:t xml:space="preserve">s </w:t>
      </w:r>
      <w:r w:rsidR="0027215D" w:rsidRPr="004D3319">
        <w:rPr>
          <w:rFonts w:ascii="Times New Roman" w:hAnsi="Times New Roman" w:cs="Times New Roman"/>
          <w:color w:val="000000" w:themeColor="text1"/>
        </w:rPr>
        <w:t>greate</w:t>
      </w:r>
      <w:r w:rsidRPr="004D3319">
        <w:rPr>
          <w:rFonts w:ascii="Times New Roman" w:hAnsi="Times New Roman" w:cs="Times New Roman"/>
          <w:color w:val="000000" w:themeColor="text1"/>
        </w:rPr>
        <w:t>r than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the</w:t>
      </w:r>
      <w:r w:rsidRPr="004D3319">
        <w:rPr>
          <w:rFonts w:ascii="Times New Roman" w:hAnsi="Times New Roman" w:cs="Times New Roman"/>
          <w:color w:val="000000" w:themeColor="text1"/>
        </w:rPr>
        <w:t xml:space="preserve"> FC remanence.</w:t>
      </w:r>
    </w:p>
    <w:p w14:paraId="7D8DB41E" w14:textId="761F93C3" w:rsidR="00B9551E" w:rsidRPr="004D3319" w:rsidRDefault="0027215D" w:rsidP="00B9551E">
      <w:pPr>
        <w:pStyle w:val="Heading-Secondary"/>
        <w:keepNext w:val="0"/>
        <w:widowControl w:val="0"/>
        <w:ind w:left="0" w:firstLine="960"/>
        <w:rPr>
          <w:rFonts w:eastAsia="MS Mincho"/>
          <w:color w:val="000000" w:themeColor="text1"/>
          <w:lang w:eastAsia="ja-JP"/>
        </w:rPr>
      </w:pPr>
      <w:r w:rsidRPr="004D3319">
        <w:rPr>
          <w:rFonts w:eastAsia="MS Mincho"/>
          <w:color w:val="000000" w:themeColor="text1"/>
          <w:lang w:eastAsia="ja-JP"/>
        </w:rPr>
        <w:t>The u</w:t>
      </w:r>
      <w:r w:rsidR="00B9551E" w:rsidRPr="004D3319">
        <w:rPr>
          <w:rFonts w:eastAsia="MS Mincho"/>
          <w:color w:val="000000" w:themeColor="text1"/>
          <w:lang w:eastAsia="ja-JP"/>
        </w:rPr>
        <w:t xml:space="preserve">nmixing results of </w:t>
      </w:r>
      <w:r w:rsidRPr="004D3319">
        <w:rPr>
          <w:rFonts w:eastAsia="MS Mincho"/>
          <w:color w:val="000000" w:themeColor="text1"/>
          <w:lang w:eastAsia="ja-JP"/>
        </w:rPr>
        <w:t xml:space="preserve">the </w:t>
      </w:r>
      <w:r w:rsidR="00B9551E" w:rsidRPr="004D3319">
        <w:rPr>
          <w:rFonts w:eastAsia="MS Mincho"/>
          <w:color w:val="000000" w:themeColor="text1"/>
          <w:lang w:eastAsia="ja-JP"/>
        </w:rPr>
        <w:t>IRM acquisition curves (Na-D1-6-1a and Na-D2-2-3b) reveal</w:t>
      </w:r>
      <w:r w:rsidRPr="004D3319">
        <w:rPr>
          <w:rFonts w:eastAsia="MS Mincho"/>
          <w:color w:val="000000" w:themeColor="text1"/>
          <w:lang w:eastAsia="ja-JP"/>
        </w:rPr>
        <w:t>ed</w:t>
      </w:r>
      <w:r w:rsidR="00B9551E" w:rsidRPr="004D3319">
        <w:rPr>
          <w:rFonts w:eastAsia="MS Mincho"/>
          <w:color w:val="000000" w:themeColor="text1"/>
          <w:lang w:eastAsia="ja-JP"/>
        </w:rPr>
        <w:t xml:space="preserve"> that the coercivity spectrum can be described by three low coercivity components (B</w:t>
      </w:r>
      <w:r w:rsidR="00B9551E" w:rsidRPr="004D3319">
        <w:rPr>
          <w:rFonts w:eastAsia="MS Mincho"/>
          <w:color w:val="000000" w:themeColor="text1"/>
          <w:vertAlign w:val="subscript"/>
          <w:lang w:eastAsia="ja-JP"/>
        </w:rPr>
        <w:t>h</w:t>
      </w:r>
      <w:r w:rsidR="00B9551E" w:rsidRPr="004D3319">
        <w:rPr>
          <w:rFonts w:eastAsia="MS Mincho"/>
          <w:color w:val="000000" w:themeColor="text1"/>
          <w:lang w:eastAsia="ja-JP"/>
        </w:rPr>
        <w:t>: ~10, 20</w:t>
      </w:r>
      <w:r w:rsidR="00B9551E" w:rsidRPr="004D3319">
        <w:rPr>
          <w:color w:val="000000" w:themeColor="text1"/>
        </w:rPr>
        <w:t>–30</w:t>
      </w:r>
      <w:r w:rsidR="00B9551E" w:rsidRPr="004D3319">
        <w:rPr>
          <w:rFonts w:eastAsia="MS Mincho"/>
          <w:color w:val="000000" w:themeColor="text1"/>
          <w:lang w:eastAsia="ja-JP"/>
        </w:rPr>
        <w:t>, 40</w:t>
      </w:r>
      <w:r w:rsidR="00B9551E" w:rsidRPr="004D3319">
        <w:rPr>
          <w:color w:val="000000" w:themeColor="text1"/>
        </w:rPr>
        <w:t>–</w:t>
      </w:r>
      <w:r w:rsidR="00AB2597" w:rsidRPr="004D3319">
        <w:rPr>
          <w:color w:val="000000" w:themeColor="text1"/>
        </w:rPr>
        <w:t>60</w:t>
      </w:r>
      <w:r w:rsidR="00B9551E" w:rsidRPr="004D3319">
        <w:rPr>
          <w:rFonts w:eastAsia="MS Mincho"/>
          <w:color w:val="000000" w:themeColor="text1"/>
          <w:lang w:eastAsia="ja-JP"/>
        </w:rPr>
        <w:t xml:space="preserve"> mT) and a high coercivity component (B</w:t>
      </w:r>
      <w:r w:rsidR="00B9551E" w:rsidRPr="004D3319">
        <w:rPr>
          <w:rFonts w:eastAsia="MS Mincho"/>
          <w:color w:val="000000" w:themeColor="text1"/>
          <w:vertAlign w:val="subscript"/>
          <w:lang w:eastAsia="ja-JP"/>
        </w:rPr>
        <w:t xml:space="preserve">h </w:t>
      </w:r>
      <w:r w:rsidR="00B9551E" w:rsidRPr="004D3319">
        <w:rPr>
          <w:rFonts w:eastAsia="MS Mincho"/>
          <w:color w:val="000000" w:themeColor="text1"/>
          <w:lang w:eastAsia="ja-JP"/>
        </w:rPr>
        <w:t>~400</w:t>
      </w:r>
      <w:r w:rsidR="00AB2597" w:rsidRPr="004D3319">
        <w:rPr>
          <w:color w:val="000000" w:themeColor="text1"/>
        </w:rPr>
        <w:t>–450</w:t>
      </w:r>
      <w:r w:rsidR="00B9551E" w:rsidRPr="004D3319">
        <w:rPr>
          <w:rFonts w:eastAsia="MS Mincho"/>
          <w:color w:val="000000" w:themeColor="text1"/>
          <w:lang w:eastAsia="ja-JP"/>
        </w:rPr>
        <w:t xml:space="preserve"> mT) (Figure S</w:t>
      </w:r>
      <w:r w:rsidR="00AB2597" w:rsidRPr="004D3319">
        <w:rPr>
          <w:rFonts w:eastAsia="MS Mincho"/>
          <w:color w:val="000000" w:themeColor="text1"/>
          <w:lang w:eastAsia="ja-JP"/>
        </w:rPr>
        <w:t>7</w:t>
      </w:r>
      <w:r w:rsidR="00B9551E" w:rsidRPr="004D3319">
        <w:rPr>
          <w:rFonts w:eastAsia="MS Mincho"/>
          <w:color w:val="000000" w:themeColor="text1"/>
          <w:lang w:eastAsia="ja-JP"/>
        </w:rPr>
        <w:t>). The FORC diagrams of samples (Na-D1-6-1a and Na-D2-2-3b) show evidence of single-domain (SD)-like, pseudo-single-domain (PSD)-like, and multi-domain (MD)-like magnetic moments with high coercivity components (Figure S</w:t>
      </w:r>
      <w:r w:rsidR="00AB2597" w:rsidRPr="004D3319">
        <w:rPr>
          <w:rFonts w:eastAsia="MS Mincho"/>
          <w:color w:val="000000" w:themeColor="text1"/>
          <w:lang w:eastAsia="ja-JP"/>
        </w:rPr>
        <w:t>8</w:t>
      </w:r>
      <w:r w:rsidR="00B9551E" w:rsidRPr="004D3319">
        <w:rPr>
          <w:rFonts w:eastAsia="MS Mincho"/>
          <w:color w:val="000000" w:themeColor="text1"/>
          <w:lang w:eastAsia="ja-JP"/>
        </w:rPr>
        <w:t>).</w:t>
      </w:r>
    </w:p>
    <w:p w14:paraId="4043EF64" w14:textId="74199823" w:rsidR="00B9551E" w:rsidRPr="004D3319" w:rsidRDefault="00B9551E" w:rsidP="00B9551E">
      <w:pPr>
        <w:pStyle w:val="Heading-Secondary"/>
        <w:keepNext w:val="0"/>
        <w:widowControl w:val="0"/>
        <w:ind w:left="0" w:firstLine="960"/>
        <w:rPr>
          <w:rFonts w:eastAsia="MS Mincho"/>
          <w:color w:val="000000" w:themeColor="text1"/>
          <w:lang w:eastAsia="ja-JP"/>
        </w:rPr>
      </w:pPr>
      <w:r w:rsidRPr="004D3319">
        <w:rPr>
          <w:color w:val="000000" w:themeColor="text1"/>
        </w:rPr>
        <w:t>The stepwise ThD of the three-axis IRM experiments showed that the soft coercivity component (0–0.12</w:t>
      </w:r>
      <w:r w:rsidR="0027215D" w:rsidRPr="004D3319">
        <w:rPr>
          <w:color w:val="000000" w:themeColor="text1"/>
        </w:rPr>
        <w:t xml:space="preserve"> </w:t>
      </w:r>
      <w:r w:rsidRPr="004D3319">
        <w:rPr>
          <w:color w:val="000000" w:themeColor="text1"/>
        </w:rPr>
        <w:t>T) had an inflection point at 250</w:t>
      </w:r>
      <w:r w:rsidRPr="004D3319">
        <w:rPr>
          <w:rFonts w:eastAsia="MS Mincho"/>
          <w:color w:val="000000" w:themeColor="text1"/>
          <w:lang w:eastAsia="ja-JP"/>
        </w:rPr>
        <w:t>℃ and a</w:t>
      </w:r>
      <w:r w:rsidRPr="004D3319">
        <w:rPr>
          <w:color w:val="000000" w:themeColor="text1"/>
        </w:rPr>
        <w:t xml:space="preserve"> drop to zero at 550–575</w:t>
      </w:r>
      <w:r w:rsidRPr="004D3319">
        <w:rPr>
          <w:rFonts w:eastAsia="MS Mincho"/>
          <w:color w:val="000000" w:themeColor="text1"/>
          <w:lang w:eastAsia="ja-JP"/>
        </w:rPr>
        <w:t xml:space="preserve">℃ following </w:t>
      </w:r>
      <w:r w:rsidR="0027215D" w:rsidRPr="004D3319">
        <w:rPr>
          <w:rFonts w:eastAsia="MS Mincho"/>
          <w:color w:val="000000" w:themeColor="text1"/>
          <w:lang w:eastAsia="ja-JP"/>
        </w:rPr>
        <w:t xml:space="preserve">a </w:t>
      </w:r>
      <w:r w:rsidRPr="004D3319">
        <w:rPr>
          <w:rFonts w:eastAsia="MS Mincho"/>
          <w:color w:val="000000" w:themeColor="text1"/>
          <w:lang w:eastAsia="ja-JP"/>
        </w:rPr>
        <w:t>continual decrease (Figure S</w:t>
      </w:r>
      <w:r w:rsidR="00AB2597" w:rsidRPr="004D3319">
        <w:rPr>
          <w:rFonts w:eastAsia="MS Mincho"/>
          <w:color w:val="000000" w:themeColor="text1"/>
          <w:lang w:eastAsia="ja-JP"/>
        </w:rPr>
        <w:t>9</w:t>
      </w:r>
      <w:r w:rsidRPr="004D3319">
        <w:rPr>
          <w:rFonts w:eastAsia="MS Mincho"/>
          <w:color w:val="000000" w:themeColor="text1"/>
          <w:lang w:eastAsia="ja-JP"/>
        </w:rPr>
        <w:t xml:space="preserve">). </w:t>
      </w:r>
      <w:r w:rsidRPr="004D3319">
        <w:rPr>
          <w:color w:val="000000" w:themeColor="text1"/>
        </w:rPr>
        <w:t>The medium coercivity component (0.12–0.4</w:t>
      </w:r>
      <w:r w:rsidR="0027215D" w:rsidRPr="004D3319">
        <w:rPr>
          <w:color w:val="000000" w:themeColor="text1"/>
        </w:rPr>
        <w:t xml:space="preserve"> </w:t>
      </w:r>
      <w:r w:rsidRPr="004D3319">
        <w:rPr>
          <w:color w:val="000000" w:themeColor="text1"/>
        </w:rPr>
        <w:t>T) gradually decreased during heating up to 600</w:t>
      </w:r>
      <w:r w:rsidR="0027215D" w:rsidRPr="004D3319">
        <w:rPr>
          <w:color w:val="000000" w:themeColor="text1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>℃. The hard coercivity component (0.4</w:t>
      </w:r>
      <w:r w:rsidRPr="004D3319">
        <w:rPr>
          <w:color w:val="000000" w:themeColor="text1"/>
        </w:rPr>
        <w:t>–</w:t>
      </w:r>
      <w:r w:rsidRPr="004D3319">
        <w:rPr>
          <w:rFonts w:eastAsia="MS Mincho"/>
          <w:color w:val="000000" w:themeColor="text1"/>
          <w:lang w:eastAsia="ja-JP"/>
        </w:rPr>
        <w:t>1.2</w:t>
      </w:r>
      <w:r w:rsidR="0027215D" w:rsidRPr="004D3319">
        <w:rPr>
          <w:rFonts w:eastAsia="MS Mincho"/>
          <w:color w:val="000000" w:themeColor="text1"/>
          <w:lang w:eastAsia="ja-JP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>T)</w:t>
      </w:r>
      <w:r w:rsidRPr="004D3319">
        <w:rPr>
          <w:color w:val="000000" w:themeColor="text1"/>
        </w:rPr>
        <w:t xml:space="preserve"> was almost negligible but showed a slight decrease at temperatures between 400–425</w:t>
      </w:r>
      <w:r w:rsidR="0027215D" w:rsidRPr="004D3319">
        <w:rPr>
          <w:color w:val="000000" w:themeColor="text1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>℃ (Figure S</w:t>
      </w:r>
      <w:r w:rsidR="00AB2597" w:rsidRPr="004D3319">
        <w:rPr>
          <w:rFonts w:eastAsia="MS Mincho"/>
          <w:color w:val="000000" w:themeColor="text1"/>
          <w:lang w:eastAsia="ja-JP"/>
        </w:rPr>
        <w:t>9</w:t>
      </w:r>
      <w:r w:rsidRPr="004D3319">
        <w:rPr>
          <w:rFonts w:eastAsia="MS Mincho"/>
          <w:color w:val="000000" w:themeColor="text1"/>
          <w:lang w:eastAsia="ja-JP"/>
        </w:rPr>
        <w:t>). The magnetic susceptibility gradually decreased at temperatures between 300</w:t>
      </w:r>
      <w:r w:rsidRPr="004D3319">
        <w:rPr>
          <w:color w:val="000000" w:themeColor="text1"/>
        </w:rPr>
        <w:t>–</w:t>
      </w:r>
      <w:r w:rsidRPr="004D3319">
        <w:rPr>
          <w:rFonts w:eastAsia="MS Mincho"/>
          <w:color w:val="000000" w:themeColor="text1"/>
          <w:lang w:eastAsia="ja-JP"/>
        </w:rPr>
        <w:t>575</w:t>
      </w:r>
      <w:r w:rsidR="0027215D" w:rsidRPr="004D3319">
        <w:rPr>
          <w:rFonts w:eastAsia="MS Mincho"/>
          <w:color w:val="000000" w:themeColor="text1"/>
          <w:lang w:eastAsia="ja-JP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>℃ and dropped at ~</w:t>
      </w:r>
      <w:r w:rsidRPr="004D3319">
        <w:rPr>
          <w:color w:val="000000" w:themeColor="text1"/>
        </w:rPr>
        <w:t>575</w:t>
      </w:r>
      <w:r w:rsidR="0027215D" w:rsidRPr="004D3319">
        <w:rPr>
          <w:color w:val="000000" w:themeColor="text1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>℃. The weight of the sample gradually decreased at temperatures between 25</w:t>
      </w:r>
      <w:r w:rsidRPr="004D3319">
        <w:rPr>
          <w:color w:val="000000" w:themeColor="text1"/>
        </w:rPr>
        <w:t>–</w:t>
      </w:r>
      <w:r w:rsidRPr="004D3319">
        <w:rPr>
          <w:rFonts w:eastAsia="MS Mincho"/>
          <w:color w:val="000000" w:themeColor="text1"/>
          <w:lang w:eastAsia="ja-JP"/>
        </w:rPr>
        <w:t>250</w:t>
      </w:r>
      <w:r w:rsidR="0027215D" w:rsidRPr="004D3319">
        <w:rPr>
          <w:rFonts w:eastAsia="MS Mincho"/>
          <w:color w:val="000000" w:themeColor="text1"/>
          <w:lang w:eastAsia="ja-JP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 xml:space="preserve">℃ and decreased significantly at temperatures between </w:t>
      </w:r>
      <w:r w:rsidRPr="004D3319">
        <w:rPr>
          <w:color w:val="000000" w:themeColor="text1"/>
        </w:rPr>
        <w:t>550–575</w:t>
      </w:r>
      <w:r w:rsidR="0027215D" w:rsidRPr="004D3319">
        <w:rPr>
          <w:color w:val="000000" w:themeColor="text1"/>
        </w:rPr>
        <w:t xml:space="preserve"> </w:t>
      </w:r>
      <w:r w:rsidRPr="004D3319">
        <w:rPr>
          <w:rFonts w:eastAsia="MS Mincho"/>
          <w:color w:val="000000" w:themeColor="text1"/>
          <w:lang w:eastAsia="ja-JP"/>
        </w:rPr>
        <w:t xml:space="preserve">℃. </w:t>
      </w:r>
    </w:p>
    <w:p w14:paraId="6FDE30ED" w14:textId="77777777" w:rsidR="00B9551E" w:rsidRPr="004D3319" w:rsidRDefault="00B9551E" w:rsidP="00C71FB2">
      <w:pPr>
        <w:ind w:firstLine="960"/>
        <w:jc w:val="left"/>
        <w:rPr>
          <w:rFonts w:ascii="Times New Roman" w:hAnsi="Times New Roman" w:cs="Times New Roman"/>
          <w:bCs/>
          <w:color w:val="000000" w:themeColor="text1"/>
          <w:kern w:val="0"/>
        </w:rPr>
      </w:pPr>
    </w:p>
    <w:p w14:paraId="7BD162C1" w14:textId="43993BD3" w:rsidR="00813100" w:rsidRPr="004D3319" w:rsidRDefault="004C0B55" w:rsidP="00813100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150B14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="00BC0A9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2-2</w:t>
      </w:r>
      <w:r w:rsidR="00150B14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. Magnetic </w:t>
      </w:r>
      <w:r w:rsidR="006B1946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m</w:t>
      </w:r>
      <w:r w:rsidR="00150B14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ineral</w:t>
      </w:r>
      <w:r w:rsidR="00FC6020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</w:p>
    <w:p w14:paraId="1973562B" w14:textId="1AAFE8EC" w:rsidR="00FC6020" w:rsidRPr="004D3319" w:rsidRDefault="00FC6020" w:rsidP="00813100">
      <w:pPr>
        <w:ind w:firstLine="720"/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color w:val="000000" w:themeColor="text1"/>
        </w:rPr>
        <w:t>The Verwey transition temperatures of the basaltic dikes were ~11</w:t>
      </w:r>
      <w:r w:rsidR="0070347F" w:rsidRPr="004D3319">
        <w:rPr>
          <w:rFonts w:ascii="Times New Roman" w:hAnsi="Times New Roman" w:cs="Times New Roman"/>
          <w:color w:val="000000" w:themeColor="text1"/>
        </w:rPr>
        <w:t>5</w:t>
      </w:r>
      <w:r w:rsidRPr="004D3319">
        <w:rPr>
          <w:rFonts w:ascii="Times New Roman" w:hAnsi="Times New Roman" w:cs="Times New Roman"/>
          <w:color w:val="000000" w:themeColor="text1"/>
        </w:rPr>
        <w:t xml:space="preserve"> K (Figure </w:t>
      </w:r>
      <w:r w:rsidR="0070347F" w:rsidRPr="004D3319">
        <w:rPr>
          <w:rFonts w:ascii="Times New Roman" w:hAnsi="Times New Roman" w:cs="Times New Roman"/>
          <w:color w:val="000000" w:themeColor="text1"/>
        </w:rPr>
        <w:t>S</w:t>
      </w:r>
      <w:r w:rsidR="00AB2597" w:rsidRPr="004D3319">
        <w:rPr>
          <w:rFonts w:ascii="Times New Roman" w:hAnsi="Times New Roman" w:cs="Times New Roman"/>
          <w:color w:val="000000" w:themeColor="text1"/>
        </w:rPr>
        <w:t>6</w:t>
      </w:r>
      <w:r w:rsidRPr="004D3319">
        <w:rPr>
          <w:rFonts w:ascii="Times New Roman" w:hAnsi="Times New Roman" w:cs="Times New Roman"/>
          <w:color w:val="000000" w:themeColor="text1"/>
        </w:rPr>
        <w:t>),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which is</w:t>
      </w:r>
      <w:r w:rsidRPr="004D3319">
        <w:rPr>
          <w:rFonts w:ascii="Times New Roman" w:hAnsi="Times New Roman" w:cs="Times New Roman"/>
          <w:color w:val="000000" w:themeColor="text1"/>
        </w:rPr>
        <w:t xml:space="preserve"> slightly lower than that of stoichiometric magnetite (~125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K). This fact suggests the presence of impurities</w:t>
      </w:r>
      <w:r w:rsidR="0027215D" w:rsidRPr="004D3319">
        <w:rPr>
          <w:rFonts w:ascii="Times New Roman" w:hAnsi="Times New Roman" w:cs="Times New Roman"/>
          <w:color w:val="000000" w:themeColor="text1"/>
        </w:rPr>
        <w:t>,</w:t>
      </w:r>
      <w:r w:rsidRPr="004D3319">
        <w:rPr>
          <w:rFonts w:ascii="Times New Roman" w:hAnsi="Times New Roman" w:cs="Times New Roman"/>
          <w:color w:val="000000" w:themeColor="text1"/>
        </w:rPr>
        <w:t xml:space="preserve"> such as titanomagnetite</w:t>
      </w:r>
      <w:r w:rsidR="0027215D" w:rsidRPr="004D3319">
        <w:rPr>
          <w:rFonts w:ascii="Times New Roman" w:hAnsi="Times New Roman" w:cs="Times New Roman"/>
          <w:color w:val="000000" w:themeColor="text1"/>
        </w:rPr>
        <w:t>,</w:t>
      </w:r>
      <w:r w:rsidRPr="004D3319">
        <w:rPr>
          <w:rFonts w:ascii="Times New Roman" w:hAnsi="Times New Roman" w:cs="Times New Roman"/>
          <w:color w:val="000000" w:themeColor="text1"/>
        </w:rPr>
        <w:t xml:space="preserve"> and/or non-stoichiometry with low-temperature oxidation to maghemite (Jackson and Moskowitz, 2021). Based on Figure 1 of Jackson and Moskowitz (2021), 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a </w:t>
      </w:r>
      <w:r w:rsidRPr="004D3319">
        <w:rPr>
          <w:rFonts w:ascii="Times New Roman" w:hAnsi="Times New Roman" w:cs="Times New Roman"/>
          <w:color w:val="000000" w:themeColor="text1"/>
        </w:rPr>
        <w:t>Verwey temperature of ~11</w:t>
      </w:r>
      <w:r w:rsidR="0070347F" w:rsidRPr="004D3319">
        <w:rPr>
          <w:rFonts w:ascii="Times New Roman" w:hAnsi="Times New Roman" w:cs="Times New Roman"/>
          <w:color w:val="000000" w:themeColor="text1"/>
        </w:rPr>
        <w:t>5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</w:rPr>
        <w:t>K c</w:t>
      </w:r>
      <w:r w:rsidR="0027215D" w:rsidRPr="004D3319">
        <w:rPr>
          <w:rFonts w:ascii="Times New Roman" w:hAnsi="Times New Roman" w:cs="Times New Roman"/>
          <w:color w:val="000000" w:themeColor="text1"/>
        </w:rPr>
        <w:t>an</w:t>
      </w:r>
      <w:r w:rsidRPr="004D3319">
        <w:rPr>
          <w:rFonts w:ascii="Times New Roman" w:hAnsi="Times New Roman" w:cs="Times New Roman"/>
          <w:color w:val="000000" w:themeColor="text1"/>
        </w:rPr>
        <w:t xml:space="preserve"> be obtained by ~0.7% titanium substitution or ~0.2% of non-stoichiometry.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</w:t>
      </w:r>
      <w:r w:rsidR="00697A9F" w:rsidRPr="004D3319">
        <w:rPr>
          <w:rFonts w:ascii="Times New Roman" w:hAnsi="Times New Roman" w:cs="Times New Roman"/>
          <w:color w:val="000000" w:themeColor="text1"/>
        </w:rPr>
        <w:t>Decomposition of</w:t>
      </w:r>
      <w:r w:rsidR="0027215D" w:rsidRPr="004D3319">
        <w:rPr>
          <w:rFonts w:ascii="Times New Roman" w:hAnsi="Times New Roman" w:cs="Times New Roman"/>
          <w:color w:val="000000" w:themeColor="text1"/>
        </w:rPr>
        <w:t xml:space="preserve"> the</w:t>
      </w:r>
      <w:r w:rsidR="00697A9F" w:rsidRPr="004D3319">
        <w:rPr>
          <w:rFonts w:ascii="Times New Roman" w:hAnsi="Times New Roman" w:cs="Times New Roman"/>
          <w:color w:val="000000" w:themeColor="text1"/>
        </w:rPr>
        <w:t xml:space="preserve"> IRM acquisition data of representative samples reveal</w:t>
      </w:r>
      <w:r w:rsidR="0027215D" w:rsidRPr="004D3319">
        <w:rPr>
          <w:rFonts w:ascii="Times New Roman" w:hAnsi="Times New Roman" w:cs="Times New Roman"/>
          <w:color w:val="000000" w:themeColor="text1"/>
        </w:rPr>
        <w:t>ed</w:t>
      </w:r>
      <w:r w:rsidR="00697A9F" w:rsidRPr="004D3319">
        <w:rPr>
          <w:rFonts w:ascii="Times New Roman" w:hAnsi="Times New Roman" w:cs="Times New Roman"/>
          <w:color w:val="000000" w:themeColor="text1"/>
        </w:rPr>
        <w:t xml:space="preserve"> similar four-component model fits (Figure S</w:t>
      </w:r>
      <w:r w:rsidR="00AB2597" w:rsidRPr="004D3319">
        <w:rPr>
          <w:rFonts w:ascii="Times New Roman" w:hAnsi="Times New Roman" w:cs="Times New Roman"/>
          <w:color w:val="000000" w:themeColor="text1"/>
        </w:rPr>
        <w:t>7</w:t>
      </w:r>
      <w:r w:rsidR="00697A9F" w:rsidRPr="004D3319">
        <w:rPr>
          <w:rFonts w:ascii="Times New Roman" w:hAnsi="Times New Roman" w:cs="Times New Roman"/>
          <w:color w:val="000000" w:themeColor="text1"/>
        </w:rPr>
        <w:t xml:space="preserve">). </w:t>
      </w:r>
      <w:r w:rsidRPr="004D3319">
        <w:rPr>
          <w:rFonts w:ascii="Times New Roman" w:hAnsi="Times New Roman" w:cs="Times New Roman"/>
          <w:color w:val="000000" w:themeColor="text1"/>
        </w:rPr>
        <w:t>The unmixing of IRM acquisition curves into coercivity components and FORC diagrams suggest</w:t>
      </w:r>
      <w:r w:rsidR="002F5C2D" w:rsidRPr="004D3319">
        <w:rPr>
          <w:rFonts w:ascii="Times New Roman" w:hAnsi="Times New Roman" w:cs="Times New Roman"/>
          <w:color w:val="000000" w:themeColor="text1"/>
        </w:rPr>
        <w:t>s</w:t>
      </w:r>
      <w:r w:rsidRPr="004D3319">
        <w:rPr>
          <w:rFonts w:ascii="Times New Roman" w:hAnsi="Times New Roman" w:cs="Times New Roman"/>
          <w:color w:val="000000" w:themeColor="text1"/>
        </w:rPr>
        <w:t xml:space="preserve"> that there is </w:t>
      </w:r>
      <w:r w:rsidR="002F5C2D" w:rsidRPr="004D3319">
        <w:rPr>
          <w:rFonts w:ascii="Times New Roman" w:hAnsi="Times New Roman" w:cs="Times New Roman"/>
          <w:color w:val="000000" w:themeColor="text1"/>
        </w:rPr>
        <w:t xml:space="preserve">an </w:t>
      </w:r>
      <w:r w:rsidRPr="004D3319">
        <w:rPr>
          <w:rFonts w:ascii="Times New Roman" w:hAnsi="Times New Roman" w:cs="Times New Roman"/>
          <w:color w:val="000000" w:themeColor="text1"/>
        </w:rPr>
        <w:t xml:space="preserve">SD magnetic mineral with </w:t>
      </w:r>
      <w:r w:rsidR="002F5C2D" w:rsidRPr="004D3319">
        <w:rPr>
          <w:rFonts w:ascii="Times New Roman" w:hAnsi="Times New Roman" w:cs="Times New Roman"/>
          <w:color w:val="000000" w:themeColor="text1"/>
        </w:rPr>
        <w:t xml:space="preserve">a </w:t>
      </w:r>
      <w:r w:rsidRPr="004D3319">
        <w:rPr>
          <w:rFonts w:ascii="Times New Roman" w:hAnsi="Times New Roman" w:cs="Times New Roman"/>
          <w:color w:val="000000" w:themeColor="text1"/>
        </w:rPr>
        <w:t>peak coercivity B</w:t>
      </w:r>
      <w:r w:rsidRPr="004D3319">
        <w:rPr>
          <w:rFonts w:ascii="Times New Roman" w:hAnsi="Times New Roman" w:cs="Times New Roman"/>
          <w:color w:val="000000" w:themeColor="text1"/>
          <w:vertAlign w:val="subscript"/>
        </w:rPr>
        <w:t>h</w:t>
      </w:r>
      <w:r w:rsidRPr="004D3319">
        <w:rPr>
          <w:rFonts w:ascii="Times New Roman" w:hAnsi="Times New Roman" w:cs="Times New Roman"/>
          <w:color w:val="000000" w:themeColor="text1"/>
        </w:rPr>
        <w:t xml:space="preserve"> of </w:t>
      </w:r>
      <w:r w:rsidR="00A93DCD" w:rsidRPr="004D3319">
        <w:rPr>
          <w:rFonts w:ascii="Times New Roman" w:hAnsi="Times New Roman" w:cs="Times New Roman"/>
          <w:color w:val="000000" w:themeColor="text1"/>
        </w:rPr>
        <w:t>~20</w:t>
      </w:r>
      <w:r w:rsidR="00A93DCD" w:rsidRPr="004D3319">
        <w:rPr>
          <w:color w:val="000000" w:themeColor="text1"/>
        </w:rPr>
        <w:t>–30</w:t>
      </w:r>
      <w:r w:rsidRPr="004D3319">
        <w:rPr>
          <w:rFonts w:ascii="Times New Roman" w:hAnsi="Times New Roman" w:cs="Times New Roman"/>
          <w:color w:val="000000" w:themeColor="text1"/>
        </w:rPr>
        <w:t xml:space="preserve"> mT (Figures S</w:t>
      </w:r>
      <w:r w:rsidR="00AB2597" w:rsidRPr="004D3319">
        <w:rPr>
          <w:rFonts w:ascii="Times New Roman" w:hAnsi="Times New Roman" w:cs="Times New Roman"/>
          <w:color w:val="000000" w:themeColor="text1"/>
        </w:rPr>
        <w:t>7</w:t>
      </w:r>
      <w:r w:rsidRPr="004D3319">
        <w:rPr>
          <w:rFonts w:ascii="Times New Roman" w:hAnsi="Times New Roman" w:cs="Times New Roman"/>
          <w:color w:val="000000" w:themeColor="text1"/>
        </w:rPr>
        <w:t xml:space="preserve"> and S</w:t>
      </w:r>
      <w:r w:rsidR="00AB2597" w:rsidRPr="004D3319">
        <w:rPr>
          <w:rFonts w:ascii="Times New Roman" w:hAnsi="Times New Roman" w:cs="Times New Roman"/>
          <w:color w:val="000000" w:themeColor="text1"/>
        </w:rPr>
        <w:t>8</w:t>
      </w:r>
      <w:r w:rsidRPr="004D3319">
        <w:rPr>
          <w:rFonts w:ascii="Times New Roman" w:hAnsi="Times New Roman" w:cs="Times New Roman"/>
          <w:color w:val="000000" w:themeColor="text1"/>
        </w:rPr>
        <w:t xml:space="preserve">), which could be the origin of </w:t>
      </w:r>
      <w:r w:rsidR="002F5C2D" w:rsidRPr="004D3319">
        <w:rPr>
          <w:rFonts w:ascii="Times New Roman" w:hAnsi="Times New Roman" w:cs="Times New Roman"/>
          <w:color w:val="000000" w:themeColor="text1"/>
        </w:rPr>
        <w:t xml:space="preserve">the </w:t>
      </w:r>
      <w:r w:rsidRPr="004D3319">
        <w:rPr>
          <w:rFonts w:ascii="Times New Roman" w:hAnsi="Times New Roman" w:cs="Times New Roman"/>
          <w:color w:val="000000" w:themeColor="text1"/>
        </w:rPr>
        <w:t>stable magnetization for the basaltic dikes</w:t>
      </w:r>
      <w:r w:rsidR="002F5C2D" w:rsidRPr="004D3319">
        <w:rPr>
          <w:rFonts w:ascii="Times New Roman" w:hAnsi="Times New Roman" w:cs="Times New Roman"/>
          <w:color w:val="000000" w:themeColor="text1"/>
        </w:rPr>
        <w:t xml:space="preserve"> investigated</w:t>
      </w:r>
      <w:r w:rsidRPr="004D3319">
        <w:rPr>
          <w:rFonts w:ascii="Times New Roman" w:hAnsi="Times New Roman" w:cs="Times New Roman"/>
          <w:color w:val="000000" w:themeColor="text1"/>
        </w:rPr>
        <w:t>. Considering the existence of Verwey transitions and their transition temperatures, stable magnetization was carried</w:t>
      </w:r>
      <w:r w:rsidR="005D3773" w:rsidRPr="004D3319">
        <w:rPr>
          <w:rFonts w:ascii="Times New Roman" w:hAnsi="Times New Roman" w:cs="Times New Roman"/>
          <w:color w:val="000000" w:themeColor="text1"/>
        </w:rPr>
        <w:t xml:space="preserve"> out</w:t>
      </w:r>
      <w:r w:rsidRPr="004D3319">
        <w:rPr>
          <w:rFonts w:ascii="Times New Roman" w:hAnsi="Times New Roman" w:cs="Times New Roman"/>
          <w:color w:val="000000" w:themeColor="text1"/>
        </w:rPr>
        <w:t xml:space="preserve"> mainly by SD magnetite with a small fraction of Ti substitution and/or non-stoichiometry.</w:t>
      </w:r>
    </w:p>
    <w:p w14:paraId="168F30BD" w14:textId="2B14F783" w:rsidR="00FC6020" w:rsidRPr="004D3319" w:rsidRDefault="00FC6020" w:rsidP="00FC6020">
      <w:pPr>
        <w:pStyle w:val="Heading-Main"/>
        <w:keepNext w:val="0"/>
        <w:widowControl w:val="0"/>
        <w:ind w:firstLine="720"/>
        <w:rPr>
          <w:b w:val="0"/>
          <w:bCs w:val="0"/>
          <w:color w:val="000000" w:themeColor="text1"/>
          <w:lang w:eastAsia="ja-JP"/>
        </w:rPr>
      </w:pPr>
      <w:r w:rsidRPr="004D3319">
        <w:rPr>
          <w:b w:val="0"/>
          <w:bCs w:val="0"/>
          <w:color w:val="000000" w:themeColor="text1"/>
          <w:lang w:eastAsia="ja-JP"/>
        </w:rPr>
        <w:t>ThD of three-axis IRM revealed that the soft coercivity component gradually decrease</w:t>
      </w:r>
      <w:r w:rsidR="00BE7593" w:rsidRPr="004D3319">
        <w:rPr>
          <w:b w:val="0"/>
          <w:bCs w:val="0"/>
          <w:color w:val="000000" w:themeColor="text1"/>
          <w:lang w:eastAsia="ja-JP"/>
        </w:rPr>
        <w:t>d</w:t>
      </w:r>
      <w:r w:rsidRPr="004D3319">
        <w:rPr>
          <w:b w:val="0"/>
          <w:bCs w:val="0"/>
          <w:color w:val="000000" w:themeColor="text1"/>
          <w:lang w:eastAsia="ja-JP"/>
        </w:rPr>
        <w:t xml:space="preserve"> from 250</w:t>
      </w:r>
      <w:r w:rsidR="00BE7593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>°C to 525</w:t>
      </w:r>
      <w:r w:rsidR="00BE7593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 xml:space="preserve">°C (Figure </w:t>
      </w:r>
      <w:r w:rsidR="00AB2597" w:rsidRPr="004D3319">
        <w:rPr>
          <w:b w:val="0"/>
          <w:bCs w:val="0"/>
          <w:color w:val="000000" w:themeColor="text1"/>
          <w:lang w:eastAsia="ja-JP"/>
        </w:rPr>
        <w:t>9</w:t>
      </w:r>
      <w:r w:rsidRPr="004D3319">
        <w:rPr>
          <w:b w:val="0"/>
          <w:bCs w:val="0"/>
          <w:color w:val="000000" w:themeColor="text1"/>
          <w:lang w:eastAsia="ja-JP"/>
        </w:rPr>
        <w:t>). Component D (unblocking temperatures of 450</w:t>
      </w:r>
      <w:r w:rsidRPr="004D3319">
        <w:rPr>
          <w:color w:val="000000" w:themeColor="text1"/>
        </w:rPr>
        <w:t>–</w:t>
      </w:r>
      <w:r w:rsidRPr="004D3319">
        <w:rPr>
          <w:b w:val="0"/>
          <w:bCs w:val="0"/>
          <w:color w:val="000000" w:themeColor="text1"/>
          <w:lang w:eastAsia="ja-JP"/>
        </w:rPr>
        <w:t>600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>℃) of stepwise ThD for natural remanent magnetization (NRM) correspond</w:t>
      </w:r>
      <w:r w:rsidR="00B83921" w:rsidRPr="004D3319">
        <w:rPr>
          <w:b w:val="0"/>
          <w:bCs w:val="0"/>
          <w:color w:val="000000" w:themeColor="text1"/>
          <w:lang w:eastAsia="ja-JP"/>
        </w:rPr>
        <w:t>ed</w:t>
      </w:r>
      <w:r w:rsidRPr="004D3319">
        <w:rPr>
          <w:b w:val="0"/>
          <w:bCs w:val="0"/>
          <w:color w:val="000000" w:themeColor="text1"/>
          <w:lang w:eastAsia="ja-JP"/>
        </w:rPr>
        <w:t xml:space="preserve"> to the soft coercivity component with higher unblocking temperatures (&gt;450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>℃). The soft coercivity component was completely demagnetized at 550</w:t>
      </w:r>
      <w:r w:rsidRPr="004D3319">
        <w:rPr>
          <w:color w:val="000000" w:themeColor="text1"/>
        </w:rPr>
        <w:t>–</w:t>
      </w:r>
      <w:r w:rsidRPr="004D3319">
        <w:rPr>
          <w:b w:val="0"/>
          <w:bCs w:val="0"/>
          <w:color w:val="000000" w:themeColor="text1"/>
          <w:lang w:eastAsia="ja-JP"/>
        </w:rPr>
        <w:t>575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rFonts w:hint="eastAsia"/>
          <w:b w:val="0"/>
          <w:bCs w:val="0"/>
          <w:color w:val="000000" w:themeColor="text1"/>
          <w:lang w:eastAsia="ja-JP"/>
        </w:rPr>
        <w:t>℃</w:t>
      </w:r>
      <w:r w:rsidRPr="004D3319">
        <w:rPr>
          <w:b w:val="0"/>
          <w:bCs w:val="0"/>
          <w:color w:val="000000" w:themeColor="text1"/>
          <w:lang w:eastAsia="ja-JP"/>
        </w:rPr>
        <w:t xml:space="preserve"> (Figure </w:t>
      </w:r>
      <w:r w:rsidR="00AB2597" w:rsidRPr="004D3319">
        <w:rPr>
          <w:b w:val="0"/>
          <w:bCs w:val="0"/>
          <w:color w:val="000000" w:themeColor="text1"/>
          <w:lang w:eastAsia="ja-JP"/>
        </w:rPr>
        <w:t>9</w:t>
      </w:r>
      <w:r w:rsidRPr="004D3319">
        <w:rPr>
          <w:b w:val="0"/>
          <w:bCs w:val="0"/>
          <w:color w:val="000000" w:themeColor="text1"/>
          <w:lang w:eastAsia="ja-JP"/>
        </w:rPr>
        <w:t xml:space="preserve">), slightly lower than 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the </w:t>
      </w:r>
      <w:r w:rsidRPr="004D3319">
        <w:rPr>
          <w:b w:val="0"/>
          <w:bCs w:val="0"/>
          <w:color w:val="000000" w:themeColor="text1"/>
          <w:lang w:eastAsia="ja-JP"/>
        </w:rPr>
        <w:t>Curie temperature of pure magnetite (~580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>°C; e.g. Lattard et al., 2006). The removal of magnetization by heating at 550</w:t>
      </w:r>
      <w:r w:rsidRPr="004D3319">
        <w:rPr>
          <w:color w:val="000000" w:themeColor="text1"/>
        </w:rPr>
        <w:t>–</w:t>
      </w:r>
      <w:r w:rsidRPr="004D3319">
        <w:rPr>
          <w:b w:val="0"/>
          <w:bCs w:val="0"/>
          <w:color w:val="000000" w:themeColor="text1"/>
          <w:lang w:eastAsia="ja-JP"/>
        </w:rPr>
        <w:t>575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rFonts w:hint="eastAsia"/>
          <w:b w:val="0"/>
          <w:bCs w:val="0"/>
          <w:color w:val="000000" w:themeColor="text1"/>
          <w:lang w:eastAsia="ja-JP"/>
        </w:rPr>
        <w:t>℃</w:t>
      </w:r>
      <w:r w:rsidRPr="004D3319">
        <w:rPr>
          <w:b w:val="0"/>
          <w:bCs w:val="0"/>
          <w:color w:val="000000" w:themeColor="text1"/>
          <w:lang w:eastAsia="ja-JP"/>
        </w:rPr>
        <w:t xml:space="preserve"> suggests the unblocking of magnetizations carried by SD grains of nearly pure magnetite, which is consistent with the Verwey transition temperatures. Considering these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factors</w:t>
      </w:r>
      <w:r w:rsidRPr="004D3319">
        <w:rPr>
          <w:b w:val="0"/>
          <w:bCs w:val="0"/>
          <w:color w:val="000000" w:themeColor="text1"/>
          <w:lang w:eastAsia="ja-JP"/>
        </w:rPr>
        <w:t xml:space="preserve">, the stable ChRM obtained at </w:t>
      </w:r>
      <w:r w:rsidR="0070347F" w:rsidRPr="004D3319">
        <w:rPr>
          <w:b w:val="0"/>
          <w:bCs w:val="0"/>
          <w:color w:val="000000" w:themeColor="text1"/>
          <w:lang w:eastAsia="ja-JP"/>
        </w:rPr>
        <w:t>450</w:t>
      </w:r>
      <w:r w:rsidR="0070347F" w:rsidRPr="004D3319">
        <w:rPr>
          <w:color w:val="000000" w:themeColor="text1"/>
        </w:rPr>
        <w:t>–</w:t>
      </w:r>
      <w:r w:rsidR="0070347F" w:rsidRPr="004D3319">
        <w:rPr>
          <w:b w:val="0"/>
          <w:bCs w:val="0"/>
          <w:color w:val="000000" w:themeColor="text1"/>
          <w:lang w:eastAsia="ja-JP"/>
        </w:rPr>
        <w:t>575</w:t>
      </w:r>
      <w:r w:rsidR="0070347F" w:rsidRPr="004D3319">
        <w:rPr>
          <w:rFonts w:hint="eastAsia"/>
          <w:b w:val="0"/>
          <w:bCs w:val="0"/>
          <w:color w:val="000000" w:themeColor="text1"/>
          <w:lang w:eastAsia="ja-JP"/>
        </w:rPr>
        <w:t>℃</w:t>
      </w:r>
      <w:r w:rsidRPr="004D3319">
        <w:rPr>
          <w:b w:val="0"/>
          <w:bCs w:val="0"/>
          <w:color w:val="000000" w:themeColor="text1"/>
          <w:lang w:eastAsia="ja-JP"/>
        </w:rPr>
        <w:t xml:space="preserve"> is considered the primary magnetization at the time of the basaltic dike intrusions, which is carried by magnetite with a small fraction of Ti substitution and/or non-stoichiometry.</w:t>
      </w:r>
      <w:r w:rsidR="0070347F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="00B83921" w:rsidRPr="004D3319">
        <w:rPr>
          <w:b w:val="0"/>
          <w:bCs w:val="0"/>
          <w:color w:val="000000" w:themeColor="text1"/>
          <w:lang w:eastAsia="ja-JP"/>
        </w:rPr>
        <w:t>The d</w:t>
      </w:r>
      <w:r w:rsidR="0070347F" w:rsidRPr="004D3319">
        <w:rPr>
          <w:b w:val="0"/>
          <w:bCs w:val="0"/>
          <w:color w:val="000000" w:themeColor="text1"/>
          <w:lang w:eastAsia="ja-JP"/>
        </w:rPr>
        <w:t>ecreases in volume susceptibility at 550</w:t>
      </w:r>
      <w:r w:rsidR="0070347F" w:rsidRPr="004D3319">
        <w:rPr>
          <w:color w:val="000000" w:themeColor="text1"/>
        </w:rPr>
        <w:t>–</w:t>
      </w:r>
      <w:r w:rsidR="0070347F" w:rsidRPr="004D3319">
        <w:rPr>
          <w:b w:val="0"/>
          <w:bCs w:val="0"/>
          <w:color w:val="000000" w:themeColor="text1"/>
          <w:lang w:eastAsia="ja-JP"/>
        </w:rPr>
        <w:t>600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="0070347F" w:rsidRPr="004D3319">
        <w:rPr>
          <w:rFonts w:hint="eastAsia"/>
          <w:b w:val="0"/>
          <w:bCs w:val="0"/>
          <w:color w:val="000000" w:themeColor="text1"/>
          <w:lang w:eastAsia="ja-JP"/>
        </w:rPr>
        <w:t>℃</w:t>
      </w:r>
      <w:r w:rsidR="0070347F" w:rsidRPr="004D3319">
        <w:rPr>
          <w:b w:val="0"/>
          <w:bCs w:val="0"/>
          <w:color w:val="000000" w:themeColor="text1"/>
          <w:lang w:eastAsia="ja-JP"/>
        </w:rPr>
        <w:t xml:space="preserve"> may possibly be due to the decomposition of magnetic minerals. </w:t>
      </w:r>
      <w:r w:rsidR="00B83921" w:rsidRPr="004D3319">
        <w:rPr>
          <w:b w:val="0"/>
          <w:bCs w:val="0"/>
          <w:color w:val="000000" w:themeColor="text1"/>
          <w:lang w:eastAsia="ja-JP"/>
        </w:rPr>
        <w:t>A r</w:t>
      </w:r>
      <w:r w:rsidR="0070347F" w:rsidRPr="004D3319">
        <w:rPr>
          <w:b w:val="0"/>
          <w:bCs w:val="0"/>
          <w:color w:val="000000" w:themeColor="text1"/>
          <w:lang w:eastAsia="ja-JP"/>
        </w:rPr>
        <w:t xml:space="preserve">eduction </w:t>
      </w:r>
      <w:r w:rsidR="00B83921" w:rsidRPr="004D3319">
        <w:rPr>
          <w:b w:val="0"/>
          <w:bCs w:val="0"/>
          <w:color w:val="000000" w:themeColor="text1"/>
          <w:lang w:eastAsia="ja-JP"/>
        </w:rPr>
        <w:t xml:space="preserve">in the </w:t>
      </w:r>
      <w:r w:rsidR="0070347F" w:rsidRPr="004D3319">
        <w:rPr>
          <w:b w:val="0"/>
          <w:bCs w:val="0"/>
          <w:color w:val="000000" w:themeColor="text1"/>
          <w:lang w:eastAsia="ja-JP"/>
        </w:rPr>
        <w:t xml:space="preserve">sample weight was </w:t>
      </w:r>
      <w:r w:rsidR="00B83921" w:rsidRPr="004D3319">
        <w:rPr>
          <w:b w:val="0"/>
          <w:bCs w:val="0"/>
          <w:color w:val="000000" w:themeColor="text1"/>
          <w:lang w:eastAsia="ja-JP"/>
        </w:rPr>
        <w:t>observed in</w:t>
      </w:r>
      <w:r w:rsidR="0070347F" w:rsidRPr="004D3319">
        <w:rPr>
          <w:b w:val="0"/>
          <w:bCs w:val="0"/>
          <w:color w:val="000000" w:themeColor="text1"/>
          <w:lang w:eastAsia="ja-JP"/>
        </w:rPr>
        <w:t xml:space="preserve"> the same temperature range, which suggests the decomposition of sulfides and/or dehydration of oxyhydroxides.</w:t>
      </w:r>
      <w:r w:rsidRPr="004D3319">
        <w:rPr>
          <w:b w:val="0"/>
          <w:bCs w:val="0"/>
          <w:color w:val="000000" w:themeColor="text1"/>
          <w:lang w:eastAsia="ja-JP"/>
        </w:rPr>
        <w:t xml:space="preserve"> </w:t>
      </w:r>
    </w:p>
    <w:p w14:paraId="09EE4165" w14:textId="04622FCF" w:rsidR="00150B14" w:rsidRPr="004D3319" w:rsidRDefault="00150B14" w:rsidP="00150B14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</w:p>
    <w:p w14:paraId="45D0C53B" w14:textId="6A0331F0" w:rsidR="004F0128" w:rsidRPr="004D3319" w:rsidRDefault="004C0B55" w:rsidP="00150B14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Text </w:t>
      </w:r>
      <w:r w:rsidR="004F0128" w:rsidRPr="004D3319">
        <w:rPr>
          <w:rFonts w:ascii="Times New Roman" w:hAnsi="Times New Roman" w:cs="Times New Roman" w:hint="eastAsia"/>
          <w:b/>
          <w:bCs/>
          <w:color w:val="000000" w:themeColor="text1"/>
          <w:kern w:val="0"/>
        </w:rPr>
        <w:t>S</w:t>
      </w:r>
      <w:r w:rsidR="00B9551E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3</w:t>
      </w:r>
      <w:r w:rsidR="004F012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. </w:t>
      </w:r>
      <w:r w:rsidR="003D27E9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P</w:t>
      </w:r>
      <w:r w:rsidR="00AA290B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robability</w:t>
      </w:r>
      <w:r w:rsidR="004F012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="003D27E9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of</w:t>
      </w:r>
      <w:r w:rsidR="004F012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basaltic intrusion occur</w:t>
      </w:r>
      <w:r w:rsidR="00F75885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ring</w:t>
      </w:r>
      <w:r w:rsidR="004F012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during either the polarity transitions or </w:t>
      </w:r>
      <w:r w:rsidR="001113FA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geomagnetic </w:t>
      </w:r>
      <w:r w:rsidR="004F0128" w:rsidRPr="004D3319">
        <w:rPr>
          <w:rFonts w:ascii="Times New Roman" w:hAnsi="Times New Roman" w:cs="Times New Roman"/>
          <w:b/>
          <w:bCs/>
          <w:color w:val="000000" w:themeColor="text1"/>
          <w:kern w:val="0"/>
        </w:rPr>
        <w:t>excursions</w:t>
      </w:r>
    </w:p>
    <w:p w14:paraId="7B99FD3B" w14:textId="67FF24F7" w:rsidR="004F0128" w:rsidRPr="004D3319" w:rsidRDefault="004F0128" w:rsidP="004F0128">
      <w:pPr>
        <w:pStyle w:val="Heading-Main"/>
        <w:keepNext w:val="0"/>
        <w:widowControl w:val="0"/>
        <w:ind w:firstLine="720"/>
        <w:rPr>
          <w:b w:val="0"/>
          <w:bCs w:val="0"/>
          <w:color w:val="000000" w:themeColor="text1"/>
          <w:lang w:eastAsia="ja-JP"/>
        </w:rPr>
      </w:pPr>
      <w:r w:rsidRPr="004D3319">
        <w:rPr>
          <w:rFonts w:hint="eastAsia"/>
          <w:b w:val="0"/>
          <w:bCs w:val="0"/>
          <w:color w:val="000000" w:themeColor="text1"/>
          <w:lang w:eastAsia="ja-JP"/>
        </w:rPr>
        <w:t>T</w:t>
      </w:r>
      <w:r w:rsidRPr="004D3319">
        <w:rPr>
          <w:b w:val="0"/>
          <w:bCs w:val="0"/>
          <w:color w:val="000000" w:themeColor="text1"/>
          <w:lang w:eastAsia="ja-JP"/>
        </w:rPr>
        <w:t xml:space="preserve">he approximate probability that the paleomagnetic recording </w:t>
      </w:r>
      <w:r w:rsidR="00F75885" w:rsidRPr="004D3319">
        <w:rPr>
          <w:b w:val="0"/>
          <w:bCs w:val="0"/>
          <w:color w:val="000000" w:themeColor="text1"/>
          <w:lang w:eastAsia="ja-JP"/>
        </w:rPr>
        <w:t>occurred</w:t>
      </w:r>
      <w:r w:rsidRPr="004D3319">
        <w:rPr>
          <w:b w:val="0"/>
          <w:bCs w:val="0"/>
          <w:color w:val="000000" w:themeColor="text1"/>
          <w:lang w:eastAsia="ja-JP"/>
        </w:rPr>
        <w:t xml:space="preserve"> during the period of polarity transitions or geomagnetic excursions c</w:t>
      </w:r>
      <w:r w:rsidR="00F75885" w:rsidRPr="004D3319">
        <w:rPr>
          <w:b w:val="0"/>
          <w:bCs w:val="0"/>
          <w:color w:val="000000" w:themeColor="text1"/>
          <w:lang w:eastAsia="ja-JP"/>
        </w:rPr>
        <w:t>an</w:t>
      </w:r>
      <w:r w:rsidRPr="004D3319">
        <w:rPr>
          <w:b w:val="0"/>
          <w:bCs w:val="0"/>
          <w:color w:val="000000" w:themeColor="text1"/>
          <w:lang w:eastAsia="ja-JP"/>
        </w:rPr>
        <w:t xml:space="preserve"> be estimated as follows. </w:t>
      </w:r>
      <w:r w:rsidRPr="004D3319">
        <w:rPr>
          <w:b w:val="0"/>
          <w:bCs w:val="0"/>
          <w:color w:val="000000" w:themeColor="text1"/>
        </w:rPr>
        <w:t xml:space="preserve">There </w:t>
      </w:r>
      <w:r w:rsidR="00F75885" w:rsidRPr="004D3319">
        <w:rPr>
          <w:b w:val="0"/>
          <w:bCs w:val="0"/>
          <w:color w:val="000000" w:themeColor="text1"/>
        </w:rPr>
        <w:t>we</w:t>
      </w:r>
      <w:r w:rsidRPr="004D3319">
        <w:rPr>
          <w:b w:val="0"/>
          <w:bCs w:val="0"/>
          <w:color w:val="000000" w:themeColor="text1"/>
        </w:rPr>
        <w:t xml:space="preserve">re eight polarity reversals in the last 2800 kyrs </w:t>
      </w:r>
      <w:r w:rsidRPr="004D3319">
        <w:rPr>
          <w:b w:val="0"/>
          <w:bCs w:val="0"/>
          <w:color w:val="000000" w:themeColor="text1"/>
          <w:lang w:eastAsia="ja-JP"/>
        </w:rPr>
        <w:t xml:space="preserve">(e.g. Channell et al., 2020), and the duration of </w:t>
      </w:r>
      <w:r w:rsidR="00F75885" w:rsidRPr="004D3319">
        <w:rPr>
          <w:b w:val="0"/>
          <w:bCs w:val="0"/>
          <w:color w:val="000000" w:themeColor="text1"/>
          <w:lang w:eastAsia="ja-JP"/>
        </w:rPr>
        <w:t xml:space="preserve">the </w:t>
      </w:r>
      <w:r w:rsidRPr="004D3319">
        <w:rPr>
          <w:b w:val="0"/>
          <w:bCs w:val="0"/>
          <w:color w:val="000000" w:themeColor="text1"/>
        </w:rPr>
        <w:t>Matuyama-Brunhes boundary is 5</w:t>
      </w:r>
      <w:r w:rsidRPr="004D3319">
        <w:rPr>
          <w:color w:val="000000" w:themeColor="text1"/>
        </w:rPr>
        <w:t>–</w:t>
      </w:r>
      <w:r w:rsidRPr="004D3319">
        <w:rPr>
          <w:b w:val="0"/>
          <w:bCs w:val="0"/>
          <w:color w:val="000000" w:themeColor="text1"/>
        </w:rPr>
        <w:t xml:space="preserve">7 kyr (Channell, 2017). Assuming that </w:t>
      </w:r>
      <w:r w:rsidR="00F75885" w:rsidRPr="004D3319">
        <w:rPr>
          <w:b w:val="0"/>
          <w:bCs w:val="0"/>
          <w:color w:val="000000" w:themeColor="text1"/>
        </w:rPr>
        <w:t xml:space="preserve">the </w:t>
      </w:r>
      <w:r w:rsidRPr="004D3319">
        <w:rPr>
          <w:b w:val="0"/>
          <w:bCs w:val="0"/>
          <w:color w:val="000000" w:themeColor="text1"/>
        </w:rPr>
        <w:t xml:space="preserve">durations of the other polarity transitions and those for the Miocene are comparable to that of </w:t>
      </w:r>
      <w:r w:rsidR="00F75885" w:rsidRPr="004D3319">
        <w:rPr>
          <w:b w:val="0"/>
          <w:bCs w:val="0"/>
          <w:color w:val="000000" w:themeColor="text1"/>
        </w:rPr>
        <w:t xml:space="preserve">the </w:t>
      </w:r>
      <w:r w:rsidRPr="004D3319">
        <w:rPr>
          <w:b w:val="0"/>
          <w:bCs w:val="0"/>
          <w:color w:val="000000" w:themeColor="text1"/>
        </w:rPr>
        <w:t>Matuyama-Brunhes boundary, the possibility that the basaltic intrusion event occurred during the polarity transition is 1.4-2.0%.</w:t>
      </w:r>
      <w:r w:rsidR="00204CC5" w:rsidRPr="004D3319">
        <w:rPr>
          <w:b w:val="0"/>
          <w:bCs w:val="0"/>
          <w:color w:val="000000" w:themeColor="text1"/>
        </w:rPr>
        <w:t xml:space="preserve"> </w:t>
      </w:r>
      <w:r w:rsidR="00F75885" w:rsidRPr="004D3319">
        <w:rPr>
          <w:b w:val="0"/>
          <w:bCs w:val="0"/>
          <w:color w:val="000000" w:themeColor="text1"/>
        </w:rPr>
        <w:t>However</w:t>
      </w:r>
      <w:r w:rsidRPr="004D3319">
        <w:rPr>
          <w:b w:val="0"/>
          <w:bCs w:val="0"/>
          <w:color w:val="000000" w:themeColor="text1"/>
        </w:rPr>
        <w:t xml:space="preserve">, </w:t>
      </w:r>
      <w:r w:rsidRPr="004D3319">
        <w:rPr>
          <w:b w:val="0"/>
          <w:bCs w:val="0"/>
          <w:color w:val="000000" w:themeColor="text1"/>
          <w:lang w:eastAsia="ja-JP"/>
        </w:rPr>
        <w:t>the duration of geomagnetic excursion is estimated to be</w:t>
      </w:r>
      <w:r w:rsidR="00204CC5" w:rsidRPr="004D3319">
        <w:rPr>
          <w:b w:val="0"/>
          <w:bCs w:val="0"/>
          <w:color w:val="000000" w:themeColor="text1"/>
          <w:lang w:eastAsia="ja-JP"/>
        </w:rPr>
        <w:t xml:space="preserve"> &lt;</w:t>
      </w:r>
      <w:r w:rsidRPr="004D3319">
        <w:rPr>
          <w:b w:val="0"/>
          <w:bCs w:val="0"/>
          <w:color w:val="000000" w:themeColor="text1"/>
          <w:lang w:eastAsia="ja-JP"/>
        </w:rPr>
        <w:t>3 kyr, and there</w:t>
      </w:r>
      <w:r w:rsidR="00204CC5" w:rsidRPr="004D3319">
        <w:rPr>
          <w:b w:val="0"/>
          <w:bCs w:val="0"/>
          <w:color w:val="000000" w:themeColor="text1"/>
          <w:lang w:eastAsia="ja-JP"/>
        </w:rPr>
        <w:t xml:space="preserve"> we</w:t>
      </w:r>
      <w:r w:rsidRPr="004D3319">
        <w:rPr>
          <w:b w:val="0"/>
          <w:bCs w:val="0"/>
          <w:color w:val="000000" w:themeColor="text1"/>
          <w:lang w:eastAsia="ja-JP"/>
        </w:rPr>
        <w:t xml:space="preserve">re 23 excursions during the last 2800 kyrs (Channell et al., 2020). </w:t>
      </w:r>
      <w:r w:rsidRPr="004D3319">
        <w:rPr>
          <w:rFonts w:hint="eastAsia"/>
          <w:b w:val="0"/>
          <w:bCs w:val="0"/>
          <w:color w:val="000000" w:themeColor="text1"/>
          <w:lang w:eastAsia="ja-JP"/>
        </w:rPr>
        <w:t>T</w:t>
      </w:r>
      <w:r w:rsidRPr="004D3319">
        <w:rPr>
          <w:b w:val="0"/>
          <w:bCs w:val="0"/>
          <w:color w:val="000000" w:themeColor="text1"/>
          <w:lang w:eastAsia="ja-JP"/>
        </w:rPr>
        <w:t>his corresponds to</w:t>
      </w:r>
      <w:r w:rsidR="00204CC5" w:rsidRPr="004D3319">
        <w:rPr>
          <w:b w:val="0"/>
          <w:bCs w:val="0"/>
          <w:color w:val="000000" w:themeColor="text1"/>
          <w:lang w:eastAsia="ja-JP"/>
        </w:rPr>
        <w:t xml:space="preserve"> the</w:t>
      </w:r>
      <w:r w:rsidRPr="004D3319">
        <w:rPr>
          <w:b w:val="0"/>
          <w:bCs w:val="0"/>
          <w:color w:val="000000" w:themeColor="text1"/>
          <w:lang w:eastAsia="ja-JP"/>
        </w:rPr>
        <w:t xml:space="preserve"> 69 kyr of </w:t>
      </w:r>
      <w:r w:rsidR="00204CC5" w:rsidRPr="004D3319">
        <w:rPr>
          <w:b w:val="0"/>
          <w:bCs w:val="0"/>
          <w:color w:val="000000" w:themeColor="text1"/>
          <w:lang w:eastAsia="ja-JP"/>
        </w:rPr>
        <w:t xml:space="preserve">the </w:t>
      </w:r>
      <w:r w:rsidRPr="004D3319">
        <w:rPr>
          <w:b w:val="0"/>
          <w:bCs w:val="0"/>
          <w:color w:val="000000" w:themeColor="text1"/>
          <w:lang w:eastAsia="ja-JP"/>
        </w:rPr>
        <w:t xml:space="preserve">excursional period </w:t>
      </w:r>
      <w:r w:rsidR="00204CC5" w:rsidRPr="004D3319">
        <w:rPr>
          <w:b w:val="0"/>
          <w:bCs w:val="0"/>
          <w:color w:val="000000" w:themeColor="text1"/>
          <w:lang w:eastAsia="ja-JP"/>
        </w:rPr>
        <w:t>of</w:t>
      </w:r>
      <w:r w:rsidRPr="004D3319">
        <w:rPr>
          <w:b w:val="0"/>
          <w:bCs w:val="0"/>
          <w:color w:val="000000" w:themeColor="text1"/>
          <w:lang w:eastAsia="ja-JP"/>
        </w:rPr>
        <w:t xml:space="preserve"> 2800 kyrs, which is </w:t>
      </w:r>
      <w:r w:rsidR="00204CC5" w:rsidRPr="004D3319">
        <w:rPr>
          <w:b w:val="0"/>
          <w:bCs w:val="0"/>
          <w:color w:val="000000" w:themeColor="text1"/>
          <w:lang w:eastAsia="ja-JP"/>
        </w:rPr>
        <w:t>approximately</w:t>
      </w:r>
      <w:r w:rsidRPr="004D3319">
        <w:rPr>
          <w:b w:val="0"/>
          <w:bCs w:val="0"/>
          <w:color w:val="000000" w:themeColor="text1"/>
          <w:lang w:eastAsia="ja-JP"/>
        </w:rPr>
        <w:t xml:space="preserve"> 3% of the total period</w:t>
      </w:r>
      <w:r w:rsidRPr="004D3319">
        <w:rPr>
          <w:rFonts w:hint="eastAsia"/>
          <w:b w:val="0"/>
          <w:bCs w:val="0"/>
          <w:color w:val="000000" w:themeColor="text1"/>
          <w:lang w:eastAsia="ja-JP"/>
        </w:rPr>
        <w:t>.</w:t>
      </w:r>
      <w:r w:rsidR="004D6E65" w:rsidRPr="004D3319">
        <w:rPr>
          <w:b w:val="0"/>
          <w:bCs w:val="0"/>
          <w:color w:val="000000" w:themeColor="text1"/>
          <w:lang w:eastAsia="ja-JP"/>
        </w:rPr>
        <w:t xml:space="preserve"> </w:t>
      </w:r>
      <w:r w:rsidRPr="004D3319">
        <w:rPr>
          <w:b w:val="0"/>
          <w:bCs w:val="0"/>
          <w:color w:val="000000" w:themeColor="text1"/>
          <w:lang w:eastAsia="ja-JP"/>
        </w:rPr>
        <w:t xml:space="preserve"> </w:t>
      </w:r>
    </w:p>
    <w:p w14:paraId="06238DF4" w14:textId="657EFC41" w:rsidR="005E2246" w:rsidRPr="004D3319" w:rsidRDefault="005E2246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color w:val="000000" w:themeColor="text1"/>
          <w:kern w:val="0"/>
        </w:rPr>
        <w:br w:type="page"/>
      </w:r>
    </w:p>
    <w:p w14:paraId="6B58176E" w14:textId="77777777" w:rsidR="0057724D" w:rsidRPr="004D3319" w:rsidRDefault="00605527" w:rsidP="00FA0707">
      <w:pPr>
        <w:jc w:val="left"/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61312" behindDoc="0" locked="0" layoutInCell="1" allowOverlap="1" wp14:anchorId="391A4360" wp14:editId="6D7AA016">
            <wp:simplePos x="0" y="0"/>
            <wp:positionH relativeFrom="column">
              <wp:posOffset>9525</wp:posOffset>
            </wp:positionH>
            <wp:positionV relativeFrom="paragraph">
              <wp:posOffset>28575</wp:posOffset>
            </wp:positionV>
            <wp:extent cx="5340985" cy="5245735"/>
            <wp:effectExtent l="0" t="0" r="5715" b="0"/>
            <wp:wrapTopAndBottom/>
            <wp:docPr id="57" name="図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図 57"/>
                    <pic:cNvPicPr/>
                  </pic:nvPicPr>
                  <pic:blipFill>
                    <a:blip r:embed="rId6"/>
                    <a:srcRect l="69" r="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985" cy="52457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BA2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Figure S1</w:t>
      </w:r>
      <w:r w:rsidR="003606B6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.</w:t>
      </w:r>
      <w:r w:rsidR="00481BA2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 xml:space="preserve"> </w:t>
      </w:r>
      <w:r w:rsidR="00491D44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 xml:space="preserve">Location of the samples. </w:t>
      </w:r>
    </w:p>
    <w:p w14:paraId="4AFA410C" w14:textId="3F5CEF60" w:rsidR="00F431C2" w:rsidRPr="004D3319" w:rsidRDefault="00481BA2" w:rsidP="00FA0707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(a) Red and green rectangles indicate samples for geochemical and geochronological analyses, respectively. (b) Blue rectangles indicate paleomagnetic samples. </w:t>
      </w:r>
    </w:p>
    <w:p w14:paraId="00E4D145" w14:textId="77777777" w:rsidR="00F431C2" w:rsidRPr="004D3319" w:rsidRDefault="00F431C2">
      <w:pPr>
        <w:widowControl/>
        <w:jc w:val="lef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br w:type="page"/>
      </w:r>
    </w:p>
    <w:p w14:paraId="37F7E6C1" w14:textId="472A94E9" w:rsidR="00677107" w:rsidRPr="004D3319" w:rsidRDefault="00F431C2" w:rsidP="00677107">
      <w:pPr>
        <w:spacing w:line="300" w:lineRule="exact"/>
        <w:rPr>
          <w:rFonts w:ascii="Times New Roman" w:eastAsia="Calibri" w:hAnsi="Times New Roman"/>
          <w:bCs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75648" behindDoc="0" locked="0" layoutInCell="1" allowOverlap="1" wp14:anchorId="203CC12A" wp14:editId="45D685BE">
            <wp:simplePos x="0" y="0"/>
            <wp:positionH relativeFrom="column">
              <wp:posOffset>21590</wp:posOffset>
            </wp:positionH>
            <wp:positionV relativeFrom="paragraph">
              <wp:posOffset>5080</wp:posOffset>
            </wp:positionV>
            <wp:extent cx="5356225" cy="5017135"/>
            <wp:effectExtent l="0" t="0" r="3175" b="0"/>
            <wp:wrapTopAndBottom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図 14"/>
                    <pic:cNvPicPr/>
                  </pic:nvPicPr>
                  <pic:blipFill rotWithShape="1">
                    <a:blip r:embed="rId7"/>
                    <a:srcRect t="1031" r="7616" b="10737"/>
                    <a:stretch/>
                  </pic:blipFill>
                  <pic:spPr bwMode="auto">
                    <a:xfrm>
                      <a:off x="0" y="0"/>
                      <a:ext cx="5356225" cy="5017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Figure S</w:t>
      </w:r>
      <w:r w:rsidR="00AB259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2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 xml:space="preserve">. Results of 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  <w:vertAlign w:val="superscript"/>
        </w:rPr>
        <w:t>40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Ar/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  <w:vertAlign w:val="superscript"/>
        </w:rPr>
        <w:t>39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Ar dating analyses</w:t>
      </w:r>
      <w:r w:rsidR="0057724D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.</w:t>
      </w:r>
    </w:p>
    <w:p w14:paraId="6A7A1DD2" w14:textId="770A6A3F" w:rsidR="00677107" w:rsidRPr="004D3319" w:rsidRDefault="0034423E" w:rsidP="0034423E">
      <w:pPr>
        <w:spacing w:line="300" w:lineRule="exact"/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>Age spectra with</w:t>
      </w:r>
      <w:r w:rsidR="004E70B3"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 xml:space="preserve"> a</w:t>
      </w:r>
      <w:r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 xml:space="preserve"> Ca/K plot (left) and inverse isochron plot for groundmass samples from </w:t>
      </w:r>
      <w:r w:rsidR="00677107"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>(a) N</w:t>
      </w:r>
      <w:r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 xml:space="preserve">CD1-2 and </w:t>
      </w:r>
      <w:r w:rsidR="00677107"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 xml:space="preserve">(b) </w:t>
      </w:r>
      <w:r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</w:rPr>
        <w:t xml:space="preserve">NCD2-2. </w:t>
      </w:r>
    </w:p>
    <w:p w14:paraId="1EBCC841" w14:textId="59E6AB0A" w:rsidR="00F431C2" w:rsidRPr="004D3319" w:rsidRDefault="00F431C2">
      <w:pPr>
        <w:widowControl/>
        <w:jc w:val="lef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br w:type="page"/>
      </w:r>
    </w:p>
    <w:p w14:paraId="6E29DF00" w14:textId="61205CD2" w:rsidR="0034423E" w:rsidRPr="004D3319" w:rsidRDefault="001F4857" w:rsidP="0034423E">
      <w:pPr>
        <w:spacing w:line="300" w:lineRule="exac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76672" behindDoc="0" locked="0" layoutInCell="1" allowOverlap="1" wp14:anchorId="78005E97" wp14:editId="38B6B686">
            <wp:simplePos x="0" y="0"/>
            <wp:positionH relativeFrom="column">
              <wp:posOffset>1905</wp:posOffset>
            </wp:positionH>
            <wp:positionV relativeFrom="paragraph">
              <wp:posOffset>-5588000</wp:posOffset>
            </wp:positionV>
            <wp:extent cx="5396230" cy="5744210"/>
            <wp:effectExtent l="0" t="0" r="1270" b="0"/>
            <wp:wrapTopAndBottom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5744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Figure S</w:t>
      </w:r>
      <w:r w:rsidR="00AB259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>3</w:t>
      </w:r>
      <w:r w:rsidR="00677107" w:rsidRPr="004D3319">
        <w:rPr>
          <w:rFonts w:ascii="Times New Roman" w:eastAsia="Calibri" w:hAnsi="Times New Roman" w:cs="Times New Roman"/>
          <w:b/>
          <w:color w:val="000000" w:themeColor="text1"/>
          <w:sz w:val="21"/>
          <w:szCs w:val="21"/>
        </w:rPr>
        <w:t xml:space="preserve">. </w:t>
      </w:r>
      <w:r w:rsidR="0034423E" w:rsidRPr="004D3319">
        <w:rPr>
          <w:rFonts w:ascii="Times New Roman" w:eastAsia="Calibri" w:hAnsi="Times New Roman"/>
          <w:b/>
          <w:color w:val="000000" w:themeColor="text1"/>
          <w:sz w:val="21"/>
          <w:szCs w:val="21"/>
        </w:rPr>
        <w:t>Representative Zijderveld diagrams obtained by stepwise thermal demagnetization experiments in air</w:t>
      </w:r>
      <w:r w:rsidR="0057724D" w:rsidRPr="004D3319">
        <w:rPr>
          <w:rFonts w:ascii="Times New Roman" w:eastAsia="Calibri" w:hAnsi="Times New Roman"/>
          <w:b/>
          <w:color w:val="000000" w:themeColor="text1"/>
          <w:sz w:val="21"/>
          <w:szCs w:val="21"/>
        </w:rPr>
        <w:t>.</w:t>
      </w:r>
    </w:p>
    <w:p w14:paraId="7D3FC923" w14:textId="41E1F252" w:rsidR="0034423E" w:rsidRPr="004D3319" w:rsidRDefault="0034423E" w:rsidP="0034423E">
      <w:pPr>
        <w:spacing w:line="300" w:lineRule="exact"/>
        <w:rPr>
          <w:rFonts w:ascii="Times New Roman" w:eastAsia="Calibri" w:hAnsi="Times New Roman"/>
          <w:bCs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>(a) Na-D1-4-5a, (b) Na-D1-10-1b, (c) Na-D2-2-4b, and (d) Na-D2-6-3a. Insets for each subfigure</w:t>
      </w:r>
      <w:r w:rsidR="004E70B3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comprise</w:t>
      </w:r>
      <w:r w:rsidR="00D01FBD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</w:t>
      </w:r>
      <w:r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>a close-up of each diagram showing characteristic remanent magnetization with the linear trend identified at temperatures above 450</w:t>
      </w:r>
      <w:r w:rsidR="004E70B3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</w:t>
      </w:r>
      <w:r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°C. </w:t>
      </w:r>
      <w:r w:rsidR="00133E99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>Typically, the intensities of magnetizations are about 0.01 A/m at 450</w:t>
      </w:r>
      <w:r w:rsidR="004E70B3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</w:t>
      </w:r>
      <w:r w:rsidR="00133E99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>°C, which is reduced to &lt;0.002 A/m at 575</w:t>
      </w:r>
      <w:r w:rsidR="004E70B3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</w:t>
      </w:r>
      <w:r w:rsidR="00133E99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>°C in case of successful ThD</w:t>
      </w:r>
      <w:r w:rsidR="00133E99" w:rsidRPr="004D3319">
        <w:rPr>
          <w:rFonts w:ascii="Times New Roman" w:eastAsia="Calibri" w:hAnsi="Times New Roman" w:hint="eastAsia"/>
          <w:bCs/>
          <w:color w:val="000000" w:themeColor="text1"/>
          <w:sz w:val="21"/>
          <w:szCs w:val="21"/>
        </w:rPr>
        <w:t>.</w:t>
      </w:r>
      <w:r w:rsidR="00133E99"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 </w:t>
      </w:r>
      <w:r w:rsidRPr="004D3319">
        <w:rPr>
          <w:rFonts w:ascii="Times New Roman" w:eastAsia="Calibri" w:hAnsi="Times New Roman"/>
          <w:bCs/>
          <w:color w:val="000000" w:themeColor="text1"/>
          <w:sz w:val="21"/>
          <w:szCs w:val="21"/>
        </w:rPr>
        <w:t xml:space="preserve">Note that white and black circles are vertical and horizontal projections, respectively. </w:t>
      </w:r>
    </w:p>
    <w:p w14:paraId="1BD524E3" w14:textId="782A95AB" w:rsidR="001F4857" w:rsidRPr="004D3319" w:rsidRDefault="001F4857">
      <w:pPr>
        <w:widowControl/>
        <w:jc w:val="left"/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Cs/>
          <w:color w:val="000000" w:themeColor="text1"/>
          <w:sz w:val="21"/>
          <w:szCs w:val="21"/>
          <w:lang w:eastAsia="en-US"/>
        </w:rPr>
        <w:br w:type="page"/>
      </w:r>
    </w:p>
    <w:p w14:paraId="0A0705B5" w14:textId="5E3F357E" w:rsidR="001F4857" w:rsidRPr="004D3319" w:rsidRDefault="001F4857" w:rsidP="003606B6">
      <w:pPr>
        <w:spacing w:line="300" w:lineRule="exac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77696" behindDoc="0" locked="0" layoutInCell="1" allowOverlap="1" wp14:anchorId="30DB7926" wp14:editId="3C954511">
            <wp:simplePos x="0" y="0"/>
            <wp:positionH relativeFrom="column">
              <wp:posOffset>143510</wp:posOffset>
            </wp:positionH>
            <wp:positionV relativeFrom="paragraph">
              <wp:posOffset>41</wp:posOffset>
            </wp:positionV>
            <wp:extent cx="4831200" cy="5956200"/>
            <wp:effectExtent l="0" t="0" r="0" b="635"/>
            <wp:wrapThrough wrapText="bothSides">
              <wp:wrapPolygon edited="0">
                <wp:start x="0" y="0"/>
                <wp:lineTo x="0" y="21556"/>
                <wp:lineTo x="21521" y="21556"/>
                <wp:lineTo x="21521" y="0"/>
                <wp:lineTo x="0" y="0"/>
              </wp:wrapPolygon>
            </wp:wrapThrough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1200" cy="595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06B6"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4</w:t>
      </w:r>
      <w:r w:rsidR="003606B6"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. Representative paleomagnetic results of combined analyses for three specimens from hand sample Na-D2-1</w:t>
      </w:r>
      <w:r w:rsidR="0057724D"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.</w:t>
      </w:r>
    </w:p>
    <w:p w14:paraId="7BCD8DE3" w14:textId="064AB489" w:rsidR="001F4857" w:rsidRPr="004D3319" w:rsidRDefault="003606B6" w:rsidP="003606B6">
      <w:pPr>
        <w:spacing w:line="300" w:lineRule="exac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Paleomagnetic data were fitted with either a great circle (a-b) or a line (c-f)</w:t>
      </w:r>
      <w:r w:rsidR="004E70B3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,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depending on the linearity of the demagnetization data. (a, c, e) Equal</w:t>
      </w:r>
      <w:r w:rsidR="004E70B3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-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area projection</w:t>
      </w:r>
      <w:r w:rsidR="004E70B3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s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, </w:t>
      </w:r>
      <w:r w:rsidR="004E70B3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marked by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where white and black circles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comprise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projections onto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upper and lower hemispheres, respectively. (b, d, f) Zi</w:t>
      </w:r>
      <w:r w:rsidR="005F34FC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j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derveld plots, where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white and black circles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represent the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vertical and horizontal projections, respectively. (g)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T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able summarizing the mean direction of the hand sample and fitting results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of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the specimens. (h) Equal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-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area projection of the mean direction obtained by combined analyses of remagnetization circles (McFadden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and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McElhinny, 1988) and directions of line fitting and a fitted great circle.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The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solid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red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circle </w:t>
      </w:r>
      <w:r w:rsidR="00DD58B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represents the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95% confidence limit for the mean direction.</w:t>
      </w:r>
      <w:r w:rsidR="0034423E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 xml:space="preserve"> </w:t>
      </w:r>
    </w:p>
    <w:p w14:paraId="568C9A2D" w14:textId="2AD31174" w:rsidR="00FA0707" w:rsidRPr="004D3319" w:rsidRDefault="00FA0707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br w:type="page"/>
      </w:r>
    </w:p>
    <w:p w14:paraId="3061741C" w14:textId="2697644C" w:rsidR="00FA0707" w:rsidRPr="004D3319" w:rsidRDefault="00FA0707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78720" behindDoc="0" locked="0" layoutInCell="1" allowOverlap="1" wp14:anchorId="55D2E92C" wp14:editId="2098B674">
            <wp:simplePos x="0" y="0"/>
            <wp:positionH relativeFrom="column">
              <wp:posOffset>10111</wp:posOffset>
            </wp:positionH>
            <wp:positionV relativeFrom="paragraph">
              <wp:posOffset>278</wp:posOffset>
            </wp:positionV>
            <wp:extent cx="5380892" cy="6026409"/>
            <wp:effectExtent l="0" t="0" r="4445" b="0"/>
            <wp:wrapTopAndBottom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図 1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2163" cy="6039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5</w:t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 Paleomagnetic directions for basaltic dikes at Naon</w:t>
      </w:r>
      <w:r w:rsidR="0057724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</w:t>
      </w:r>
    </w:p>
    <w:p w14:paraId="7E514A41" w14:textId="38BF8C5A" w:rsidR="00FA0707" w:rsidRPr="004D3319" w:rsidRDefault="00FA0707" w:rsidP="00545F60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Equal</w:t>
      </w:r>
      <w:r w:rsidR="00A511A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-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area projections of paleomagnetic directions for specimens from (a) basaltic </w:t>
      </w:r>
      <w:r w:rsidR="00A511A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D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ike1, and (b) basaltic </w:t>
      </w:r>
      <w:r w:rsidR="00A511A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D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ike2. (c) 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E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qual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-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area projection of the mean directions 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and means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of the two dikes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.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Open symbols represent projection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s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onto the upper hemisphere. 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The d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ashed line </w:t>
      </w:r>
      <w:r w:rsidR="0043747B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indicates the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95% confidence limits.  </w:t>
      </w:r>
    </w:p>
    <w:p w14:paraId="3BBDD892" w14:textId="77777777" w:rsidR="00FA0707" w:rsidRPr="004D3319" w:rsidRDefault="00FA0707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br w:type="page"/>
      </w:r>
    </w:p>
    <w:p w14:paraId="52A9800B" w14:textId="6A394359" w:rsidR="0062573D" w:rsidRPr="004D3319" w:rsidRDefault="00F5730E" w:rsidP="0062573D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79744" behindDoc="0" locked="0" layoutInCell="1" allowOverlap="1" wp14:anchorId="7FF22CC3" wp14:editId="78649024">
            <wp:simplePos x="0" y="0"/>
            <wp:positionH relativeFrom="column">
              <wp:posOffset>-13335</wp:posOffset>
            </wp:positionH>
            <wp:positionV relativeFrom="paragraph">
              <wp:posOffset>220</wp:posOffset>
            </wp:positionV>
            <wp:extent cx="5416062" cy="6277292"/>
            <wp:effectExtent l="0" t="0" r="0" b="0"/>
            <wp:wrapTopAndBottom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27628" cy="6290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0707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6</w:t>
      </w:r>
      <w:r w:rsidR="00FA0707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 xml:space="preserve">. </w:t>
      </w:r>
      <w:r w:rsidR="00021C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Low-temperature</w:t>
      </w:r>
      <w:r w:rsidR="0062573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 xml:space="preserve"> property of a chip sample with MPMS</w:t>
      </w:r>
      <w:r w:rsidR="0057724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</w:t>
      </w:r>
    </w:p>
    <w:p w14:paraId="3B49C754" w14:textId="16B02B40" w:rsidR="0062573D" w:rsidRPr="004D3319" w:rsidRDefault="0062573D" w:rsidP="0062573D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Magnetization was monitored during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warming and cooling of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z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ero-field (ZF) cycling and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warming of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z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ero-field cooling (ZFC) and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f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ield cooling (FC).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The i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nterpolation of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measured data using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a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smoothing spline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is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shown. The curve after differentiation (black broken line) clearly shows inflection point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s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at ~115 K and 113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</w:t>
      </w: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K.</w:t>
      </w:r>
    </w:p>
    <w:p w14:paraId="2A0067B6" w14:textId="1870C82C" w:rsidR="00F5730E" w:rsidRPr="004D3319" w:rsidRDefault="00F5730E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br w:type="page"/>
      </w:r>
    </w:p>
    <w:p w14:paraId="77C6F303" w14:textId="32131F04" w:rsidR="00F5730E" w:rsidRPr="004D3319" w:rsidRDefault="00F5730E" w:rsidP="00F5730E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80768" behindDoc="0" locked="0" layoutInCell="1" allowOverlap="1" wp14:anchorId="4B5419F0" wp14:editId="5682EBDC">
            <wp:simplePos x="0" y="0"/>
            <wp:positionH relativeFrom="column">
              <wp:posOffset>21590</wp:posOffset>
            </wp:positionH>
            <wp:positionV relativeFrom="paragraph">
              <wp:posOffset>49530</wp:posOffset>
            </wp:positionV>
            <wp:extent cx="5342255" cy="2529840"/>
            <wp:effectExtent l="0" t="0" r="4445" b="0"/>
            <wp:wrapTopAndBottom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図 2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42255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7</w:t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 Results of unmixing IRM measurement</w:t>
      </w:r>
      <w:r w:rsidR="0057724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</w:t>
      </w:r>
    </w:p>
    <w:p w14:paraId="314BA3D1" w14:textId="39F366BD" w:rsidR="005E7427" w:rsidRPr="004D3319" w:rsidRDefault="0057724D" w:rsidP="0057724D">
      <w:pPr>
        <w:widowControl/>
        <w:jc w:val="lef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Coercivity distribution from IRM acquisition with shaded areas representing the 95% confiden</w:t>
      </w:r>
      <w:r w:rsidR="00C60EA2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ce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interval. </w:t>
      </w:r>
      <w:r w:rsidR="00C60EA2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The y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ellow line is </w:t>
      </w:r>
      <w:r w:rsidR="00C60EA2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the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interpolation of</w:t>
      </w:r>
      <w:r w:rsidR="00C60EA2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the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measured data (grey solid circles) by </w:t>
      </w:r>
      <w:r w:rsidR="00C60EA2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a 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smoothing spline. </w:t>
      </w:r>
      <w:r w:rsidRPr="004D3319">
        <w:rPr>
          <w:rFonts w:ascii="Times New Roman" w:eastAsia="Calibri" w:hAnsi="Times New Roman" w:cs="Times New Roman" w:hint="eastAsia"/>
          <w:color w:val="000000" w:themeColor="text1"/>
          <w:sz w:val="21"/>
          <w:szCs w:val="21"/>
          <w:lang w:eastAsia="en-US"/>
        </w:rPr>
        <w:t>(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a) </w:t>
      </w:r>
      <w:r w:rsidR="005E7427" w:rsidRPr="004D3319">
        <w:rPr>
          <w:rFonts w:ascii="Times New Roman" w:eastAsia="Calibri" w:hAnsi="Times New Roman" w:cs="Times New Roman" w:hint="eastAsia"/>
          <w:noProof/>
          <w:color w:val="000000" w:themeColor="text1"/>
          <w:sz w:val="21"/>
          <w:szCs w:val="21"/>
          <w:lang w:eastAsia="en-US"/>
        </w:rPr>
        <w:t>N</w:t>
      </w:r>
      <w:r w:rsidR="005E7427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a-D1-1-5a and (b) Na-D2-2-3b.</w:t>
      </w:r>
      <w:r w:rsidR="00375B6A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B</w:t>
      </w:r>
      <w:r w:rsidR="00375B6A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vertAlign w:val="subscript"/>
          <w:lang w:eastAsia="en-US"/>
        </w:rPr>
        <w:t>h</w:t>
      </w:r>
      <w:r w:rsidR="00375B6A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:</w:t>
      </w:r>
      <w:r w:rsidR="00A93DC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mean coercivity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;</w:t>
      </w:r>
      <w:r w:rsidR="00A93DC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DP: </w:t>
      </w:r>
      <w:r w:rsidR="00C60EA2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D</w:t>
      </w:r>
      <w:r w:rsidR="00A93DCD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iperison parameter. </w:t>
      </w:r>
    </w:p>
    <w:p w14:paraId="21AA30AC" w14:textId="4A955C52" w:rsidR="00F5730E" w:rsidRPr="004D3319" w:rsidRDefault="00F5730E" w:rsidP="00F5730E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82816" behindDoc="0" locked="0" layoutInCell="1" allowOverlap="1" wp14:anchorId="515CF31C" wp14:editId="30E6D33D">
            <wp:simplePos x="0" y="0"/>
            <wp:positionH relativeFrom="column">
              <wp:posOffset>187</wp:posOffset>
            </wp:positionH>
            <wp:positionV relativeFrom="paragraph">
              <wp:posOffset>586</wp:posOffset>
            </wp:positionV>
            <wp:extent cx="5408935" cy="5980642"/>
            <wp:effectExtent l="0" t="0" r="1270" b="1270"/>
            <wp:wrapSquare wrapText="bothSides"/>
            <wp:docPr id="2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21"/>
                    <pic:cNvPicPr/>
                  </pic:nvPicPr>
                  <pic:blipFill>
                    <a:blip r:embed="rId13"/>
                    <a:srcRect l="127" r="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35" cy="5980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8</w:t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 Results of FORC measurement</w:t>
      </w:r>
      <w:r w:rsidR="0057724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</w:t>
      </w:r>
    </w:p>
    <w:p w14:paraId="36D5B11E" w14:textId="381812AE" w:rsidR="005E7427" w:rsidRPr="004D3319" w:rsidRDefault="00C60EA2" w:rsidP="005E7427">
      <w:pPr>
        <w:widowControl/>
        <w:jc w:val="left"/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The </w:t>
      </w:r>
      <w:r w:rsidR="0057724D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FORC diagram indicat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es</w:t>
      </w:r>
      <w:r w:rsidR="0057724D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the presence of four components with different grain size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s</w:t>
      </w:r>
      <w:r w:rsidR="0057724D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.</w:t>
      </w:r>
      <w:r w:rsidR="00DD77C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SD: single domain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;</w:t>
      </w:r>
      <w:r w:rsidR="00DD77C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PSD: pseudo-single domain</w:t>
      </w:r>
      <w:r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>;</w:t>
      </w:r>
      <w:r w:rsidR="00DD77C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MD: multi-domain.</w:t>
      </w:r>
      <w:r w:rsidR="0057724D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t xml:space="preserve"> </w:t>
      </w:r>
      <w:r w:rsidR="005E7427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(a) </w:t>
      </w:r>
      <w:r w:rsidR="00F5730E" w:rsidRPr="004D3319">
        <w:rPr>
          <w:rFonts w:ascii="Times New Roman" w:eastAsia="Calibri" w:hAnsi="Times New Roman" w:cs="Times New Roman" w:hint="eastAsia"/>
          <w:noProof/>
          <w:color w:val="000000" w:themeColor="text1"/>
          <w:sz w:val="21"/>
          <w:szCs w:val="21"/>
          <w:lang w:eastAsia="en-US"/>
        </w:rPr>
        <w:t>N</w:t>
      </w:r>
      <w:r w:rsidR="00F5730E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a-D1-6-</w:t>
      </w:r>
      <w:r w:rsidR="0010004A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>1a</w:t>
      </w:r>
      <w:r w:rsidR="005E7427"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t xml:space="preserve"> and (b) Na-D2-2-3b.</w:t>
      </w:r>
    </w:p>
    <w:p w14:paraId="5C848EE7" w14:textId="77777777" w:rsidR="005E7427" w:rsidRPr="004D3319" w:rsidRDefault="005E7427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br w:type="page"/>
      </w:r>
    </w:p>
    <w:p w14:paraId="37603556" w14:textId="162579EC" w:rsidR="005E7427" w:rsidRPr="004D3319" w:rsidRDefault="005E7427" w:rsidP="005E7427">
      <w:pPr>
        <w:widowControl/>
        <w:jc w:val="left"/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  <w:drawing>
          <wp:anchor distT="0" distB="0" distL="114300" distR="114300" simplePos="0" relativeHeight="251681792" behindDoc="0" locked="0" layoutInCell="1" allowOverlap="1" wp14:anchorId="14BA7AEA" wp14:editId="4785C3B9">
            <wp:simplePos x="0" y="0"/>
            <wp:positionH relativeFrom="column">
              <wp:posOffset>1905</wp:posOffset>
            </wp:positionH>
            <wp:positionV relativeFrom="paragraph">
              <wp:posOffset>5080</wp:posOffset>
            </wp:positionV>
            <wp:extent cx="5387975" cy="3134995"/>
            <wp:effectExtent l="0" t="0" r="0" b="1905"/>
            <wp:wrapTopAndBottom/>
            <wp:docPr id="22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Figure S</w:t>
      </w:r>
      <w:r w:rsidR="00D01FBD"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9</w:t>
      </w:r>
      <w:r w:rsidRPr="004D3319">
        <w:rPr>
          <w:rFonts w:ascii="Times New Roman" w:eastAsia="Calibri" w:hAnsi="Times New Roman" w:cs="Times New Roman"/>
          <w:b/>
          <w:bCs/>
          <w:noProof/>
          <w:color w:val="000000" w:themeColor="text1"/>
          <w:sz w:val="21"/>
          <w:szCs w:val="21"/>
          <w:lang w:eastAsia="en-US"/>
        </w:rPr>
        <w:t>. Results of three-axis IRM ThD.</w:t>
      </w:r>
    </w:p>
    <w:p w14:paraId="731F8601" w14:textId="3DC2B89E" w:rsidR="000B13E1" w:rsidRPr="004D3319" w:rsidRDefault="008E4EE2">
      <w:pPr>
        <w:widowControl/>
        <w:jc w:val="left"/>
        <w:rPr>
          <w:rFonts w:ascii="Times New Roman" w:eastAsia="Calibri" w:hAnsi="Times New Roman" w:cs="Times New Roman"/>
          <w:noProof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hAnsi="Times New Roman" w:cs="Times New Roman" w:hint="eastAsia"/>
          <w:color w:val="000000" w:themeColor="text1"/>
          <w:kern w:val="0"/>
        </w:rPr>
        <w:t>M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agnetization </w:t>
      </w:r>
      <w:r w:rsidR="00480805" w:rsidRPr="004D3319">
        <w:rPr>
          <w:rFonts w:ascii="Times New Roman" w:hAnsi="Times New Roman" w:cs="Times New Roman"/>
          <w:color w:val="000000" w:themeColor="text1"/>
          <w:kern w:val="0"/>
        </w:rPr>
        <w:t xml:space="preserve">was 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plotted versus temperature for stepwise thermal demagnetization of three-axis IRM experiments based on Lowrie (1990). Blue rectangles, red triangles and purple circles are soft (0</w:t>
      </w:r>
      <w:r w:rsidR="00480805"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–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0.12 T), medium (0.12</w:t>
      </w:r>
      <w:r w:rsidR="00480805"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–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0.4</w:t>
      </w:r>
      <w:r w:rsidR="00480805" w:rsidRPr="004D3319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T) and hard (0.4</w:t>
      </w:r>
      <w:r w:rsidR="00480805"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–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>2.5 T) coercivity components</w:t>
      </w:r>
      <w:r w:rsidRPr="004D3319">
        <w:rPr>
          <w:rFonts w:ascii="Times New Roman" w:hAnsi="Times New Roman" w:cs="Times New Roman" w:hint="eastAsia"/>
          <w:color w:val="000000" w:themeColor="text1"/>
          <w:kern w:val="0"/>
        </w:rPr>
        <w:t>,</w:t>
      </w:r>
      <w:r w:rsidRPr="004D3319">
        <w:rPr>
          <w:rFonts w:ascii="Times New Roman" w:hAnsi="Times New Roman" w:cs="Times New Roman"/>
          <w:color w:val="000000" w:themeColor="text1"/>
          <w:kern w:val="0"/>
        </w:rPr>
        <w:t xml:space="preserve"> respectively. </w:t>
      </w:r>
      <w:r w:rsidR="004D060B" w:rsidRPr="004D3319">
        <w:rPr>
          <w:rFonts w:ascii="Times New Roman" w:eastAsia="Calibri" w:hAnsi="Times New Roman" w:cs="Times New Roman"/>
          <w:color w:val="000000" w:themeColor="text1"/>
          <w:sz w:val="21"/>
          <w:szCs w:val="21"/>
          <w:lang w:eastAsia="en-US"/>
        </w:rPr>
        <w:br w:type="page"/>
      </w:r>
    </w:p>
    <w:p w14:paraId="2F6DB013" w14:textId="77777777" w:rsidR="004C0B55" w:rsidRPr="004D3319" w:rsidRDefault="004C0B55" w:rsidP="004C0B55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  <w:t>Table S1. Results of stepwise-heating analyses of volcanic rocks in Amami-Oshima Island</w:t>
      </w:r>
    </w:p>
    <w:p w14:paraId="1E08A750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noProof/>
          <w:color w:val="000000" w:themeColor="text1"/>
          <w:kern w:val="0"/>
          <w:sz w:val="21"/>
          <w:szCs w:val="21"/>
          <w:lang w:eastAsia="en-US"/>
        </w:rPr>
        <w:drawing>
          <wp:inline distT="0" distB="0" distL="0" distR="0" wp14:anchorId="6FA72B24" wp14:editId="7B2F0746">
            <wp:extent cx="5389608" cy="797442"/>
            <wp:effectExtent l="0" t="0" r="0" b="317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65502" cy="80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77CCE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* inv. isochron age: inverse isochron age. </w:t>
      </w:r>
    </w:p>
    <w:p w14:paraId="334BD563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perscript"/>
        </w:rPr>
        <w:t xml:space="preserve">#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MSWD: mean square of weighted deviates ((SUMS/(n-2)) ^0.5) in York (1968). </w:t>
      </w:r>
    </w:p>
    <w:p w14:paraId="7F45F5AD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Integrated ages were calculated using sum of the total gas released. </w:t>
      </w:r>
    </w:p>
    <w:p w14:paraId="39EEEF53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l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bscript"/>
        </w:rPr>
        <w:t>b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=4.962x10-10y-1, l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bscript"/>
        </w:rPr>
        <w:t>e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=0.581x10-10y-1,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perscript"/>
        </w:rPr>
        <w:t>40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K/K=0.01167% (Steiger &amp; Jager 1977). Atmospheric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perscript"/>
        </w:rPr>
        <w:t>40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Ar/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perscript"/>
        </w:rPr>
        <w:t>36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Ar = 295.5.</w:t>
      </w:r>
    </w:p>
    <w:p w14:paraId="1E601833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br w:type="page"/>
      </w:r>
    </w:p>
    <w:p w14:paraId="678D1638" w14:textId="77777777" w:rsidR="004C0B55" w:rsidRPr="004D3319" w:rsidRDefault="004C0B55" w:rsidP="004C0B55">
      <w:pPr>
        <w:jc w:val="left"/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  <w:t xml:space="preserve">Table S2. </w:t>
      </w:r>
      <w:r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XRF major and trace element compositions of basaltic rocks in Amami-Oshima Island</w:t>
      </w:r>
    </w:p>
    <w:p w14:paraId="2A9A5D4D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</w:rPr>
      </w:pPr>
      <w:r w:rsidRPr="004D3319">
        <w:rPr>
          <w:rFonts w:ascii="Times New Roman" w:hAnsi="Times New Roman" w:cs="Times New Roman"/>
          <w:noProof/>
          <w:color w:val="000000" w:themeColor="text1"/>
          <w:kern w:val="0"/>
          <w:lang w:eastAsia="en-US"/>
        </w:rPr>
        <w:drawing>
          <wp:inline distT="0" distB="0" distL="0" distR="0" wp14:anchorId="56370ABB" wp14:editId="18A37CFB">
            <wp:extent cx="5395595" cy="3465846"/>
            <wp:effectExtent l="0" t="0" r="1905" b="127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1961" b="17480"/>
                    <a:stretch/>
                  </pic:blipFill>
                  <pic:spPr bwMode="auto">
                    <a:xfrm>
                      <a:off x="0" y="0"/>
                      <a:ext cx="5402738" cy="3470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A2F95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Major element analyses are based on ignited (1100°C) volatile-free samples. *Total iron as Fe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  <w:vertAlign w:val="subscript"/>
        </w:rPr>
        <w:t>2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O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  <w:vertAlign w:val="subscript"/>
        </w:rPr>
        <w:t>3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.</w:t>
      </w:r>
    </w:p>
    <w:p w14:paraId="5F005473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**S.D.: one sigma standard deviation of the replicated measurements (n = 3 for XRF measurements).</w:t>
      </w:r>
    </w:p>
    <w:p w14:paraId="2AB49A38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  <w:vertAlign w:val="superscript"/>
        </w:rPr>
        <w:t>$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>Recommended, certified, or information value (https://gbank.gsj.jp/geostandards/welcome.html).</w:t>
      </w:r>
    </w:p>
    <w:p w14:paraId="6D8D1309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18"/>
          <w:szCs w:val="18"/>
          <w:vertAlign w:val="superscript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  <w:vertAlign w:val="superscript"/>
        </w:rPr>
        <w:t>$$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Accuracy of calibration lines for XRF analyses in Sano et al. (2020). </w:t>
      </w:r>
    </w:p>
    <w:p w14:paraId="58201F0D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 xml:space="preserve">n.d.: not determined. </w:t>
      </w:r>
      <w:r w:rsidRPr="004D3319">
        <w:rPr>
          <w:rFonts w:ascii="Times New Roman" w:hAnsi="Times New Roman" w:cs="Times New Roman"/>
          <w:color w:val="000000" w:themeColor="text1"/>
          <w:kern w:val="0"/>
          <w:sz w:val="18"/>
          <w:szCs w:val="18"/>
        </w:rPr>
        <w:tab/>
      </w:r>
    </w:p>
    <w:p w14:paraId="63542D62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br w:type="page"/>
      </w:r>
    </w:p>
    <w:p w14:paraId="2F5DE584" w14:textId="77777777" w:rsidR="004C0B55" w:rsidRPr="004D3319" w:rsidRDefault="004C0B55" w:rsidP="004C0B55">
      <w:pPr>
        <w:jc w:val="left"/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  <w:t xml:space="preserve">Table S3. </w:t>
      </w:r>
      <w:r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ICP-MS trace element compositions of basaltic rocks in Amami-Oshima Island</w:t>
      </w:r>
    </w:p>
    <w:p w14:paraId="403AB56C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noProof/>
          <w:color w:val="000000" w:themeColor="text1"/>
          <w:kern w:val="0"/>
          <w:sz w:val="21"/>
          <w:szCs w:val="21"/>
          <w:lang w:eastAsia="en-US"/>
        </w:rPr>
        <w:drawing>
          <wp:inline distT="0" distB="0" distL="0" distR="0" wp14:anchorId="52FE62E1" wp14:editId="04242656">
            <wp:extent cx="5369442" cy="4416121"/>
            <wp:effectExtent l="0" t="0" r="3175" b="381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85047" cy="44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EBA1E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*S.D.: One sigma standard deviation of the replicated measurements (n=3 for JB-1a with the exception of n=2 for Zn ).</w:t>
      </w:r>
    </w:p>
    <w:p w14:paraId="1246C820" w14:textId="77777777" w:rsidR="004C0B55" w:rsidRPr="004D3319" w:rsidRDefault="004C0B55" w:rsidP="004C0B55">
      <w:pPr>
        <w:widowControl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perscript"/>
        </w:rPr>
        <w:t>$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 Georem preferred value (http://georem.mpch-mainz.gwdg.de/).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br w:type="page"/>
      </w:r>
    </w:p>
    <w:p w14:paraId="40782215" w14:textId="77777777" w:rsidR="004C0B55" w:rsidRPr="004D3319" w:rsidRDefault="004C0B55" w:rsidP="004C0B55">
      <w:pPr>
        <w:jc w:val="left"/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noProof/>
          <w:color w:val="000000" w:themeColor="text1"/>
          <w:kern w:val="0"/>
          <w:lang w:eastAsia="en-US"/>
        </w:rPr>
        <w:drawing>
          <wp:anchor distT="0" distB="0" distL="114300" distR="114300" simplePos="0" relativeHeight="251684864" behindDoc="0" locked="0" layoutInCell="1" allowOverlap="1" wp14:anchorId="79DF677D" wp14:editId="0A9213BC">
            <wp:simplePos x="0" y="0"/>
            <wp:positionH relativeFrom="column">
              <wp:posOffset>1353</wp:posOffset>
            </wp:positionH>
            <wp:positionV relativeFrom="paragraph">
              <wp:posOffset>540429</wp:posOffset>
            </wp:positionV>
            <wp:extent cx="5396230" cy="6160865"/>
            <wp:effectExtent l="0" t="0" r="1270" b="0"/>
            <wp:wrapTopAndBottom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616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  <w:t>Table S4. Physical properties, orientations, and results of linear or great circle fittings for paleomagnetic specimens subjected to stepwise ThD experiments</w:t>
      </w:r>
    </w:p>
    <w:p w14:paraId="5BC04AC8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All experimental results were obtained by thermal demagnetization experiments in air. NRM: natural remanent magnetization. Dec: declination. Inc: inclination. MAD: maximum angular deviations.</w:t>
      </w:r>
    </w:p>
    <w:p w14:paraId="7B01BB9C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Number of steps: number of experimental steps (24 or 30).</w:t>
      </w:r>
      <w:r w:rsidRPr="004D3319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Fit: fitting (</w:t>
      </w:r>
      <w:r w:rsidRPr="004D3319">
        <w:rPr>
          <w:rFonts w:ascii="Times New Roman" w:hAnsi="Times New Roman" w:cs="Times New Roman"/>
          <w:i/>
          <w:iCs/>
          <w:color w:val="000000" w:themeColor="text1"/>
          <w:kern w:val="0"/>
          <w:sz w:val="21"/>
          <w:szCs w:val="21"/>
        </w:rPr>
        <w:t>L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: line fitting; </w:t>
      </w:r>
      <w:r w:rsidRPr="004D3319">
        <w:rPr>
          <w:rFonts w:ascii="Times New Roman" w:hAnsi="Times New Roman" w:cs="Times New Roman"/>
          <w:i/>
          <w:iCs/>
          <w:color w:val="000000" w:themeColor="text1"/>
          <w:kern w:val="0"/>
          <w:sz w:val="21"/>
          <w:szCs w:val="21"/>
        </w:rPr>
        <w:t>G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: great circle fitting anchored to the original points; </w:t>
      </w:r>
      <w:r w:rsidRPr="004D3319">
        <w:rPr>
          <w:rFonts w:ascii="Times New Roman" w:hAnsi="Times New Roman" w:cs="Times New Roman"/>
          <w:i/>
          <w:iCs/>
          <w:color w:val="000000" w:themeColor="text1"/>
          <w:kern w:val="0"/>
          <w:sz w:val="21"/>
          <w:szCs w:val="21"/>
        </w:rPr>
        <w:t>-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: no fitting). 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  <w:vertAlign w:val="superscript"/>
        </w:rPr>
        <w:t>#</w:t>
      </w: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</w:rPr>
        <w:t xml:space="preserve"> 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Quality: selection criteria for OK = (MAD &lt; 10°). </w:t>
      </w:r>
    </w:p>
    <w:p w14:paraId="0C875187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3E4F5347" w14:textId="77777777" w:rsidR="004C0B55" w:rsidRPr="004D3319" w:rsidRDefault="004C0B55" w:rsidP="004C0B55">
      <w:pPr>
        <w:overflowPunct w:val="0"/>
        <w:adjustRightInd w:val="0"/>
        <w:snapToGrid w:val="0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4D3319">
        <w:rPr>
          <w:rFonts w:ascii="Times New Roman" w:eastAsia="Calibri" w:hAnsi="Times New Roman" w:cs="Times New Roman"/>
          <w:b/>
          <w:bCs/>
          <w:color w:val="000000" w:themeColor="text1"/>
          <w:sz w:val="21"/>
          <w:szCs w:val="21"/>
          <w:lang w:eastAsia="en-US"/>
        </w:rPr>
        <w:t>Table S5. Results of combined analyses of remagnetization circles</w:t>
      </w:r>
    </w:p>
    <w:p w14:paraId="043A9D38" w14:textId="77777777" w:rsidR="004C0B55" w:rsidRPr="004D3319" w:rsidRDefault="00883634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noProof/>
          <w:color w:val="000000" w:themeColor="text1"/>
          <w:kern w:val="0"/>
          <w:sz w:val="21"/>
          <w:szCs w:val="21"/>
        </w:rPr>
        <w:object w:dxaOrig="8620" w:dyaOrig="6080" w14:anchorId="210BC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31.05pt;height:304.55pt;mso-width-percent:0;mso-height-percent:0;mso-width-percent:0;mso-height-percent:0" o:ole="">
            <v:imagedata r:id="rId19" o:title=""/>
          </v:shape>
          <o:OLEObject Type="Embed" ProgID="Excel.Sheet.12" ShapeID="_x0000_i1025" DrawAspect="Content" ObjectID="_1733734051" r:id="rId20"/>
        </w:object>
      </w:r>
    </w:p>
    <w:p w14:paraId="57AE1953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Dec: declination. Inc: inclination. MAD: maximum angular deviations. α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  <w:vertAlign w:val="subscript"/>
        </w:rPr>
        <w:t>95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: 95% confidence limit. </w:t>
      </w:r>
    </w:p>
    <w:p w14:paraId="4D0E76E5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  <w:r w:rsidRPr="004D3319">
        <w:rPr>
          <w:rFonts w:ascii="Times New Roman" w:hAnsi="Times New Roman" w:cs="Times New Roman"/>
          <w:b/>
          <w:bCs/>
          <w:color w:val="000000" w:themeColor="text1"/>
          <w:kern w:val="0"/>
          <w:sz w:val="21"/>
          <w:szCs w:val="21"/>
          <w:vertAlign w:val="superscript"/>
        </w:rPr>
        <w:t>*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 xml:space="preserve">Quality: selection criteria for OK = (MAD &lt; 10° for one data, </w:t>
      </w:r>
      <w:r w:rsidRPr="004D3319">
        <w:rPr>
          <w:rFonts w:ascii="Cambria Math" w:hAnsi="Cambria Math" w:cs="Cambria Math"/>
          <w:color w:val="000000" w:themeColor="text1"/>
          <w:kern w:val="0"/>
          <w:sz w:val="21"/>
          <w:szCs w:val="21"/>
        </w:rPr>
        <w:t>⍺</w:t>
      </w:r>
      <w:r w:rsidRPr="004D3319"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  <w:t>95 &lt; 15° for more than two data).</w:t>
      </w:r>
      <w:r w:rsidRPr="004D3319">
        <w:rPr>
          <w:rFonts w:ascii="Times New Roman" w:hAnsi="Times New Roman" w:cs="Times New Roman" w:hint="eastAsia"/>
          <w:color w:val="000000" w:themeColor="text1"/>
          <w:kern w:val="0"/>
          <w:sz w:val="21"/>
          <w:szCs w:val="21"/>
        </w:rPr>
        <w:t xml:space="preserve"> </w:t>
      </w:r>
    </w:p>
    <w:p w14:paraId="3EF3FEB1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317E9B6D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611D773E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42746CC6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077DCD50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003A2054" w14:textId="77777777" w:rsidR="004C0B55" w:rsidRPr="004D3319" w:rsidRDefault="004C0B55" w:rsidP="004C0B55">
      <w:pPr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42E61DB7" w14:textId="45BD5586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0B86CD93" w14:textId="3F043DC4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20C25C46" w14:textId="22FF81DC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3F25A22C" w14:textId="1EEDFF7F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2B6F6150" w14:textId="7AA0DC53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hAnsi="Times New Roman" w:cs="Times New Roman"/>
          <w:color w:val="000000" w:themeColor="text1"/>
          <w:kern w:val="0"/>
          <w:sz w:val="21"/>
          <w:szCs w:val="21"/>
        </w:rPr>
      </w:pPr>
    </w:p>
    <w:p w14:paraId="0831559D" w14:textId="77777777" w:rsidR="004C0B55" w:rsidRPr="004D3319" w:rsidRDefault="004C0B55" w:rsidP="000B13E1">
      <w:pPr>
        <w:widowControl/>
        <w:shd w:val="clear" w:color="auto" w:fill="FFFFFF"/>
        <w:spacing w:after="173"/>
        <w:jc w:val="left"/>
        <w:rPr>
          <w:rFonts w:ascii="Times New Roman" w:eastAsia="MS PGothic" w:hAnsi="Times New Roman" w:cs="Times New Roman"/>
          <w:color w:val="000000" w:themeColor="text1"/>
          <w:kern w:val="0"/>
        </w:rPr>
      </w:pPr>
    </w:p>
    <w:p w14:paraId="2A9E5952" w14:textId="2BE1F25D" w:rsidR="000B13E1" w:rsidRPr="004D3319" w:rsidRDefault="00070686" w:rsidP="000B13E1">
      <w:pPr>
        <w:widowControl/>
        <w:shd w:val="clear" w:color="auto" w:fill="FFFFFF"/>
        <w:spacing w:after="173"/>
        <w:jc w:val="left"/>
        <w:rPr>
          <w:rFonts w:ascii="Times New Roman" w:eastAsia="MS PGothic" w:hAnsi="Times New Roman" w:cs="Times New Roman"/>
          <w:color w:val="000000" w:themeColor="text1"/>
          <w:kern w:val="0"/>
        </w:rPr>
      </w:pPr>
      <w:r w:rsidRPr="004D3319">
        <w:rPr>
          <w:rFonts w:ascii="Times New Roman" w:eastAsia="MS PGothic" w:hAnsi="Times New Roman" w:cs="Times New Roman"/>
          <w:color w:val="000000" w:themeColor="text1"/>
          <w:kern w:val="0"/>
        </w:rPr>
        <w:t>Additional r</w:t>
      </w:r>
      <w:r w:rsidR="000B13E1" w:rsidRPr="004D3319">
        <w:rPr>
          <w:rFonts w:ascii="Times New Roman" w:eastAsia="MS PGothic" w:hAnsi="Times New Roman" w:cs="Times New Roman"/>
          <w:color w:val="000000" w:themeColor="text1"/>
          <w:kern w:val="0"/>
        </w:rPr>
        <w:t>eferences</w:t>
      </w:r>
    </w:p>
    <w:p w14:paraId="3F76374A" w14:textId="4186BD8E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Channell JET, Singer BS, Jicha BR (2020) Timing of Quaternary geomagnetic reversals and excursions in volcanic and sedimentary archives. Quat Sci Rev 228:106114. </w:t>
      </w:r>
      <w:hyperlink r:id="rId21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10.1016/j.quascirev.2019.106114</w:t>
      </w:r>
    </w:p>
    <w:p w14:paraId="3533E042" w14:textId="2F49A43C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Channell JET, Vázquez Riveiros N, Gottschalk J, Waelbroeck C, Skinner LC (2017) Age and duration of Laschamp and Iceland Basin geomagnetic excursions in the South Atlantic Ocean.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Quat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Sci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Rev 167(3):1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13. </w:t>
      </w:r>
      <w:hyperlink r:id="rId22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10.1016/j.quascirev.2017.04.020</w:t>
      </w:r>
    </w:p>
    <w:p w14:paraId="222F1DAB" w14:textId="372E70E2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Fleck RJ, Sutter JF, Elliot DH (1977) Interpretation of discordant 40Ar/ 39Ar age-spectra of mesozoic tholeiites from antarctica.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Geochim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Cosmochim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Acta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41(1):15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32. </w:t>
      </w:r>
      <w:hyperlink r:id="rId23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10.1016/0016-7037(77)90184-3</w:t>
      </w:r>
    </w:p>
    <w:p w14:paraId="0491ECDC" w14:textId="0BAD54D6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Hatakeyama T (2018) Online plotting applications for paleomagnetic and rock magnetic data. Earth, Planets, Space 70(1):1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8. </w:t>
      </w:r>
      <w:r w:rsidR="008640EB" w:rsidRPr="004D3319">
        <w:rPr>
          <w:rFonts w:ascii="Times New Roman" w:hAnsi="Times New Roman"/>
          <w:color w:val="000000" w:themeColor="text1"/>
          <w:sz w:val="21"/>
          <w:szCs w:val="21"/>
        </w:rPr>
        <w:t>https://doi.org/10.1186/s40623-018-0906-5</w:t>
      </w:r>
    </w:p>
    <w:p w14:paraId="3EB93636" w14:textId="4109F3F5" w:rsidR="008640EB" w:rsidRPr="004D3319" w:rsidRDefault="008640EB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Harrison RJ, Feinberg JM (2008) FORCinel: An improved algorithm for calculating first-order reversal curve distributions using locally weighted regression smoothing. Geochem Geophys Geosystems 9(5):Q05016. </w:t>
      </w:r>
      <w:hyperlink r:id="rId24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10.1029/2008GC001987</w:t>
      </w:r>
    </w:p>
    <w:p w14:paraId="6D386F30" w14:textId="139C5B34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Ishizuka O, Hickey-Vargas R, Arculus RJ, Yogodzinski GM, Savov IP, Kusano Y, McCarthy A, Brandl PA, Sudo M (2018) Age of Izu-Bonin-Mariana arc basement. Earth Planet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Sci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Lett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481:80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90. </w:t>
      </w:r>
      <w:hyperlink r:id="rId25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10.1016/j.epsl.2017.10.023</w:t>
      </w:r>
    </w:p>
    <w:p w14:paraId="290E7847" w14:textId="70639BFA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Jackson MJ, Moskowitz B (2021) On the distribution of Verwey transition temperatures in natural magnetites.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Geophys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J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Int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224(2):1314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1325. </w:t>
      </w:r>
      <w:hyperlink r:id="rId26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10.1093/gji/ggaa516</w:t>
      </w:r>
    </w:p>
    <w:p w14:paraId="2B290EBD" w14:textId="3863A79A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Lanphere MA, Baadsgaard H (2001) Precise K-Ar, Ar-40/Ar-39, Rb-Sr and U/Pb mineral ages from the 27.5 Ma Fish Canyon Tuff reference standard.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Chem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Geol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175(3-4):653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671. </w:t>
      </w:r>
      <w:hyperlink r:id="rId27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10.1016/S0009-2541(00)00291-6</w:t>
      </w:r>
    </w:p>
    <w:p w14:paraId="6127456B" w14:textId="62219A6E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Lattard D, Engelmann R, Kontny A, Sauerzapf U (2006) Curie temperatures of synthetic titanomagnetites in the Fe-Ti-O system: Effects of composition, crystal chemistry, and thermomagnetic methods. J Geophys Res 111(B12):B12S28. </w:t>
      </w:r>
      <w:hyperlink r:id="rId28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10.1029/2006JB004591</w:t>
      </w:r>
    </w:p>
    <w:p w14:paraId="3A9F1521" w14:textId="44079A12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Oda H (1995) Detailed records of Brunhes/Matuyama geomagnetic polarity reversal</w:t>
      </w:r>
      <w:r w:rsidR="002D561A" w:rsidRPr="004D3319">
        <w:rPr>
          <w:rFonts w:ascii="Times New Roman" w:hAnsi="Times New Roman"/>
          <w:color w:val="000000" w:themeColor="text1"/>
          <w:sz w:val="21"/>
          <w:szCs w:val="21"/>
        </w:rPr>
        <w:t>. Dissertation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, Kyoto University.</w:t>
      </w:r>
      <w:r w:rsidR="00C05B15" w:rsidRPr="004D3319">
        <w:rPr>
          <w:color w:val="000000" w:themeColor="text1"/>
        </w:rPr>
        <w:t xml:space="preserve"> </w:t>
      </w:r>
      <w:r w:rsidR="00C05B15" w:rsidRPr="004D3319">
        <w:rPr>
          <w:rFonts w:ascii="Times New Roman" w:hAnsi="Times New Roman"/>
          <w:color w:val="000000" w:themeColor="text1"/>
          <w:sz w:val="21"/>
          <w:szCs w:val="21"/>
        </w:rPr>
        <w:t>http://hdl.handle.net/2433/59300</w:t>
      </w:r>
    </w:p>
    <w:p w14:paraId="03FA651D" w14:textId="3E2E65D9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Steiger RH, Jäger E (1977) Subcommission on geochronology: Convention on the use of decay constants in geo- and cosmochronology. Earth Planet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Sci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Lett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36(3):359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362. </w:t>
      </w:r>
      <w:hyperlink r:id="rId29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10.1016/0012-821X(77)90060-7</w:t>
      </w:r>
    </w:p>
    <w:p w14:paraId="3805C002" w14:textId="1506014A" w:rsidR="00BB69A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>Verwey EJW (1939) Electronic Conduction of Magnetite (Fe 3 O 4 ) and its Transition Point at Low Temperatures. Nature 144(3642):327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328. </w:t>
      </w:r>
      <w:hyperlink r:id="rId30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10.1038/144327b0</w:t>
      </w:r>
    </w:p>
    <w:p w14:paraId="543A7A39" w14:textId="226C23FD" w:rsidR="000B13E1" w:rsidRPr="004D3319" w:rsidRDefault="00BB69A1" w:rsidP="00BB69A1">
      <w:pPr>
        <w:pStyle w:val="NormalWeb"/>
        <w:shd w:val="clear" w:color="auto" w:fill="FFFFFF"/>
        <w:spacing w:before="0" w:beforeAutospacing="0" w:after="173" w:afterAutospacing="0"/>
        <w:rPr>
          <w:rFonts w:ascii="Times New Roman" w:hAnsi="Times New Roman"/>
          <w:color w:val="000000" w:themeColor="text1"/>
          <w:sz w:val="21"/>
          <w:szCs w:val="21"/>
        </w:rPr>
      </w:pPr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York D (1968) Least squares fitting of a straight line with correlated errors. Earth Planet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Sci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4D3319">
        <w:rPr>
          <w:rFonts w:ascii="Times New Roman" w:hAnsi="Times New Roman"/>
          <w:color w:val="000000" w:themeColor="text1"/>
          <w:sz w:val="21"/>
          <w:szCs w:val="21"/>
        </w:rPr>
        <w:t>Lett</w:t>
      </w:r>
      <w:proofErr w:type="spellEnd"/>
      <w:r w:rsidRPr="004D3319">
        <w:rPr>
          <w:rFonts w:ascii="Times New Roman" w:hAnsi="Times New Roman"/>
          <w:color w:val="000000" w:themeColor="text1"/>
          <w:sz w:val="21"/>
          <w:szCs w:val="21"/>
        </w:rPr>
        <w:t xml:space="preserve"> 5:320</w:t>
      </w:r>
      <w:r w:rsidR="00E3441D" w:rsidRPr="004D3319">
        <w:rPr>
          <w:color w:val="000000" w:themeColor="text1"/>
        </w:rPr>
        <w:t>–</w:t>
      </w:r>
      <w:r w:rsidRPr="004D3319">
        <w:rPr>
          <w:rFonts w:ascii="Times New Roman" w:hAnsi="Times New Roman"/>
          <w:color w:val="000000" w:themeColor="text1"/>
          <w:sz w:val="21"/>
          <w:szCs w:val="21"/>
        </w:rPr>
        <w:t>324. </w:t>
      </w:r>
      <w:hyperlink r:id="rId31" w:tgtFrame="_blank" w:history="1">
        <w:r w:rsidRPr="004D3319">
          <w:rPr>
            <w:rStyle w:val="Hyperlink"/>
            <w:rFonts w:ascii="Times New Roman" w:hAnsi="Times New Roman"/>
            <w:color w:val="000000" w:themeColor="text1"/>
            <w:sz w:val="21"/>
            <w:szCs w:val="21"/>
            <w:u w:val="none"/>
          </w:rPr>
          <w:t>https://doi.org/</w:t>
        </w:r>
      </w:hyperlink>
      <w:r w:rsidRPr="004D3319">
        <w:rPr>
          <w:rFonts w:ascii="Times New Roman" w:hAnsi="Times New Roman"/>
          <w:color w:val="000000" w:themeColor="text1"/>
          <w:sz w:val="21"/>
          <w:szCs w:val="21"/>
        </w:rPr>
        <w:t>10.1016/S0012-821X(68)80059-7</w:t>
      </w:r>
    </w:p>
    <w:sectPr w:rsidR="000B13E1" w:rsidRPr="004D3319" w:rsidSect="004D3319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F0671"/>
    <w:multiLevelType w:val="hybridMultilevel"/>
    <w:tmpl w:val="12C093A2"/>
    <w:lvl w:ilvl="0" w:tplc="F082651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6A7E45"/>
    <w:multiLevelType w:val="multilevel"/>
    <w:tmpl w:val="E99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74048"/>
    <w:multiLevelType w:val="hybridMultilevel"/>
    <w:tmpl w:val="BEB839F0"/>
    <w:lvl w:ilvl="0" w:tplc="9572C33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F693596"/>
    <w:multiLevelType w:val="multilevel"/>
    <w:tmpl w:val="E1BC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90935"/>
    <w:multiLevelType w:val="multilevel"/>
    <w:tmpl w:val="B32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342F1"/>
    <w:multiLevelType w:val="hybridMultilevel"/>
    <w:tmpl w:val="C1D0CBB4"/>
    <w:lvl w:ilvl="0" w:tplc="DF2AEE9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593788D"/>
    <w:multiLevelType w:val="multilevel"/>
    <w:tmpl w:val="032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CC77F8"/>
    <w:multiLevelType w:val="multilevel"/>
    <w:tmpl w:val="90C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C86F3E"/>
    <w:multiLevelType w:val="hybridMultilevel"/>
    <w:tmpl w:val="E85819B2"/>
    <w:lvl w:ilvl="0" w:tplc="7BC6C7A0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5DA362B"/>
    <w:multiLevelType w:val="multilevel"/>
    <w:tmpl w:val="7D34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7E4A1B"/>
    <w:multiLevelType w:val="hybridMultilevel"/>
    <w:tmpl w:val="4BD461E2"/>
    <w:lvl w:ilvl="0" w:tplc="54888060">
      <w:start w:val="4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9"/>
  </w:num>
  <w:num w:numId="6">
    <w:abstractNumId w:val="4"/>
  </w:num>
  <w:num w:numId="7">
    <w:abstractNumId w:val="10"/>
  </w:num>
  <w:num w:numId="8">
    <w:abstractNumId w:val="5"/>
  </w:num>
  <w:num w:numId="9">
    <w:abstractNumId w:val="0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4"/>
  <w:bordersDoNotSurroundHeader/>
  <w:bordersDoNotSurroundFooter/>
  <w:proofState w:spelling="clean" w:grammar="clean"/>
  <w:revisionView w:markup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27D"/>
    <w:rsid w:val="00012D6A"/>
    <w:rsid w:val="00021CBD"/>
    <w:rsid w:val="00024507"/>
    <w:rsid w:val="00043F54"/>
    <w:rsid w:val="00070686"/>
    <w:rsid w:val="00070790"/>
    <w:rsid w:val="00082FFE"/>
    <w:rsid w:val="00083687"/>
    <w:rsid w:val="000A1A51"/>
    <w:rsid w:val="000A4341"/>
    <w:rsid w:val="000A5C36"/>
    <w:rsid w:val="000B13E1"/>
    <w:rsid w:val="000C68F3"/>
    <w:rsid w:val="0010004A"/>
    <w:rsid w:val="001026D2"/>
    <w:rsid w:val="001113FA"/>
    <w:rsid w:val="00120CA2"/>
    <w:rsid w:val="00133E99"/>
    <w:rsid w:val="00150B14"/>
    <w:rsid w:val="00165525"/>
    <w:rsid w:val="0017609D"/>
    <w:rsid w:val="00180643"/>
    <w:rsid w:val="00184B15"/>
    <w:rsid w:val="001875BA"/>
    <w:rsid w:val="001957B2"/>
    <w:rsid w:val="0019787B"/>
    <w:rsid w:val="001C377A"/>
    <w:rsid w:val="001D21D5"/>
    <w:rsid w:val="001E7907"/>
    <w:rsid w:val="001F4857"/>
    <w:rsid w:val="00204CC5"/>
    <w:rsid w:val="0022074E"/>
    <w:rsid w:val="00246C37"/>
    <w:rsid w:val="00262197"/>
    <w:rsid w:val="00264EE0"/>
    <w:rsid w:val="00265B68"/>
    <w:rsid w:val="0027215D"/>
    <w:rsid w:val="00274686"/>
    <w:rsid w:val="00274CD5"/>
    <w:rsid w:val="002763CF"/>
    <w:rsid w:val="00293D60"/>
    <w:rsid w:val="002A463E"/>
    <w:rsid w:val="002A4B7B"/>
    <w:rsid w:val="002B05CF"/>
    <w:rsid w:val="002B48D2"/>
    <w:rsid w:val="002B78B8"/>
    <w:rsid w:val="002D48EA"/>
    <w:rsid w:val="002D561A"/>
    <w:rsid w:val="002E473C"/>
    <w:rsid w:val="002F0DA5"/>
    <w:rsid w:val="002F5C2D"/>
    <w:rsid w:val="0032667D"/>
    <w:rsid w:val="003402A6"/>
    <w:rsid w:val="0034177C"/>
    <w:rsid w:val="00343637"/>
    <w:rsid w:val="0034423E"/>
    <w:rsid w:val="003479F9"/>
    <w:rsid w:val="00351EC6"/>
    <w:rsid w:val="003606B6"/>
    <w:rsid w:val="00363B38"/>
    <w:rsid w:val="00375B6A"/>
    <w:rsid w:val="00383098"/>
    <w:rsid w:val="003965F3"/>
    <w:rsid w:val="003D27E9"/>
    <w:rsid w:val="003D5D76"/>
    <w:rsid w:val="003E1C61"/>
    <w:rsid w:val="003E416F"/>
    <w:rsid w:val="003E6067"/>
    <w:rsid w:val="004001A4"/>
    <w:rsid w:val="004017E8"/>
    <w:rsid w:val="00402457"/>
    <w:rsid w:val="00407AF7"/>
    <w:rsid w:val="0043747B"/>
    <w:rsid w:val="00450CD8"/>
    <w:rsid w:val="00453000"/>
    <w:rsid w:val="0045507D"/>
    <w:rsid w:val="00463384"/>
    <w:rsid w:val="00474C8E"/>
    <w:rsid w:val="00480805"/>
    <w:rsid w:val="00481006"/>
    <w:rsid w:val="00481BA2"/>
    <w:rsid w:val="00491D44"/>
    <w:rsid w:val="004C0B55"/>
    <w:rsid w:val="004D060B"/>
    <w:rsid w:val="004D3319"/>
    <w:rsid w:val="004D6E65"/>
    <w:rsid w:val="004E1D57"/>
    <w:rsid w:val="004E4598"/>
    <w:rsid w:val="004E70B3"/>
    <w:rsid w:val="004F0128"/>
    <w:rsid w:val="00503731"/>
    <w:rsid w:val="005123FC"/>
    <w:rsid w:val="00520283"/>
    <w:rsid w:val="0052236F"/>
    <w:rsid w:val="00545F60"/>
    <w:rsid w:val="00556C9B"/>
    <w:rsid w:val="00565DB3"/>
    <w:rsid w:val="0057724D"/>
    <w:rsid w:val="005819D1"/>
    <w:rsid w:val="00584611"/>
    <w:rsid w:val="005A07C4"/>
    <w:rsid w:val="005C154F"/>
    <w:rsid w:val="005C7051"/>
    <w:rsid w:val="005C7EDD"/>
    <w:rsid w:val="005D234A"/>
    <w:rsid w:val="005D3773"/>
    <w:rsid w:val="005E1BD0"/>
    <w:rsid w:val="005E2246"/>
    <w:rsid w:val="005E5462"/>
    <w:rsid w:val="005E7427"/>
    <w:rsid w:val="005F34FC"/>
    <w:rsid w:val="00605527"/>
    <w:rsid w:val="006055FA"/>
    <w:rsid w:val="0062573D"/>
    <w:rsid w:val="00633855"/>
    <w:rsid w:val="00636747"/>
    <w:rsid w:val="0065065B"/>
    <w:rsid w:val="00665AAD"/>
    <w:rsid w:val="0067327D"/>
    <w:rsid w:val="00677107"/>
    <w:rsid w:val="00682219"/>
    <w:rsid w:val="00686D05"/>
    <w:rsid w:val="00697A9F"/>
    <w:rsid w:val="006A03D8"/>
    <w:rsid w:val="006B1946"/>
    <w:rsid w:val="006F2AD0"/>
    <w:rsid w:val="006F47F8"/>
    <w:rsid w:val="0070347F"/>
    <w:rsid w:val="007051F6"/>
    <w:rsid w:val="00706F67"/>
    <w:rsid w:val="007078EC"/>
    <w:rsid w:val="007265F4"/>
    <w:rsid w:val="00742376"/>
    <w:rsid w:val="00753660"/>
    <w:rsid w:val="00760302"/>
    <w:rsid w:val="00780760"/>
    <w:rsid w:val="00795941"/>
    <w:rsid w:val="0079777B"/>
    <w:rsid w:val="007B5499"/>
    <w:rsid w:val="007B5FEC"/>
    <w:rsid w:val="007D0C3F"/>
    <w:rsid w:val="007E337C"/>
    <w:rsid w:val="007E742F"/>
    <w:rsid w:val="007E7ECA"/>
    <w:rsid w:val="007F3C20"/>
    <w:rsid w:val="00800115"/>
    <w:rsid w:val="00813100"/>
    <w:rsid w:val="0081768D"/>
    <w:rsid w:val="00846D7B"/>
    <w:rsid w:val="008640EB"/>
    <w:rsid w:val="00880256"/>
    <w:rsid w:val="00883634"/>
    <w:rsid w:val="008B010F"/>
    <w:rsid w:val="008B141C"/>
    <w:rsid w:val="008D4559"/>
    <w:rsid w:val="008E4EE2"/>
    <w:rsid w:val="008E6F8F"/>
    <w:rsid w:val="009015A8"/>
    <w:rsid w:val="00914ABD"/>
    <w:rsid w:val="00943565"/>
    <w:rsid w:val="00952498"/>
    <w:rsid w:val="009573F5"/>
    <w:rsid w:val="009574B4"/>
    <w:rsid w:val="009A463A"/>
    <w:rsid w:val="009E26D5"/>
    <w:rsid w:val="009F0366"/>
    <w:rsid w:val="009F0D2A"/>
    <w:rsid w:val="00A04CC4"/>
    <w:rsid w:val="00A05F92"/>
    <w:rsid w:val="00A232CC"/>
    <w:rsid w:val="00A33AA8"/>
    <w:rsid w:val="00A511AD"/>
    <w:rsid w:val="00A526BA"/>
    <w:rsid w:val="00A55458"/>
    <w:rsid w:val="00A63BB4"/>
    <w:rsid w:val="00A93DCD"/>
    <w:rsid w:val="00AA290B"/>
    <w:rsid w:val="00AB2597"/>
    <w:rsid w:val="00AF72E4"/>
    <w:rsid w:val="00B16316"/>
    <w:rsid w:val="00B31562"/>
    <w:rsid w:val="00B41049"/>
    <w:rsid w:val="00B45581"/>
    <w:rsid w:val="00B46539"/>
    <w:rsid w:val="00B46DCB"/>
    <w:rsid w:val="00B511EB"/>
    <w:rsid w:val="00B519BD"/>
    <w:rsid w:val="00B55D11"/>
    <w:rsid w:val="00B83921"/>
    <w:rsid w:val="00B9551E"/>
    <w:rsid w:val="00BB69A1"/>
    <w:rsid w:val="00BC0A98"/>
    <w:rsid w:val="00BC1FCA"/>
    <w:rsid w:val="00BD43DA"/>
    <w:rsid w:val="00BE7593"/>
    <w:rsid w:val="00C05B15"/>
    <w:rsid w:val="00C25559"/>
    <w:rsid w:val="00C42A33"/>
    <w:rsid w:val="00C50B5C"/>
    <w:rsid w:val="00C572D9"/>
    <w:rsid w:val="00C60EA2"/>
    <w:rsid w:val="00C66F6A"/>
    <w:rsid w:val="00C71FB2"/>
    <w:rsid w:val="00C771F1"/>
    <w:rsid w:val="00CA22F9"/>
    <w:rsid w:val="00CC6B37"/>
    <w:rsid w:val="00CE1078"/>
    <w:rsid w:val="00D01FBD"/>
    <w:rsid w:val="00D01FF2"/>
    <w:rsid w:val="00D03222"/>
    <w:rsid w:val="00D32D10"/>
    <w:rsid w:val="00D57E38"/>
    <w:rsid w:val="00D80C82"/>
    <w:rsid w:val="00D9097B"/>
    <w:rsid w:val="00D92156"/>
    <w:rsid w:val="00D9462F"/>
    <w:rsid w:val="00DA3315"/>
    <w:rsid w:val="00DB2022"/>
    <w:rsid w:val="00DD07BB"/>
    <w:rsid w:val="00DD58BB"/>
    <w:rsid w:val="00DD77CB"/>
    <w:rsid w:val="00DE7A36"/>
    <w:rsid w:val="00E0404B"/>
    <w:rsid w:val="00E05872"/>
    <w:rsid w:val="00E11DEC"/>
    <w:rsid w:val="00E3441D"/>
    <w:rsid w:val="00E46E6F"/>
    <w:rsid w:val="00E673E9"/>
    <w:rsid w:val="00E679BE"/>
    <w:rsid w:val="00E75A8A"/>
    <w:rsid w:val="00E8219F"/>
    <w:rsid w:val="00E87970"/>
    <w:rsid w:val="00EA677B"/>
    <w:rsid w:val="00EB02CD"/>
    <w:rsid w:val="00EB20C7"/>
    <w:rsid w:val="00EC627F"/>
    <w:rsid w:val="00ED0704"/>
    <w:rsid w:val="00EE152D"/>
    <w:rsid w:val="00F23A57"/>
    <w:rsid w:val="00F31CCA"/>
    <w:rsid w:val="00F323CA"/>
    <w:rsid w:val="00F373BA"/>
    <w:rsid w:val="00F431C2"/>
    <w:rsid w:val="00F544AA"/>
    <w:rsid w:val="00F557FA"/>
    <w:rsid w:val="00F5730E"/>
    <w:rsid w:val="00F63FE0"/>
    <w:rsid w:val="00F75885"/>
    <w:rsid w:val="00F81617"/>
    <w:rsid w:val="00F87798"/>
    <w:rsid w:val="00FA0707"/>
    <w:rsid w:val="00FC6020"/>
    <w:rsid w:val="00FF3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22C2E042"/>
  <w14:defaultImageDpi w14:val="300"/>
  <w15:docId w15:val="{2B795628-2E52-0443-A07D-B92B315F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5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link w:val="Heading3Char"/>
    <w:uiPriority w:val="9"/>
    <w:qFormat/>
    <w:rsid w:val="0067327D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7327D"/>
    <w:rPr>
      <w:rFonts w:ascii="Times" w:hAnsi="Times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unhideWhenUsed/>
    <w:rsid w:val="0067327D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7327D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780760"/>
  </w:style>
  <w:style w:type="table" w:styleId="TableGrid">
    <w:name w:val="Table Grid"/>
    <w:basedOn w:val="TableNormal"/>
    <w:uiPriority w:val="59"/>
    <w:rsid w:val="0040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5C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36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19787B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565"/>
    <w:rPr>
      <w:rFonts w:asciiTheme="majorHAnsi" w:eastAsiaTheme="majorEastAsia" w:hAnsiTheme="majorHAnsi" w:cstheme="majorBidi"/>
    </w:rPr>
  </w:style>
  <w:style w:type="character" w:customStyle="1" w:styleId="apple-converted-space">
    <w:name w:val="apple-converted-space"/>
    <w:basedOn w:val="DefaultParagraphFont"/>
    <w:rsid w:val="005E5462"/>
  </w:style>
  <w:style w:type="character" w:styleId="Strong">
    <w:name w:val="Strong"/>
    <w:basedOn w:val="DefaultParagraphFont"/>
    <w:uiPriority w:val="22"/>
    <w:qFormat/>
    <w:rsid w:val="00665AAD"/>
    <w:rPr>
      <w:b/>
      <w:bCs/>
    </w:rPr>
  </w:style>
  <w:style w:type="paragraph" w:customStyle="1" w:styleId="Heading-Secondary">
    <w:name w:val="Heading-Secondary"/>
    <w:basedOn w:val="Normal"/>
    <w:qFormat/>
    <w:rsid w:val="002A463E"/>
    <w:pPr>
      <w:keepNext/>
      <w:widowControl/>
      <w:spacing w:before="240" w:after="120"/>
      <w:ind w:left="720"/>
      <w:jc w:val="left"/>
      <w:outlineLvl w:val="0"/>
    </w:pPr>
    <w:rPr>
      <w:rFonts w:ascii="Times New Roman" w:eastAsia="Times New Roman" w:hAnsi="Times New Roman" w:cs="Times New Roman"/>
      <w:bCs/>
      <w:kern w:val="28"/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48D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E6067"/>
  </w:style>
  <w:style w:type="paragraph" w:styleId="ListParagraph">
    <w:name w:val="List Paragraph"/>
    <w:basedOn w:val="Normal"/>
    <w:uiPriority w:val="34"/>
    <w:qFormat/>
    <w:rsid w:val="003E6067"/>
    <w:pPr>
      <w:ind w:leftChars="400" w:left="840"/>
    </w:pPr>
  </w:style>
  <w:style w:type="paragraph" w:customStyle="1" w:styleId="Heading-Main">
    <w:name w:val="Heading-Main"/>
    <w:basedOn w:val="Normal"/>
    <w:rsid w:val="00FC6020"/>
    <w:pPr>
      <w:keepNext/>
      <w:widowControl/>
      <w:spacing w:before="240" w:after="120"/>
      <w:jc w:val="left"/>
      <w:outlineLvl w:val="0"/>
    </w:pPr>
    <w:rPr>
      <w:rFonts w:ascii="Times New Roman" w:eastAsia="Times New Roman" w:hAnsi="Times New Roman" w:cs="Times New Roman"/>
      <w:b/>
      <w:bCs/>
      <w:kern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43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3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4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8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93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94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8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7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26" Type="http://schemas.openxmlformats.org/officeDocument/2006/relationships/hyperlink" Target="https://doi.org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" TargetMode="Externa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png"/><Relationship Id="rId25" Type="http://schemas.openxmlformats.org/officeDocument/2006/relationships/hyperlink" Target="https://doi.org/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emf"/><Relationship Id="rId20" Type="http://schemas.openxmlformats.org/officeDocument/2006/relationships/package" Target="embeddings/Microsoft_Excel_Worksheet1.xlsx"/><Relationship Id="rId29" Type="http://schemas.openxmlformats.org/officeDocument/2006/relationships/hyperlink" Target="https://doi.org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hyperlink" Target="https://doi.org/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hyperlink" Target="https://doi.org/" TargetMode="External"/><Relationship Id="rId28" Type="http://schemas.openxmlformats.org/officeDocument/2006/relationships/hyperlink" Target="https://doi.org/" TargetMode="External"/><Relationship Id="rId10" Type="http://schemas.openxmlformats.org/officeDocument/2006/relationships/image" Target="media/image5.jpg"/><Relationship Id="rId19" Type="http://schemas.openxmlformats.org/officeDocument/2006/relationships/image" Target="media/image14.emf"/><Relationship Id="rId31" Type="http://schemas.openxmlformats.org/officeDocument/2006/relationships/hyperlink" Target="https://doi.org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hyperlink" Target="https://doi.org/" TargetMode="External"/><Relationship Id="rId27" Type="http://schemas.openxmlformats.org/officeDocument/2006/relationships/hyperlink" Target="https://doi.org/" TargetMode="External"/><Relationship Id="rId30" Type="http://schemas.openxmlformats.org/officeDocument/2006/relationships/hyperlink" Target="https://doi.org/" TargetMode="Externa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C2A8A-82F8-46CF-B4FA-716C4A459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3789</Words>
  <Characters>21600</Characters>
  <Application>Microsoft Office Word</Application>
  <DocSecurity>0</DocSecurity>
  <Lines>180</Lines>
  <Paragraphs>50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Word template file for Earth, Planets and Space version 20210302</vt:lpstr>
      <vt:lpstr/>
    </vt:vector>
  </TitlesOfParts>
  <Manager/>
  <Company>Earth, Planets and Space</Company>
  <LinksUpToDate>false</LinksUpToDate>
  <CharactersWithSpaces>25339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 file for Earth, Planets and Space version 20210302</dc:title>
  <dc:subject/>
  <dc:creator>Takeshi Sagiya</dc:creator>
  <cp:keywords/>
  <dc:description/>
  <cp:lastModifiedBy>Chandravadhana Ramesh</cp:lastModifiedBy>
  <cp:revision>4</cp:revision>
  <dcterms:created xsi:type="dcterms:W3CDTF">2022-11-27T12:56:00Z</dcterms:created>
  <dcterms:modified xsi:type="dcterms:W3CDTF">2022-12-28T06:30:00Z</dcterms:modified>
  <cp:category/>
</cp:coreProperties>
</file>