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0BCC" w:rsidRPr="001B03BB" w:rsidRDefault="00720BCC" w:rsidP="00720BCC">
      <w:pPr>
        <w:pStyle w:val="Heading1"/>
        <w:rPr>
          <w:color w:val="000000" w:themeColor="text1"/>
        </w:rPr>
      </w:pPr>
      <w:r w:rsidRPr="001B03BB">
        <w:rPr>
          <w:color w:val="000000" w:themeColor="text1"/>
        </w:rPr>
        <w:t>SUPPLEMENTARY MATERIAL</w:t>
      </w:r>
    </w:p>
    <w:p w:rsidR="00720BCC" w:rsidRPr="001B03BB" w:rsidRDefault="00720BCC" w:rsidP="00720BCC">
      <w:pPr>
        <w:pStyle w:val="Caption"/>
        <w:keepNext/>
        <w:rPr>
          <w:color w:val="000000" w:themeColor="text1"/>
        </w:rPr>
      </w:pPr>
    </w:p>
    <w:p w:rsidR="00720BCC" w:rsidRPr="001B03BB" w:rsidRDefault="00720BCC" w:rsidP="00720BCC">
      <w:pPr>
        <w:pStyle w:val="Heading2"/>
      </w:pPr>
      <w:bookmarkStart w:id="0" w:name="_Ref151463769"/>
      <w:r w:rsidRPr="001B03BB">
        <w:t>Scientific evidence of the 1960 earthquake and tsunami</w:t>
      </w:r>
      <w:bookmarkEnd w:id="0"/>
    </w:p>
    <w:p w:rsidR="00720BCC" w:rsidRPr="001B03BB" w:rsidRDefault="00720BCC" w:rsidP="00720BCC">
      <w:pPr>
        <w:rPr>
          <w:color w:val="000000" w:themeColor="text1"/>
        </w:rPr>
      </w:pPr>
    </w:p>
    <w:p w:rsidR="00720BCC" w:rsidRPr="001B03BB" w:rsidRDefault="00720BCC" w:rsidP="00720BCC">
      <w:pPr>
        <w:rPr>
          <w:color w:val="000000" w:themeColor="text1"/>
        </w:rPr>
      </w:pPr>
      <w:r w:rsidRPr="001B03BB">
        <w:rPr>
          <w:color w:val="000000" w:themeColor="text1"/>
        </w:rPr>
        <w:t>The earthquake and tsunami have been studied using multiple techniques and data types. From the historical perspective (</w:t>
      </w:r>
      <w:r w:rsidRPr="001B03BB">
        <w:rPr>
          <w:color w:val="000000" w:themeColor="text1"/>
        </w:rPr>
        <w:fldChar w:fldCharType="begin"/>
      </w:r>
      <w:r w:rsidRPr="001B03BB">
        <w:rPr>
          <w:color w:val="000000" w:themeColor="text1"/>
        </w:rPr>
        <w:instrText xml:space="preserve"> REF _Ref218953245 \h  \* MERGEFORMAT </w:instrText>
      </w:r>
      <w:r w:rsidRPr="001B03BB">
        <w:rPr>
          <w:color w:val="000000" w:themeColor="text1"/>
        </w:rPr>
      </w:r>
      <w:r w:rsidRPr="001B03BB">
        <w:rPr>
          <w:color w:val="000000" w:themeColor="text1"/>
        </w:rPr>
        <w:fldChar w:fldCharType="separate"/>
      </w:r>
      <w:r w:rsidRPr="001B03BB">
        <w:rPr>
          <w:bCs/>
          <w:color w:val="000000" w:themeColor="text1"/>
        </w:rPr>
        <w:t>Figure A 1</w:t>
      </w:r>
      <w:r w:rsidRPr="001B03BB">
        <w:rPr>
          <w:color w:val="000000" w:themeColor="text1"/>
        </w:rPr>
        <w:fldChar w:fldCharType="end"/>
      </w:r>
      <w:r w:rsidRPr="001B03BB">
        <w:rPr>
          <w:color w:val="000000" w:themeColor="text1"/>
        </w:rPr>
        <w:t>), our study complements comprehensive efforts to characterize the earthquake and tsunami (e.g., Plafker &amp; Savage, 1970, Atwater et al.’s, 2013). Here we provide a comprehensive review including paleoseismology, historical documents, geodetic</w:t>
      </w:r>
      <w:bookmarkStart w:id="1" w:name="_GoBack"/>
      <w:bookmarkEnd w:id="1"/>
      <w:r w:rsidRPr="001B03BB">
        <w:rPr>
          <w:color w:val="000000" w:themeColor="text1"/>
        </w:rPr>
        <w:t xml:space="preserve"> surveys, post-tsunami surveys, tsunami and seismological records.</w:t>
      </w:r>
    </w:p>
    <w:p w:rsidR="00720BCC" w:rsidRPr="001B03BB" w:rsidRDefault="00720BCC" w:rsidP="00720BCC">
      <w:pPr>
        <w:rPr>
          <w:i/>
          <w:iCs/>
          <w:color w:val="000000" w:themeColor="text1"/>
        </w:rPr>
      </w:pPr>
    </w:p>
    <w:p w:rsidR="00720BCC" w:rsidRPr="001B03BB" w:rsidRDefault="00720BCC" w:rsidP="00720BCC">
      <w:pPr>
        <w:keepNext/>
        <w:jc w:val="center"/>
        <w:rPr>
          <w:color w:val="000000" w:themeColor="text1"/>
        </w:rPr>
      </w:pPr>
      <w:r w:rsidRPr="001B03BB">
        <w:rPr>
          <w:i/>
          <w:iCs/>
          <w:noProof/>
          <w:color w:val="000000" w:themeColor="text1"/>
          <w:lang w:eastAsia="en-IN"/>
        </w:rPr>
        <w:drawing>
          <wp:inline distT="0" distB="0" distL="0" distR="0" wp14:anchorId="40D89E4C" wp14:editId="513DABFD">
            <wp:extent cx="4680000" cy="1148834"/>
            <wp:effectExtent l="0" t="0" r="6350" b="0"/>
            <wp:docPr id="7436295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29576" name="Picture 743629576"/>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80000" cy="1148834"/>
                    </a:xfrm>
                    <a:prstGeom prst="rect">
                      <a:avLst/>
                    </a:prstGeom>
                  </pic:spPr>
                </pic:pic>
              </a:graphicData>
            </a:graphic>
          </wp:inline>
        </w:drawing>
      </w:r>
    </w:p>
    <w:p w:rsidR="00720BCC" w:rsidRPr="001B03BB" w:rsidRDefault="00720BCC" w:rsidP="00720BCC">
      <w:pPr>
        <w:pStyle w:val="Caption"/>
        <w:keepNext/>
        <w:spacing w:after="120"/>
        <w:rPr>
          <w:b w:val="0"/>
          <w:i/>
          <w:color w:val="000000" w:themeColor="text1"/>
        </w:rPr>
      </w:pPr>
      <w:bookmarkStart w:id="2" w:name="_Ref218953245"/>
      <w:r w:rsidRPr="001B03BB">
        <w:rPr>
          <w:bCs w:val="0"/>
          <w:i/>
          <w:color w:val="000000" w:themeColor="text1"/>
        </w:rPr>
        <w:t xml:space="preserve">Figure A </w:t>
      </w:r>
      <w:r w:rsidRPr="001B03BB">
        <w:rPr>
          <w:bCs w:val="0"/>
          <w:i/>
          <w:color w:val="000000" w:themeColor="text1"/>
        </w:rPr>
        <w:fldChar w:fldCharType="begin"/>
      </w:r>
      <w:r w:rsidRPr="001B03BB">
        <w:rPr>
          <w:bCs w:val="0"/>
          <w:i/>
          <w:color w:val="000000" w:themeColor="text1"/>
        </w:rPr>
        <w:instrText xml:space="preserve"> SEQ Figure_A \* ARABIC </w:instrText>
      </w:r>
      <w:r w:rsidRPr="001B03BB">
        <w:rPr>
          <w:bCs w:val="0"/>
          <w:i/>
          <w:color w:val="000000" w:themeColor="text1"/>
        </w:rPr>
        <w:fldChar w:fldCharType="separate"/>
      </w:r>
      <w:r w:rsidRPr="001B03BB">
        <w:rPr>
          <w:bCs w:val="0"/>
          <w:i/>
          <w:noProof/>
          <w:color w:val="000000" w:themeColor="text1"/>
        </w:rPr>
        <w:t>1</w:t>
      </w:r>
      <w:r w:rsidRPr="001B03BB">
        <w:rPr>
          <w:bCs w:val="0"/>
          <w:i/>
          <w:color w:val="000000" w:themeColor="text1"/>
        </w:rPr>
        <w:fldChar w:fldCharType="end"/>
      </w:r>
      <w:bookmarkEnd w:id="2"/>
      <w:r w:rsidRPr="001B03BB">
        <w:rPr>
          <w:bCs w:val="0"/>
          <w:i/>
          <w:color w:val="000000" w:themeColor="text1"/>
        </w:rPr>
        <w:t xml:space="preserve">. </w:t>
      </w:r>
      <w:r w:rsidRPr="001B03BB">
        <w:rPr>
          <w:b w:val="0"/>
          <w:i/>
          <w:color w:val="000000" w:themeColor="text1"/>
        </w:rPr>
        <w:t>Number of hydrodynamic datapoints published since May 22</w:t>
      </w:r>
      <w:r w:rsidRPr="001B03BB">
        <w:rPr>
          <w:b w:val="0"/>
          <w:i/>
          <w:color w:val="000000" w:themeColor="text1"/>
          <w:vertAlign w:val="superscript"/>
        </w:rPr>
        <w:t>n</w:t>
      </w:r>
      <w:r w:rsidRPr="001B03BB">
        <w:rPr>
          <w:b w:val="0"/>
          <w:i/>
          <w:color w:val="000000" w:themeColor="text1"/>
        </w:rPr>
        <w:t xml:space="preserve"> 1960 tsunami, including Plafker &amp; Savage’s 1970 geodetic survey (PS70) compiling 155 single-point vertical displacements and a transect along the Inter-American Highway, and Atwater et al.’s, 2013 post-tsunami survey in Maullín (A13). The compiled dataset is also included. </w:t>
      </w:r>
    </w:p>
    <w:p w:rsidR="00720BCC" w:rsidRPr="001B03BB" w:rsidRDefault="00720BCC" w:rsidP="00720BCC">
      <w:pPr>
        <w:rPr>
          <w:color w:val="000000" w:themeColor="text1"/>
        </w:rPr>
      </w:pPr>
    </w:p>
    <w:p w:rsidR="00720BCC" w:rsidRPr="001B03BB" w:rsidRDefault="00720BCC" w:rsidP="00720BCC">
      <w:pPr>
        <w:rPr>
          <w:rFonts w:eastAsia="Century Gothic"/>
          <w:b/>
          <w:bCs/>
          <w:color w:val="000000" w:themeColor="text1"/>
        </w:rPr>
      </w:pPr>
      <w:r w:rsidRPr="001B03BB">
        <w:rPr>
          <w:rFonts w:eastAsia="Century Gothic"/>
          <w:b/>
          <w:bCs/>
          <w:color w:val="000000" w:themeColor="text1"/>
        </w:rPr>
        <w:t>Paleseismology</w:t>
      </w:r>
    </w:p>
    <w:p w:rsidR="00720BCC" w:rsidRPr="001B03BB" w:rsidRDefault="00720BCC" w:rsidP="00720BCC">
      <w:pPr>
        <w:rPr>
          <w:color w:val="000000" w:themeColor="text1"/>
        </w:rPr>
      </w:pPr>
    </w:p>
    <w:p w:rsidR="00720BCC" w:rsidRPr="001B03BB" w:rsidRDefault="00720BCC" w:rsidP="00720BCC">
      <w:pPr>
        <w:rPr>
          <w:rFonts w:eastAsia="Century Gothic"/>
          <w:color w:val="000000" w:themeColor="text1"/>
        </w:rPr>
      </w:pPr>
      <w:r w:rsidRPr="001B03BB">
        <w:rPr>
          <w:rFonts w:eastAsia="Century Gothic"/>
          <w:color w:val="000000" w:themeColor="text1"/>
        </w:rPr>
        <w:t xml:space="preserve">The study of paleotsunamis preserved in coastal lowlands and lagoons has rapidly evolved over the past three decades, ranging from well-tested techniques to new methods yet to receive wide application. This research is based on geological, chemical, biological, archaeological, anthropological, geomorphological and contextual proxies which can be combined depending on the context of the site </w:t>
      </w:r>
      <w:r w:rsidRPr="001B03BB">
        <w:rPr>
          <w:color w:val="000000" w:themeColor="text1"/>
        </w:rPr>
        <w:t>(Goff et al., 2012)</w:t>
      </w:r>
      <w:r w:rsidRPr="001B03BB">
        <w:rPr>
          <w:rFonts w:eastAsia="Century Gothic"/>
          <w:color w:val="000000" w:themeColor="text1"/>
        </w:rPr>
        <w:t xml:space="preserve">. According to </w:t>
      </w:r>
      <w:r w:rsidRPr="001B03BB">
        <w:rPr>
          <w:color w:val="000000" w:themeColor="text1"/>
        </w:rPr>
        <w:t>León et al. (2023)</w:t>
      </w:r>
      <w:r w:rsidRPr="001B03BB">
        <w:rPr>
          <w:rFonts w:eastAsia="Century Gothic"/>
          <w:color w:val="000000" w:themeColor="text1"/>
        </w:rPr>
        <w:t xml:space="preserve">, 57 sites have been studied aiming to find geologic evidence for tsunamis along the coast of Chile during historical, and prehistoric times. Its application has covered many sites within the 1960 rupture zone, namely in Río Cruces [39.77°S] </w:t>
      </w:r>
      <w:r w:rsidRPr="001B03BB">
        <w:rPr>
          <w:color w:val="000000" w:themeColor="text1"/>
        </w:rPr>
        <w:t>(Reinhardt et al., 2010)</w:t>
      </w:r>
      <w:r w:rsidRPr="001B03BB">
        <w:rPr>
          <w:rFonts w:eastAsia="Century Gothic"/>
          <w:color w:val="000000" w:themeColor="text1"/>
        </w:rPr>
        <w:t xml:space="preserve">, Tirúa [38.34°S] </w:t>
      </w:r>
      <w:r w:rsidRPr="001B03BB">
        <w:rPr>
          <w:color w:val="000000" w:themeColor="text1"/>
        </w:rPr>
        <w:t xml:space="preserve">(Garrett et al., 2013; Ely et al., 2014; Nentwig et al., 2015) </w:t>
      </w:r>
      <w:r w:rsidRPr="001B03BB">
        <w:rPr>
          <w:rFonts w:eastAsia="Century Gothic"/>
          <w:color w:val="000000" w:themeColor="text1"/>
        </w:rPr>
        <w:t xml:space="preserve">and Maullín estuary [41.61°S] </w:t>
      </w:r>
      <w:r w:rsidRPr="001B03BB">
        <w:rPr>
          <w:color w:val="000000" w:themeColor="text1"/>
        </w:rPr>
        <w:t>(Cisternas et al., 2005; Atwater et al., 2013)</w:t>
      </w:r>
      <w:r w:rsidRPr="001B03BB">
        <w:rPr>
          <w:rFonts w:eastAsia="Century Gothic"/>
          <w:color w:val="000000" w:themeColor="text1"/>
        </w:rPr>
        <w:t xml:space="preserve"> in continental Chile. Studies in Chiloé island include Bahía Quetalmahue [41.85°S] </w:t>
      </w:r>
      <w:r w:rsidRPr="001B03BB">
        <w:rPr>
          <w:color w:val="000000" w:themeColor="text1"/>
        </w:rPr>
        <w:t>(Garrett et al., 2015)</w:t>
      </w:r>
      <w:r w:rsidRPr="001B03BB">
        <w:rPr>
          <w:rFonts w:eastAsia="Century Gothic"/>
          <w:color w:val="000000" w:themeColor="text1"/>
        </w:rPr>
        <w:t xml:space="preserve">, Bahía Cocotué [41.93°S] </w:t>
      </w:r>
      <w:r w:rsidRPr="001B03BB">
        <w:rPr>
          <w:color w:val="000000" w:themeColor="text1"/>
        </w:rPr>
        <w:t>(Cisternas et al., 2017b)</w:t>
      </w:r>
      <w:r w:rsidRPr="001B03BB">
        <w:rPr>
          <w:rFonts w:eastAsia="Century Gothic"/>
          <w:color w:val="000000" w:themeColor="text1"/>
        </w:rPr>
        <w:t xml:space="preserve">, Laguna Huelde [42.60°S] </w:t>
      </w:r>
      <w:r w:rsidRPr="001B03BB">
        <w:rPr>
          <w:color w:val="000000" w:themeColor="text1"/>
        </w:rPr>
        <w:t>(Kempf et al., 2015, 2017)</w:t>
      </w:r>
      <w:r w:rsidRPr="001B03BB">
        <w:rPr>
          <w:rFonts w:eastAsia="Century Gothic"/>
          <w:color w:val="000000" w:themeColor="text1"/>
        </w:rPr>
        <w:t xml:space="preserve"> and Lago Cucao [42.63°S] </w:t>
      </w:r>
      <w:r w:rsidRPr="001B03BB">
        <w:rPr>
          <w:color w:val="000000" w:themeColor="text1"/>
        </w:rPr>
        <w:t>(Kempf et al., 2017, 2020)</w:t>
      </w:r>
      <w:r w:rsidRPr="001B03BB">
        <w:rPr>
          <w:rFonts w:eastAsia="Century Gothic"/>
          <w:color w:val="000000" w:themeColor="text1"/>
        </w:rPr>
        <w:t>. Despite their importance for constraining the recurrence of past events, these site-specific studies do not adequately resolve the geographical distribution of tsunami flooding.</w:t>
      </w:r>
    </w:p>
    <w:p w:rsidR="00720BCC" w:rsidRPr="001B03BB" w:rsidRDefault="00720BCC" w:rsidP="00720BCC">
      <w:pPr>
        <w:rPr>
          <w:rFonts w:eastAsia="Century Gothic"/>
          <w:color w:val="000000" w:themeColor="text1"/>
        </w:rPr>
      </w:pPr>
    </w:p>
    <w:p w:rsidR="00720BCC" w:rsidRPr="001B03BB" w:rsidRDefault="00720BCC" w:rsidP="00720BCC">
      <w:pPr>
        <w:rPr>
          <w:rFonts w:eastAsia="Century Gothic"/>
          <w:b/>
          <w:bCs/>
          <w:color w:val="000000" w:themeColor="text1"/>
        </w:rPr>
      </w:pPr>
      <w:bookmarkStart w:id="3" w:name="_Toc532176391"/>
      <w:bookmarkStart w:id="4" w:name="_Toc3686818"/>
      <w:bookmarkStart w:id="5" w:name="_Toc35764792"/>
      <w:bookmarkStart w:id="6" w:name="_Toc151312855"/>
      <w:bookmarkStart w:id="7" w:name="_Hlk217488517"/>
      <w:r w:rsidRPr="001B03BB">
        <w:rPr>
          <w:rFonts w:eastAsia="Century Gothic"/>
          <w:b/>
          <w:bCs/>
          <w:color w:val="000000" w:themeColor="text1"/>
        </w:rPr>
        <w:t>Historical documents</w:t>
      </w:r>
      <w:bookmarkEnd w:id="3"/>
      <w:bookmarkEnd w:id="4"/>
      <w:bookmarkEnd w:id="5"/>
      <w:bookmarkEnd w:id="6"/>
    </w:p>
    <w:bookmarkEnd w:id="7"/>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rPr>
          <w:rFonts w:eastAsia="Century Gothic"/>
          <w:color w:val="000000" w:themeColor="text1"/>
          <w:szCs w:val="20"/>
        </w:rPr>
      </w:pPr>
      <w:r w:rsidRPr="001B03BB">
        <w:rPr>
          <w:rFonts w:eastAsia="Century Gothic"/>
          <w:color w:val="000000" w:themeColor="text1"/>
        </w:rPr>
        <w:t xml:space="preserve">Written records provide estimates of both the timing and the size of tsunamis. These types of accounts range from the oldest records in Japan 1300 years ago </w:t>
      </w:r>
      <w:r w:rsidRPr="001B03BB">
        <w:rPr>
          <w:color w:val="000000" w:themeColor="text1"/>
        </w:rPr>
        <w:t>(Ando, 1975)</w:t>
      </w:r>
      <w:r w:rsidRPr="001B03BB">
        <w:rPr>
          <w:rFonts w:eastAsia="Century Gothic"/>
          <w:color w:val="000000" w:themeColor="text1"/>
        </w:rPr>
        <w:t xml:space="preserve"> to regions like the Pacific coast of South America, which begun in the XVI century with the colonization of Spain. Locally, the 1960 tsunami has been recorded from both the historical point of view with focus of the political, geological and historical context </w:t>
      </w:r>
      <w:r w:rsidRPr="001B03BB">
        <w:rPr>
          <w:color w:val="000000" w:themeColor="text1"/>
        </w:rPr>
        <w:t xml:space="preserve">(Hernández, 2011; Benedetti, 2010) </w:t>
      </w:r>
      <w:r w:rsidRPr="001B03BB">
        <w:rPr>
          <w:rFonts w:eastAsia="Century Gothic"/>
          <w:color w:val="000000" w:themeColor="text1"/>
        </w:rPr>
        <w:t xml:space="preserve">and specifically for the cities of Castro </w:t>
      </w:r>
      <w:r w:rsidRPr="001B03BB">
        <w:rPr>
          <w:color w:val="000000" w:themeColor="text1"/>
        </w:rPr>
        <w:t>(Mardones and Mancilla, 2009)</w:t>
      </w:r>
      <w:r w:rsidRPr="001B03BB">
        <w:rPr>
          <w:rFonts w:eastAsia="Century Gothic"/>
          <w:color w:val="000000" w:themeColor="text1"/>
        </w:rPr>
        <w:t xml:space="preserve">, Ancud </w:t>
      </w:r>
      <w:r w:rsidRPr="001B03BB">
        <w:rPr>
          <w:color w:val="000000" w:themeColor="text1"/>
        </w:rPr>
        <w:t>(Pérez and Maldonado, 2010)</w:t>
      </w:r>
      <w:r w:rsidRPr="001B03BB">
        <w:rPr>
          <w:rFonts w:eastAsia="Century Gothic"/>
          <w:color w:val="000000" w:themeColor="text1"/>
        </w:rPr>
        <w:t xml:space="preserve"> and the village of Cucao </w:t>
      </w:r>
      <w:r w:rsidRPr="001B03BB">
        <w:rPr>
          <w:color w:val="000000" w:themeColor="text1"/>
        </w:rPr>
        <w:t>(Weisner, 2003)</w:t>
      </w:r>
      <w:r w:rsidRPr="001B03BB">
        <w:rPr>
          <w:rFonts w:eastAsia="Century Gothic"/>
          <w:color w:val="000000" w:themeColor="text1"/>
        </w:rPr>
        <w:t xml:space="preserve">. Sociocultural studies on the effects of the earthquake and tsunamis have also been carried out in Queule, Toltén, Puerto Saavedra and Isla Mocha </w:t>
      </w:r>
      <w:r w:rsidRPr="001B03BB">
        <w:rPr>
          <w:color w:val="000000" w:themeColor="text1"/>
        </w:rPr>
        <w:t>(Carvajal et al., 2007)</w:t>
      </w:r>
      <w:r w:rsidRPr="001B03BB">
        <w:rPr>
          <w:rFonts w:eastAsia="Century Gothic"/>
          <w:color w:val="000000" w:themeColor="text1"/>
        </w:rPr>
        <w:t xml:space="preserve">. A few documentaries are also available for this event </w:t>
      </w:r>
      <w:r w:rsidRPr="001B03BB">
        <w:rPr>
          <w:color w:val="000000" w:themeColor="text1"/>
        </w:rPr>
        <w:t>(e.g. Castedo, 1961, 2000; Nuño, 1993)</w:t>
      </w:r>
      <w:r w:rsidRPr="001B03BB">
        <w:rPr>
          <w:rFonts w:eastAsia="Century Gothic"/>
          <w:color w:val="000000" w:themeColor="text1"/>
        </w:rPr>
        <w:t xml:space="preserve">. </w:t>
      </w:r>
      <w:r w:rsidRPr="001B03BB">
        <w:rPr>
          <w:color w:val="000000" w:themeColor="text1"/>
        </w:rPr>
        <w:t>Cisternas et al.</w:t>
      </w:r>
      <w:r w:rsidRPr="001B03BB">
        <w:rPr>
          <w:rFonts w:eastAsia="Century Gothic"/>
          <w:color w:val="000000" w:themeColor="text1"/>
        </w:rPr>
        <w:t xml:space="preserve"> </w:t>
      </w:r>
      <w:r w:rsidRPr="001B03BB">
        <w:rPr>
          <w:color w:val="000000" w:themeColor="text1"/>
        </w:rPr>
        <w:t>(2017a)</w:t>
      </w:r>
      <w:r w:rsidRPr="001B03BB">
        <w:rPr>
          <w:rFonts w:eastAsia="Century Gothic"/>
          <w:color w:val="000000" w:themeColor="text1"/>
        </w:rPr>
        <w:t>, for example, reconstructed the historical seismic sequence culminating in the giant 1960 south-central Chile earthquake using first-hand accounts preserved in archives in Chile, Peru, Spain, and New England, combined with paleotsunami data and numerical modeling. Their study reveals substantial differences in rupture distribution among the 1737, 1837, and 1960 earthquakes. However, from a paleotsunami perspective, these historical documents provide no quantitative hydrodynamic information for the 1960 event.</w:t>
      </w:r>
      <w:r w:rsidRPr="001B03BB">
        <w:rPr>
          <w:rFonts w:eastAsia="Century Gothic"/>
          <w:color w:val="000000" w:themeColor="text1"/>
          <w:szCs w:val="20"/>
        </w:rPr>
        <w:t xml:space="preserve"> </w:t>
      </w:r>
    </w:p>
    <w:p w:rsidR="00720BCC" w:rsidRPr="001B03BB" w:rsidRDefault="00720BCC" w:rsidP="00720BCC">
      <w:pPr>
        <w:rPr>
          <w:rFonts w:eastAsia="Century Gothic"/>
          <w:color w:val="000000" w:themeColor="text1"/>
          <w:szCs w:val="20"/>
        </w:rPr>
      </w:pPr>
    </w:p>
    <w:p w:rsidR="00720BCC" w:rsidRPr="001B03BB" w:rsidRDefault="00720BCC" w:rsidP="00720BCC">
      <w:pPr>
        <w:rPr>
          <w:rFonts w:eastAsia="Century Gothic"/>
          <w:color w:val="000000" w:themeColor="text1"/>
          <w:szCs w:val="20"/>
          <w:lang w:val="es-CL"/>
        </w:rPr>
      </w:pPr>
      <w:r w:rsidRPr="001B03BB">
        <w:rPr>
          <w:rFonts w:eastAsia="Century Gothic"/>
          <w:color w:val="000000" w:themeColor="text1"/>
          <w:szCs w:val="20"/>
        </w:rPr>
        <w:t xml:space="preserve">In the context of this research, </w:t>
      </w:r>
      <w:r w:rsidRPr="001B03BB">
        <w:rPr>
          <w:color w:val="000000" w:themeColor="text1"/>
          <w:szCs w:val="20"/>
        </w:rPr>
        <w:t xml:space="preserve">three scholars were interviewed, namely Salustio Saldivia, author of Marikuga </w:t>
      </w:r>
      <w:r w:rsidRPr="001B03BB">
        <w:rPr>
          <w:i/>
          <w:color w:val="000000" w:themeColor="text1"/>
          <w:szCs w:val="20"/>
        </w:rPr>
        <w:t>"Entre la historia y la memoria"</w:t>
      </w:r>
      <w:r w:rsidRPr="001B03BB">
        <w:rPr>
          <w:color w:val="000000" w:themeColor="text1"/>
          <w:szCs w:val="20"/>
        </w:rPr>
        <w:t xml:space="preserve"> </w:t>
      </w:r>
      <w:r w:rsidRPr="001B03BB">
        <w:rPr>
          <w:color w:val="000000" w:themeColor="text1"/>
        </w:rPr>
        <w:t>(Saldivia, 2011)</w:t>
      </w:r>
      <w:r w:rsidRPr="001B03BB">
        <w:rPr>
          <w:color w:val="000000" w:themeColor="text1"/>
          <w:szCs w:val="20"/>
        </w:rPr>
        <w:t xml:space="preserve">, and </w:t>
      </w:r>
      <w:r w:rsidRPr="001B03BB">
        <w:rPr>
          <w:i/>
          <w:color w:val="000000" w:themeColor="text1"/>
          <w:szCs w:val="20"/>
        </w:rPr>
        <w:t xml:space="preserve">“Terremoto y maremoto de 1960 en la comuna de Mariquina. </w:t>
      </w:r>
      <w:r w:rsidRPr="001B03BB">
        <w:rPr>
          <w:i/>
          <w:color w:val="000000" w:themeColor="text1"/>
          <w:szCs w:val="20"/>
          <w:lang w:val="es-CL"/>
        </w:rPr>
        <w:t>Relatos desde la memoria”</w:t>
      </w:r>
      <w:r w:rsidRPr="001B03BB">
        <w:rPr>
          <w:color w:val="000000" w:themeColor="text1"/>
          <w:szCs w:val="20"/>
          <w:lang w:val="es-CL"/>
        </w:rPr>
        <w:t xml:space="preserve"> </w:t>
      </w:r>
      <w:r w:rsidRPr="001B03BB">
        <w:rPr>
          <w:color w:val="000000" w:themeColor="text1"/>
          <w:lang w:val="es-CL"/>
        </w:rPr>
        <w:t>(Saldivia, 2008)</w:t>
      </w:r>
      <w:r w:rsidRPr="001B03BB">
        <w:rPr>
          <w:color w:val="000000" w:themeColor="text1"/>
          <w:szCs w:val="20"/>
          <w:lang w:val="es-CL"/>
        </w:rPr>
        <w:t xml:space="preserve">; Manuel Hernández, autor of </w:t>
      </w:r>
      <w:r w:rsidRPr="001B03BB">
        <w:rPr>
          <w:i/>
          <w:color w:val="000000" w:themeColor="text1"/>
          <w:szCs w:val="20"/>
          <w:lang w:val="es-CL"/>
        </w:rPr>
        <w:t>“1960. Memorias de un desastre”</w:t>
      </w:r>
      <w:r w:rsidRPr="001B03BB">
        <w:rPr>
          <w:color w:val="000000" w:themeColor="text1"/>
          <w:szCs w:val="20"/>
          <w:lang w:val="es-CL"/>
        </w:rPr>
        <w:t xml:space="preserve"> </w:t>
      </w:r>
      <w:r w:rsidRPr="001B03BB">
        <w:rPr>
          <w:color w:val="000000" w:themeColor="text1"/>
          <w:lang w:val="es-CL"/>
        </w:rPr>
        <w:t>(Hernández, 2011)</w:t>
      </w:r>
      <w:r w:rsidRPr="001B03BB">
        <w:rPr>
          <w:color w:val="000000" w:themeColor="text1"/>
          <w:szCs w:val="20"/>
          <w:lang w:val="es-CL"/>
        </w:rPr>
        <w:t xml:space="preserve">; and Víctor Gallardo, autor of </w:t>
      </w:r>
      <w:r w:rsidRPr="001B03BB">
        <w:rPr>
          <w:i/>
          <w:color w:val="000000" w:themeColor="text1"/>
          <w:szCs w:val="20"/>
          <w:lang w:val="es-CL"/>
        </w:rPr>
        <w:t>“Maullín 1960, las imágenes de la tragedia”</w:t>
      </w:r>
      <w:r w:rsidRPr="001B03BB">
        <w:rPr>
          <w:color w:val="000000" w:themeColor="text1"/>
          <w:szCs w:val="20"/>
          <w:lang w:val="es-CL"/>
        </w:rPr>
        <w:t xml:space="preserve"> </w:t>
      </w:r>
      <w:r w:rsidRPr="001B03BB">
        <w:rPr>
          <w:color w:val="000000" w:themeColor="text1"/>
          <w:lang w:val="es-CL"/>
        </w:rPr>
        <w:t>(Gallardo, 2015)</w:t>
      </w:r>
      <w:r w:rsidRPr="001B03BB">
        <w:rPr>
          <w:color w:val="000000" w:themeColor="text1"/>
          <w:szCs w:val="20"/>
          <w:lang w:val="es-CL"/>
        </w:rPr>
        <w:t>.</w:t>
      </w:r>
    </w:p>
    <w:p w:rsidR="00720BCC" w:rsidRPr="001B03BB" w:rsidRDefault="00720BCC" w:rsidP="00720BCC">
      <w:pPr>
        <w:autoSpaceDE w:val="0"/>
        <w:autoSpaceDN w:val="0"/>
        <w:adjustRightInd w:val="0"/>
        <w:rPr>
          <w:rFonts w:eastAsia="Century Gothic"/>
          <w:color w:val="000000" w:themeColor="text1"/>
          <w:szCs w:val="20"/>
          <w:lang w:val="es-CL"/>
        </w:rPr>
      </w:pPr>
    </w:p>
    <w:p w:rsidR="00720BCC" w:rsidRPr="001B03BB" w:rsidRDefault="00720BCC" w:rsidP="00720BCC">
      <w:pPr>
        <w:rPr>
          <w:rFonts w:eastAsia="Century Gothic"/>
          <w:b/>
          <w:bCs/>
          <w:color w:val="000000" w:themeColor="text1"/>
        </w:rPr>
      </w:pPr>
      <w:bookmarkStart w:id="8" w:name="_Toc532176392"/>
      <w:bookmarkStart w:id="9" w:name="_Toc3686819"/>
      <w:bookmarkStart w:id="10" w:name="_Toc35764793"/>
      <w:bookmarkStart w:id="11" w:name="_Toc151312856"/>
      <w:bookmarkStart w:id="12" w:name="_Hlk217488523"/>
      <w:r w:rsidRPr="001B03BB">
        <w:rPr>
          <w:rFonts w:eastAsia="Century Gothic"/>
          <w:b/>
          <w:bCs/>
          <w:color w:val="000000" w:themeColor="text1"/>
        </w:rPr>
        <w:t>Geodetic surveys</w:t>
      </w:r>
      <w:bookmarkEnd w:id="8"/>
      <w:bookmarkEnd w:id="9"/>
      <w:bookmarkEnd w:id="10"/>
      <w:bookmarkEnd w:id="11"/>
    </w:p>
    <w:bookmarkEnd w:id="12"/>
    <w:p w:rsidR="00720BCC" w:rsidRPr="001B03BB" w:rsidRDefault="00720BCC" w:rsidP="00720BCC">
      <w:pPr>
        <w:rPr>
          <w:color w:val="000000" w:themeColor="text1"/>
        </w:rPr>
      </w:pPr>
    </w:p>
    <w:p w:rsidR="00720BCC" w:rsidRPr="001B03BB" w:rsidRDefault="00720BCC" w:rsidP="00720BCC">
      <w:pPr>
        <w:autoSpaceDE w:val="0"/>
        <w:autoSpaceDN w:val="0"/>
        <w:adjustRightInd w:val="0"/>
        <w:rPr>
          <w:rFonts w:eastAsia="Century Gothic"/>
          <w:color w:val="000000" w:themeColor="text1"/>
        </w:rPr>
      </w:pPr>
      <w:bookmarkStart w:id="13" w:name="_Toc532176393"/>
      <w:r w:rsidRPr="001B03BB">
        <w:rPr>
          <w:color w:val="000000" w:themeColor="text1"/>
        </w:rPr>
        <w:t>Eight years after the 1960 event, Plafker &amp; Savage (1970)</w:t>
      </w:r>
      <w:r w:rsidRPr="001B03BB">
        <w:rPr>
          <w:rFonts w:eastAsia="Century Gothic"/>
          <w:color w:val="000000" w:themeColor="text1"/>
        </w:rPr>
        <w:t xml:space="preserve"> conducted an extensive geodetic survey in the source region. They estimated vertical displacements at 155 sites between 36°S and 46°S along the coast, using as reference the lower limit of terrestrial vegetation, the upper growth limit of mussels, and high-tide levels reported by eyewitnesses. They reported a maximum uplift of about 5.7 m in the Guamblin Island, the largest subsidence of -2.7 m in Valdivia, and geodetic data inland along the Inter-American Highway. These data have been extensively used to characterize the earthquake source of the May 21</w:t>
      </w:r>
      <w:r w:rsidRPr="001B03BB">
        <w:rPr>
          <w:rFonts w:eastAsia="Century Gothic"/>
          <w:color w:val="000000" w:themeColor="text1"/>
          <w:vertAlign w:val="superscript"/>
        </w:rPr>
        <w:t>st</w:t>
      </w:r>
      <w:r w:rsidRPr="001B03BB">
        <w:rPr>
          <w:rFonts w:eastAsia="Century Gothic"/>
          <w:color w:val="000000" w:themeColor="text1"/>
        </w:rPr>
        <w:t xml:space="preserve">, 1960, tsunami by itself </w:t>
      </w:r>
      <w:r w:rsidRPr="001B03BB">
        <w:rPr>
          <w:color w:val="000000" w:themeColor="text1"/>
        </w:rPr>
        <w:t>(Barrientos &amp; Ward, 1990; Moreno et al., 2009)</w:t>
      </w:r>
      <w:r w:rsidRPr="001B03BB">
        <w:rPr>
          <w:rFonts w:eastAsia="Century Gothic"/>
          <w:color w:val="000000" w:themeColor="text1"/>
        </w:rPr>
        <w:t xml:space="preserve"> or in combination with tsunami waveforms </w:t>
      </w:r>
      <w:r w:rsidRPr="001B03BB">
        <w:rPr>
          <w:color w:val="000000" w:themeColor="text1"/>
        </w:rPr>
        <w:t>(Fujii &amp; Satake, 2013; Ho et al., 2019)</w:t>
      </w:r>
      <w:r w:rsidRPr="001B03BB">
        <w:rPr>
          <w:rFonts w:eastAsia="Century Gothic"/>
          <w:color w:val="000000" w:themeColor="text1"/>
        </w:rPr>
        <w:t>. Barrientos et al. (1992) provides postseismic records if changes in coastal elevation in the Puerto Montt region, located at the center of the 900-kin long rupture region of the 1960 earthquake.</w:t>
      </w:r>
    </w:p>
    <w:p w:rsidR="00720BCC" w:rsidRPr="001B03BB" w:rsidRDefault="00720BCC" w:rsidP="00720BCC">
      <w:pPr>
        <w:rPr>
          <w:color w:val="000000" w:themeColor="text1"/>
        </w:rPr>
      </w:pPr>
    </w:p>
    <w:p w:rsidR="00720BCC" w:rsidRPr="001B03BB" w:rsidRDefault="00720BCC" w:rsidP="00720BCC">
      <w:pPr>
        <w:rPr>
          <w:rFonts w:eastAsia="Century Gothic"/>
          <w:b/>
          <w:bCs/>
          <w:color w:val="000000" w:themeColor="text1"/>
        </w:rPr>
      </w:pPr>
      <w:bookmarkStart w:id="14" w:name="_Toc3686820"/>
      <w:bookmarkStart w:id="15" w:name="_Toc35764794"/>
      <w:bookmarkStart w:id="16" w:name="_Toc151312857"/>
      <w:bookmarkStart w:id="17" w:name="_Hlk217488528"/>
      <w:r w:rsidRPr="001B03BB">
        <w:rPr>
          <w:rFonts w:eastAsia="Century Gothic"/>
          <w:b/>
          <w:bCs/>
          <w:color w:val="000000" w:themeColor="text1"/>
        </w:rPr>
        <w:t>Post-tsunami surveys</w:t>
      </w:r>
      <w:bookmarkEnd w:id="13"/>
      <w:bookmarkEnd w:id="14"/>
      <w:bookmarkEnd w:id="15"/>
      <w:bookmarkEnd w:id="16"/>
    </w:p>
    <w:bookmarkEnd w:id="17"/>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autoSpaceDE w:val="0"/>
        <w:autoSpaceDN w:val="0"/>
        <w:adjustRightInd w:val="0"/>
        <w:rPr>
          <w:rFonts w:eastAsia="Century Gothic"/>
          <w:color w:val="000000" w:themeColor="text1"/>
        </w:rPr>
      </w:pPr>
      <w:r w:rsidRPr="001B03BB">
        <w:rPr>
          <w:rFonts w:eastAsia="Century Gothic"/>
          <w:color w:val="000000" w:themeColor="text1"/>
        </w:rPr>
        <w:t xml:space="preserve">Since the 1992 Nicaragua tsunami, more than 33 post-tsunami field surveys worldwide have contributed nearly 10,000 individual runup measurements to global tsunami databases. </w:t>
      </w:r>
      <w:r w:rsidRPr="001B03BB">
        <w:rPr>
          <w:color w:val="000000" w:themeColor="text1"/>
        </w:rPr>
        <w:t>(Kong et al., 2018)</w:t>
      </w:r>
      <w:r w:rsidRPr="001B03BB">
        <w:rPr>
          <w:rFonts w:eastAsia="Century Gothic"/>
          <w:color w:val="000000" w:themeColor="text1"/>
        </w:rPr>
        <w:t xml:space="preserve">. Though field surveys have become a common practice to gather information for Chilean tsunamis occurring in 1995 </w:t>
      </w:r>
      <w:r w:rsidRPr="001B03BB">
        <w:rPr>
          <w:color w:val="000000" w:themeColor="text1"/>
        </w:rPr>
        <w:t>(Barrientos and Tanioka, 1997)</w:t>
      </w:r>
      <w:r w:rsidRPr="001B03BB">
        <w:rPr>
          <w:rFonts w:eastAsia="Century Gothic"/>
          <w:color w:val="000000" w:themeColor="text1"/>
        </w:rPr>
        <w:t xml:space="preserve">, 2010 </w:t>
      </w:r>
      <w:r w:rsidRPr="001B03BB">
        <w:rPr>
          <w:color w:val="000000" w:themeColor="text1"/>
        </w:rPr>
        <w:t>(Fritz et al., 2011)</w:t>
      </w:r>
      <w:r w:rsidRPr="001B03BB">
        <w:rPr>
          <w:rFonts w:eastAsia="Century Gothic"/>
          <w:color w:val="000000" w:themeColor="text1"/>
        </w:rPr>
        <w:t xml:space="preserve">, 2014 </w:t>
      </w:r>
      <w:r w:rsidRPr="001B03BB">
        <w:rPr>
          <w:color w:val="000000" w:themeColor="text1"/>
        </w:rPr>
        <w:t>(Catalán et al., 2015)</w:t>
      </w:r>
      <w:r w:rsidRPr="001B03BB">
        <w:rPr>
          <w:rFonts w:eastAsia="Century Gothic"/>
          <w:color w:val="000000" w:themeColor="text1"/>
        </w:rPr>
        <w:t xml:space="preserve"> and 2015 </w:t>
      </w:r>
      <w:r w:rsidRPr="001B03BB">
        <w:rPr>
          <w:color w:val="000000" w:themeColor="text1"/>
        </w:rPr>
        <w:t>(Aránguiz et al., 2015; Contreras et al.,</w:t>
      </w:r>
      <w:r w:rsidRPr="001B03BB">
        <w:rPr>
          <w:rFonts w:eastAsia="Century Gothic"/>
          <w:color w:val="000000" w:themeColor="text1"/>
        </w:rPr>
        <w:t xml:space="preserve"> </w:t>
      </w:r>
      <w:r w:rsidRPr="001B03BB">
        <w:rPr>
          <w:color w:val="000000" w:themeColor="text1"/>
        </w:rPr>
        <w:t>2016)</w:t>
      </w:r>
      <w:r w:rsidRPr="001B03BB">
        <w:rPr>
          <w:rFonts w:eastAsia="Century Gothic"/>
          <w:color w:val="000000" w:themeColor="text1"/>
        </w:rPr>
        <w:t xml:space="preserve">, a comprehensive field survey was not carried out immediately after the tsunami. Paradoxically, records of the 1960 tsunami are abundant in Japan, where The Committee for Field Investigation of the Chilean Tsunami of 1960 </w:t>
      </w:r>
      <w:r w:rsidRPr="001B03BB">
        <w:rPr>
          <w:color w:val="000000" w:themeColor="text1"/>
        </w:rPr>
        <w:t>(1960, 1961)</w:t>
      </w:r>
      <w:r w:rsidRPr="001B03BB">
        <w:rPr>
          <w:rFonts w:eastAsia="Century Gothic"/>
          <w:color w:val="000000" w:themeColor="text1"/>
        </w:rPr>
        <w:t xml:space="preserve"> conducted a systematic survey in coastal towns. The most comprehensive study by </w:t>
      </w:r>
      <w:r w:rsidRPr="001B03BB">
        <w:rPr>
          <w:color w:val="000000" w:themeColor="text1"/>
        </w:rPr>
        <w:t>Sievers et al. (1961, 1963)</w:t>
      </w:r>
      <w:r w:rsidRPr="001B03BB">
        <w:rPr>
          <w:rFonts w:eastAsia="Century Gothic"/>
          <w:color w:val="000000" w:themeColor="text1"/>
        </w:rPr>
        <w:t xml:space="preserve">, later reprinted by </w:t>
      </w:r>
      <w:r w:rsidRPr="001B03BB">
        <w:rPr>
          <w:color w:val="000000" w:themeColor="text1"/>
        </w:rPr>
        <w:t>SHOA (2000)</w:t>
      </w:r>
      <w:r w:rsidRPr="001B03BB">
        <w:rPr>
          <w:rFonts w:eastAsia="Century Gothic"/>
          <w:color w:val="000000" w:themeColor="text1"/>
        </w:rPr>
        <w:t xml:space="preserve">, includes hydrodynamic data which were collected via phone and face-to-face interviews with eyewitnesses several days and weeks after the earthquake </w:t>
      </w:r>
      <w:r w:rsidRPr="001B03BB">
        <w:rPr>
          <w:color w:val="000000" w:themeColor="text1"/>
        </w:rPr>
        <w:t>(Sievers, personal communication, 2017)</w:t>
      </w:r>
      <w:r w:rsidRPr="001B03BB">
        <w:rPr>
          <w:rFonts w:eastAsia="Century Gothic"/>
          <w:color w:val="000000" w:themeColor="text1"/>
        </w:rPr>
        <w:t xml:space="preserve">. No </w:t>
      </w:r>
      <w:r w:rsidRPr="001B03BB">
        <w:rPr>
          <w:rFonts w:eastAsia="Century Gothic"/>
          <w:i/>
          <w:iCs/>
          <w:color w:val="000000" w:themeColor="text1"/>
        </w:rPr>
        <w:t>in situ</w:t>
      </w:r>
      <w:r w:rsidRPr="001B03BB">
        <w:rPr>
          <w:rFonts w:eastAsia="Century Gothic"/>
          <w:color w:val="000000" w:themeColor="text1"/>
        </w:rPr>
        <w:t xml:space="preserve"> measurements were collected, as standardized post-tsunami survey protocols were not yet available at the time</w:t>
      </w:r>
      <w:r w:rsidRPr="001B03BB" w:rsidDel="00AF6C98">
        <w:rPr>
          <w:rFonts w:eastAsia="Century Gothic"/>
          <w:color w:val="000000" w:themeColor="text1"/>
        </w:rPr>
        <w:t xml:space="preserve"> </w:t>
      </w:r>
      <w:r w:rsidRPr="001B03BB">
        <w:rPr>
          <w:color w:val="000000" w:themeColor="text1"/>
        </w:rPr>
        <w:t>(Dominey-Howes et al., 2014; Arcos et al., 2017)</w:t>
      </w:r>
      <w:r w:rsidRPr="001B03BB">
        <w:rPr>
          <w:rFonts w:eastAsia="Century Gothic"/>
          <w:color w:val="000000" w:themeColor="text1"/>
        </w:rPr>
        <w:t>. Consequently, it is not possible to determine whether the few figures reported by Sievers et al. (1961, 1963) correspond to runup heights, wave heights, or water depths, nor whether they are affected by coseismic coastal uplift or subsidence.</w:t>
      </w:r>
    </w:p>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autoSpaceDE w:val="0"/>
        <w:autoSpaceDN w:val="0"/>
        <w:adjustRightInd w:val="0"/>
        <w:rPr>
          <w:rFonts w:eastAsia="Century Gothic"/>
          <w:color w:val="000000" w:themeColor="text1"/>
        </w:rPr>
      </w:pPr>
      <w:r w:rsidRPr="001B03BB">
        <w:rPr>
          <w:rFonts w:eastAsia="Century Gothic"/>
          <w:color w:val="000000" w:themeColor="text1"/>
        </w:rPr>
        <w:t xml:space="preserve">Less detailed but more comprehensive sets of data, namely tsunami runups and water depths, are available in written catalogues </w:t>
      </w:r>
      <w:r w:rsidRPr="001B03BB">
        <w:rPr>
          <w:color w:val="000000" w:themeColor="text1"/>
        </w:rPr>
        <w:t>(e.g. Berninghausen, 1962; Iida et al., 1967; Lockridge &amp; Smith, 1984; Lockridge, 1985; Soloviev and Go, 1975; Watanabe, 1998)</w:t>
      </w:r>
      <w:r w:rsidRPr="001B03BB">
        <w:rPr>
          <w:rFonts w:eastAsia="Century Gothic"/>
          <w:color w:val="000000" w:themeColor="text1"/>
        </w:rPr>
        <w:t xml:space="preserve"> and web-based global tsunami databases (NGDC/WDS, GTDB), the latter of which are continually updated to include new events. The </w:t>
      </w:r>
      <w:r w:rsidRPr="001B03BB">
        <w:rPr>
          <w:color w:val="000000" w:themeColor="text1"/>
        </w:rPr>
        <w:t>NGDC/WDS (2018</w:t>
      </w:r>
      <w:r w:rsidRPr="001B03BB">
        <w:rPr>
          <w:rFonts w:eastAsia="Century Gothic"/>
          <w:color w:val="000000" w:themeColor="text1"/>
        </w:rPr>
        <w:t>) database contains information of the source and runups of over 2400 tsunamis occurring worldwide since 2000 BC, including the May 22</w:t>
      </w:r>
      <w:r w:rsidRPr="001B03BB">
        <w:rPr>
          <w:rFonts w:eastAsia="Century Gothic"/>
          <w:color w:val="000000" w:themeColor="text1"/>
          <w:vertAlign w:val="superscript"/>
        </w:rPr>
        <w:t>nd</w:t>
      </w:r>
      <w:r w:rsidRPr="001B03BB">
        <w:rPr>
          <w:rFonts w:eastAsia="Century Gothic"/>
          <w:color w:val="000000" w:themeColor="text1"/>
        </w:rPr>
        <w:t xml:space="preserve">, 1960 tsunami. The </w:t>
      </w:r>
      <w:hyperlink r:id="rId8" w:history="1">
        <w:r w:rsidRPr="001B03BB">
          <w:rPr>
            <w:rFonts w:eastAsia="Century Gothic"/>
            <w:bCs/>
            <w:color w:val="000000" w:themeColor="text1"/>
          </w:rPr>
          <w:t>tsunami runup search</w:t>
        </w:r>
      </w:hyperlink>
      <w:r w:rsidRPr="001B03BB">
        <w:rPr>
          <w:rFonts w:eastAsia="Century Gothic"/>
          <w:color w:val="000000" w:themeColor="text1"/>
        </w:rPr>
        <w:t xml:space="preserve"> tool includes the location, arrival date and time, travel time, maximum water heights, maximum inundation distances and location effects (deaths, injuries, damage, houses damaged and destroyed) for specific locations.</w:t>
      </w:r>
    </w:p>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rPr>
          <w:rFonts w:eastAsia="Century Gothic"/>
          <w:color w:val="000000" w:themeColor="text1"/>
        </w:rPr>
      </w:pPr>
      <w:r w:rsidRPr="001B03BB">
        <w:rPr>
          <w:rFonts w:eastAsia="Century Gothic"/>
          <w:color w:val="000000" w:themeColor="text1"/>
        </w:rPr>
        <w:t>T</w:t>
      </w:r>
      <w:r w:rsidRPr="001B03BB">
        <w:rPr>
          <w:color w:val="000000" w:themeColor="text1"/>
        </w:rPr>
        <w:t>he exiting databases provide runup and water depths with highly heterogeneous levels of confidence. While catalogues provide l</w:t>
      </w:r>
      <w:r w:rsidRPr="001B03BB">
        <w:rPr>
          <w:rFonts w:eastAsia="Century Gothic"/>
          <w:color w:val="000000" w:themeColor="text1"/>
        </w:rPr>
        <w:t>ess detailed but more comprehensive databases, specific studies focus areas with great level of detail</w:t>
      </w:r>
      <w:r w:rsidRPr="001B03BB">
        <w:rPr>
          <w:color w:val="000000" w:themeColor="text1"/>
        </w:rPr>
        <w:t xml:space="preserve">. </w:t>
      </w:r>
      <w:r w:rsidRPr="001B03BB">
        <w:rPr>
          <w:rFonts w:eastAsia="Century Gothic"/>
          <w:color w:val="000000" w:themeColor="text1"/>
        </w:rPr>
        <w:t>For the May 22</w:t>
      </w:r>
      <w:r w:rsidRPr="001B03BB">
        <w:rPr>
          <w:rFonts w:eastAsia="Century Gothic"/>
          <w:color w:val="000000" w:themeColor="text1"/>
          <w:vertAlign w:val="superscript"/>
        </w:rPr>
        <w:t>nd</w:t>
      </w:r>
      <w:r w:rsidRPr="001B03BB">
        <w:rPr>
          <w:rFonts w:eastAsia="Century Gothic"/>
          <w:color w:val="000000" w:themeColor="text1"/>
        </w:rPr>
        <w:t xml:space="preserve">, 1960 tsunami, the NGDC/WDS’s contains 1199 entries, 32 of which correspond to Chilean records and 24 of which are located within or near the source. For the same event, the GTDB database contains 1184 entries, 28 of which correspond to records in Chile and 21 to those near the source. The similarity between both databases is rooted on the genesis of the GTDB. This database, originally built from the regional historical tsunami catalog for Kuril-Kamchatka region, was complemented (circa 1995) with runup data from NGDC/NOAA under a joint project sponsored by IOC </w:t>
      </w:r>
      <w:r w:rsidRPr="001B03BB">
        <w:rPr>
          <w:color w:val="000000" w:themeColor="text1"/>
        </w:rPr>
        <w:t>(Gusiakov, personal communication, 2019)</w:t>
      </w:r>
      <w:r w:rsidRPr="001B03BB">
        <w:rPr>
          <w:rFonts w:eastAsia="Century Gothic"/>
          <w:color w:val="000000" w:themeColor="text1"/>
        </w:rPr>
        <w:t xml:space="preserve">. The GTDB database was complemented circa 2005 to become global. Since 1992, both databases are similar since they use the same sources of the data (scientific publications and Tsunami BB messages). Some databases are redundant or omit this event on purpose. Soloviev and Go’s catalogue, for example, includes hardly any information on 1960 Chilean tsunami owing to the great volume of factual data on it. On the other extreme, </w:t>
      </w:r>
      <w:r w:rsidRPr="001B03BB">
        <w:rPr>
          <w:color w:val="000000" w:themeColor="text1"/>
        </w:rPr>
        <w:t>Atwater et al. (2013)</w:t>
      </w:r>
      <w:r w:rsidRPr="001B03BB">
        <w:rPr>
          <w:rFonts w:eastAsia="Century Gothic"/>
          <w:color w:val="000000" w:themeColor="text1"/>
        </w:rPr>
        <w:t xml:space="preserve"> provide reliable records of water depths which have been corrected to tide and vertical changes of the land, including a measure of the reliability of the data. </w:t>
      </w:r>
    </w:p>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rPr>
          <w:rFonts w:eastAsia="Century Gothic"/>
          <w:b/>
          <w:bCs/>
          <w:color w:val="000000" w:themeColor="text1"/>
        </w:rPr>
      </w:pPr>
      <w:bookmarkStart w:id="18" w:name="_Toc532176394"/>
      <w:bookmarkStart w:id="19" w:name="_Toc3686821"/>
      <w:bookmarkStart w:id="20" w:name="_Toc35764795"/>
      <w:bookmarkStart w:id="21" w:name="_Toc151312858"/>
      <w:bookmarkStart w:id="22" w:name="_Hlk217488534"/>
      <w:r w:rsidRPr="001B03BB">
        <w:rPr>
          <w:rFonts w:eastAsia="Century Gothic"/>
          <w:b/>
          <w:bCs/>
          <w:color w:val="000000" w:themeColor="text1"/>
        </w:rPr>
        <w:t>Tsunami instrumental records</w:t>
      </w:r>
      <w:bookmarkEnd w:id="18"/>
      <w:bookmarkEnd w:id="19"/>
      <w:bookmarkEnd w:id="20"/>
      <w:bookmarkEnd w:id="21"/>
    </w:p>
    <w:bookmarkEnd w:id="22"/>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autoSpaceDE w:val="0"/>
        <w:autoSpaceDN w:val="0"/>
        <w:adjustRightInd w:val="0"/>
        <w:rPr>
          <w:rFonts w:eastAsia="Century Gothic"/>
          <w:color w:val="000000" w:themeColor="text1"/>
        </w:rPr>
      </w:pPr>
      <w:r w:rsidRPr="001B03BB">
        <w:rPr>
          <w:rFonts w:eastAsia="Century Gothic"/>
          <w:color w:val="000000" w:themeColor="text1"/>
        </w:rPr>
        <w:t>While the earliest tide gauges were deployed elsewhere in the world in the mid-19th century</w:t>
      </w:r>
      <w:r w:rsidRPr="001B03BB" w:rsidDel="00493288">
        <w:rPr>
          <w:rFonts w:eastAsia="Century Gothic"/>
          <w:color w:val="000000" w:themeColor="text1"/>
        </w:rPr>
        <w:t xml:space="preserve"> </w:t>
      </w:r>
      <w:r w:rsidRPr="001B03BB">
        <w:rPr>
          <w:color w:val="000000" w:themeColor="text1"/>
        </w:rPr>
        <w:t>(Scheffers and Kelletat, 2003)</w:t>
      </w:r>
      <w:r w:rsidRPr="001B03BB">
        <w:rPr>
          <w:rFonts w:eastAsia="Century Gothic"/>
          <w:color w:val="000000" w:themeColor="text1"/>
        </w:rPr>
        <w:t xml:space="preserve">, the first instrument in Chile began operating in 1944 at the port of Valparaíso. </w:t>
      </w:r>
      <w:r w:rsidRPr="001B03BB">
        <w:rPr>
          <w:color w:val="000000" w:themeColor="text1"/>
        </w:rPr>
        <w:t>(Contreras et al., 2012)</w:t>
      </w:r>
      <w:r w:rsidRPr="001B03BB">
        <w:rPr>
          <w:rFonts w:eastAsia="Century Gothic"/>
          <w:color w:val="000000" w:themeColor="text1"/>
        </w:rPr>
        <w:t xml:space="preserve">. In 1960, the Chilean network was able to collect 7 time series in Arica, Antofagasta, Caldera, Coquimbo, Valparaíso, Talcahuano, Punta Arenas </w:t>
      </w:r>
      <w:r w:rsidRPr="001B03BB">
        <w:rPr>
          <w:color w:val="000000" w:themeColor="text1"/>
        </w:rPr>
        <w:t>(SHOA, 2000)</w:t>
      </w:r>
      <w:r w:rsidRPr="001B03BB">
        <w:rPr>
          <w:rFonts w:eastAsia="Century Gothic"/>
          <w:color w:val="000000" w:themeColor="text1"/>
        </w:rPr>
        <w:t xml:space="preserve">. However, the closest tide gauges were Talcahuano (36.701°S; 73.106°W) and Punta Arenas (53.124°S; 70.862°W), located 100 km north and 900 km south from the northern and southern ends of the rupture zone, respectively. Tsunami records were also obtained in many countries and islands in the Pacific Ocean </w:t>
      </w:r>
      <w:r w:rsidRPr="001B03BB">
        <w:rPr>
          <w:color w:val="000000" w:themeColor="text1"/>
        </w:rPr>
        <w:t>(Symons &amp; Zetler, 1960; Robinson, 1961; Berkman &amp; Symons, 1964)</w:t>
      </w:r>
      <w:r w:rsidRPr="001B03BB">
        <w:rPr>
          <w:rFonts w:eastAsia="Century Gothic"/>
          <w:color w:val="000000" w:themeColor="text1"/>
        </w:rPr>
        <w:t xml:space="preserve">; some of these waveforms have been used to estimate the source region of the 1960 tsunami </w:t>
      </w:r>
      <w:r w:rsidRPr="001B03BB">
        <w:rPr>
          <w:color w:val="000000" w:themeColor="text1"/>
        </w:rPr>
        <w:t>(Fujii &amp; Satake, 2013; Ho et al., 2019)</w:t>
      </w:r>
      <w:r w:rsidRPr="001B03BB">
        <w:rPr>
          <w:rFonts w:eastAsia="Century Gothic"/>
          <w:color w:val="000000" w:themeColor="text1"/>
        </w:rPr>
        <w:t xml:space="preserve">, while Japanese records for recorded in 1960 were used to reexamine the magnitudes for the 1906 and 1922 Chilean earthquakes </w:t>
      </w:r>
      <w:r w:rsidRPr="001B03BB">
        <w:rPr>
          <w:color w:val="000000" w:themeColor="text1"/>
        </w:rPr>
        <w:t>(Carvajal et al., 2016)</w:t>
      </w:r>
      <w:r w:rsidRPr="001B03BB">
        <w:rPr>
          <w:rFonts w:eastAsia="Century Gothic"/>
          <w:color w:val="000000" w:themeColor="text1"/>
        </w:rPr>
        <w:t xml:space="preserve">. </w:t>
      </w:r>
    </w:p>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rPr>
          <w:rFonts w:eastAsia="Century Gothic"/>
          <w:color w:val="000000" w:themeColor="text1"/>
        </w:rPr>
      </w:pPr>
      <w:r w:rsidRPr="001B03BB">
        <w:rPr>
          <w:rFonts w:eastAsia="Century Gothic"/>
          <w:color w:val="000000" w:themeColor="text1"/>
        </w:rPr>
        <w:t xml:space="preserve">The GTDB database </w:t>
      </w:r>
      <w:r w:rsidRPr="001B03BB">
        <w:rPr>
          <w:color w:val="000000" w:themeColor="text1"/>
        </w:rPr>
        <w:t>(Gusiakov, 2005)</w:t>
      </w:r>
      <w:r w:rsidRPr="001B03BB">
        <w:rPr>
          <w:rFonts w:eastAsia="Century Gothic"/>
          <w:color w:val="000000" w:themeColor="text1"/>
        </w:rPr>
        <w:t xml:space="preserve">, on the other hand, contains runup and tide-gauge observations for 2270 events since 1628 BC. </w:t>
      </w:r>
      <w:r w:rsidRPr="001B03BB">
        <w:rPr>
          <w:color w:val="000000" w:themeColor="text1"/>
        </w:rPr>
        <w:t>Gusiakov (2009)</w:t>
      </w:r>
      <w:r w:rsidRPr="001B03BB">
        <w:rPr>
          <w:rFonts w:eastAsia="Century Gothic"/>
          <w:color w:val="000000" w:themeColor="text1"/>
        </w:rPr>
        <w:t xml:space="preserve"> provides a detailed description of the development and availability of tsunami catalogs available in the literature </w:t>
      </w:r>
      <w:r w:rsidRPr="001B03BB">
        <w:rPr>
          <w:color w:val="000000" w:themeColor="text1"/>
        </w:rPr>
        <w:t>(ITIC, 2019; Tsunami Laboratory, 2019)</w:t>
      </w:r>
      <w:r w:rsidRPr="001B03BB">
        <w:rPr>
          <w:rFonts w:eastAsia="Century Gothic"/>
          <w:color w:val="000000" w:themeColor="text1"/>
        </w:rPr>
        <w:t>. Finally, other references provide runups and water depths for the May 22</w:t>
      </w:r>
      <w:r w:rsidRPr="001B03BB">
        <w:rPr>
          <w:rFonts w:eastAsia="Century Gothic"/>
          <w:color w:val="000000" w:themeColor="text1"/>
          <w:vertAlign w:val="superscript"/>
        </w:rPr>
        <w:t>nd</w:t>
      </w:r>
      <w:r w:rsidRPr="001B03BB">
        <w:rPr>
          <w:rFonts w:eastAsia="Century Gothic"/>
          <w:color w:val="000000" w:themeColor="text1"/>
        </w:rPr>
        <w:t xml:space="preserve">, 1960 tsunami </w:t>
      </w:r>
      <w:r w:rsidRPr="001B03BB">
        <w:rPr>
          <w:color w:val="000000" w:themeColor="text1"/>
        </w:rPr>
        <w:t>(Weischet, 1960; Watanabe &amp; Karzulovic 1960; Saint Amand, 1961a, 1961b; Takahashi &amp; Hatori, 1961; Weischet, 1963; Sievers et al., 1963; Hernández, 2011; Fritz et al., 2011; Atwater et al., 2013)</w:t>
      </w:r>
      <w:r w:rsidRPr="001B03BB">
        <w:rPr>
          <w:rFonts w:eastAsia="Century Gothic"/>
          <w:color w:val="000000" w:themeColor="text1"/>
        </w:rPr>
        <w:t xml:space="preserve">. </w:t>
      </w:r>
    </w:p>
    <w:p w:rsidR="00720BCC" w:rsidRPr="001B03BB" w:rsidRDefault="00720BCC" w:rsidP="00720BCC">
      <w:pPr>
        <w:shd w:val="clear" w:color="auto" w:fill="FFFFFF"/>
        <w:rPr>
          <w:rFonts w:eastAsia="Century Gothic"/>
          <w:color w:val="000000" w:themeColor="text1"/>
        </w:rPr>
      </w:pPr>
    </w:p>
    <w:p w:rsidR="00720BCC" w:rsidRPr="001B03BB" w:rsidRDefault="00720BCC" w:rsidP="00720BCC">
      <w:pPr>
        <w:rPr>
          <w:rFonts w:eastAsia="Century Gothic"/>
          <w:b/>
          <w:bCs/>
          <w:color w:val="000000" w:themeColor="text1"/>
        </w:rPr>
      </w:pPr>
      <w:bookmarkStart w:id="23" w:name="_Toc3686822"/>
      <w:bookmarkStart w:id="24" w:name="_Toc35764796"/>
      <w:bookmarkStart w:id="25" w:name="_Toc151312859"/>
      <w:bookmarkStart w:id="26" w:name="_Hlk217488539"/>
      <w:r w:rsidRPr="001B03BB">
        <w:rPr>
          <w:rFonts w:eastAsia="Century Gothic"/>
          <w:b/>
          <w:bCs/>
          <w:color w:val="000000" w:themeColor="text1"/>
        </w:rPr>
        <w:t>Seismic records</w:t>
      </w:r>
      <w:bookmarkEnd w:id="23"/>
      <w:bookmarkEnd w:id="24"/>
      <w:bookmarkEnd w:id="25"/>
    </w:p>
    <w:bookmarkEnd w:id="26"/>
    <w:p w:rsidR="00720BCC" w:rsidRPr="001B03BB" w:rsidRDefault="00720BCC" w:rsidP="00720BCC">
      <w:pPr>
        <w:rPr>
          <w:rFonts w:eastAsia="Century Gothic"/>
          <w:color w:val="000000" w:themeColor="text1"/>
        </w:rPr>
      </w:pPr>
    </w:p>
    <w:p w:rsidR="00720BCC" w:rsidRPr="001B03BB" w:rsidRDefault="00720BCC" w:rsidP="00720BCC">
      <w:pPr>
        <w:autoSpaceDE w:val="0"/>
        <w:autoSpaceDN w:val="0"/>
        <w:adjustRightInd w:val="0"/>
        <w:rPr>
          <w:rFonts w:eastAsia="Century Gothic"/>
          <w:color w:val="000000" w:themeColor="text1"/>
        </w:rPr>
      </w:pPr>
      <w:r w:rsidRPr="001B03BB">
        <w:rPr>
          <w:rFonts w:eastAsia="Century Gothic"/>
          <w:color w:val="000000" w:themeColor="text1"/>
        </w:rPr>
        <w:t>The Chilean seismological network was established in 1908 by the French seismologist Fernand de Montessus de Ballore, who had been appointed in 1907 following the destructive 1906 Valparaíso earthquake.</w:t>
      </w:r>
      <w:r w:rsidRPr="001B03BB" w:rsidDel="00493288">
        <w:rPr>
          <w:rFonts w:eastAsia="Century Gothic"/>
          <w:color w:val="000000" w:themeColor="text1"/>
        </w:rPr>
        <w:t xml:space="preserve"> </w:t>
      </w:r>
      <w:r w:rsidRPr="001B03BB">
        <w:rPr>
          <w:color w:val="000000" w:themeColor="text1"/>
        </w:rPr>
        <w:t>(Brenner, 1911; Cisternas, 2009; Barrientos, 2018)</w:t>
      </w:r>
      <w:r w:rsidRPr="001B03BB">
        <w:rPr>
          <w:rFonts w:eastAsia="Century Gothic"/>
          <w:color w:val="000000" w:themeColor="text1"/>
        </w:rPr>
        <w:t xml:space="preserve">. At the beginning of the XX century, this network was one of the best worldwide </w:t>
      </w:r>
      <w:r w:rsidRPr="001B03BB">
        <w:rPr>
          <w:color w:val="000000" w:themeColor="text1"/>
        </w:rPr>
        <w:t>(Cisternas, 2009)</w:t>
      </w:r>
      <w:r w:rsidRPr="001B03BB">
        <w:rPr>
          <w:rFonts w:eastAsia="Century Gothic"/>
          <w:color w:val="000000" w:themeColor="text1"/>
        </w:rPr>
        <w:t>. Regrettably, in 1960, the network had become precarious and obsolete, since it depended on the insufficient budgets of the Instituto de Geofísica at Universidad de Chile (IGUC). According to seismologist Enrique Gajardo (personal communication, 2019), the network consisted of 7 stations located in Antofagasta, Copiapó, Santiago (2), Termas de Panimávida, Concepción and Punta Arenas. Because of the 1960 earthquake, modernization of the seismological network begun with international aid. New facilities were installed a few months later in Concepción, Temuco, Valdivia and Puerto Montt. A two-year aid program led by UNESCO provided additional instruments, but these were ultimately not deployed due to lack of funding. Tragically, the database compiled for the 1960 earthquake, the entire seismogram archive dating back to 1910, and one of the most comprehensive seismological libraries in the world were lost in a fire that struck the Instituto de Geofísica in 1961.</w:t>
      </w:r>
    </w:p>
    <w:p w:rsidR="00720BCC" w:rsidRPr="001B03BB" w:rsidRDefault="00720BCC" w:rsidP="00720BCC">
      <w:pPr>
        <w:autoSpaceDE w:val="0"/>
        <w:autoSpaceDN w:val="0"/>
        <w:adjustRightInd w:val="0"/>
        <w:rPr>
          <w:rFonts w:eastAsia="Century Gothic"/>
          <w:color w:val="000000" w:themeColor="text1"/>
        </w:rPr>
      </w:pPr>
    </w:p>
    <w:p w:rsidR="00720BCC" w:rsidRPr="001B03BB" w:rsidRDefault="00720BCC" w:rsidP="00720BCC">
      <w:pPr>
        <w:autoSpaceDE w:val="0"/>
        <w:autoSpaceDN w:val="0"/>
        <w:adjustRightInd w:val="0"/>
        <w:rPr>
          <w:rFonts w:eastAsia="Century Gothic"/>
          <w:color w:val="000000" w:themeColor="text1"/>
        </w:rPr>
      </w:pPr>
      <w:r w:rsidRPr="001B03BB">
        <w:rPr>
          <w:rFonts w:eastAsia="Century Gothic"/>
          <w:color w:val="000000" w:themeColor="text1"/>
        </w:rPr>
        <w:t>T</w:t>
      </w:r>
      <w:r w:rsidRPr="001B03BB">
        <w:rPr>
          <w:color w:val="000000" w:themeColor="text1"/>
        </w:rPr>
        <w:t>he lack of a standardized seismograph network in the global scale explains the inexistence of accurate estimations of the slip dist</w:t>
      </w:r>
      <w:r w:rsidRPr="001B03BB">
        <w:rPr>
          <w:rFonts w:eastAsia="Century Gothic"/>
          <w:color w:val="000000" w:themeColor="text1"/>
        </w:rPr>
        <w:t xml:space="preserve">ribution of the 1960 earthquake </w:t>
      </w:r>
      <w:r w:rsidRPr="001B03BB">
        <w:rPr>
          <w:color w:val="000000" w:themeColor="text1"/>
        </w:rPr>
        <w:t>(Satake, personal communication, 2019)</w:t>
      </w:r>
      <w:r w:rsidRPr="001B03BB">
        <w:rPr>
          <w:rFonts w:eastAsia="Century Gothic"/>
          <w:color w:val="000000" w:themeColor="text1"/>
        </w:rPr>
        <w:t xml:space="preserve">. Efforts have been fertile only in estimating the seismic moment </w:t>
      </w:r>
      <w:r w:rsidRPr="001B03BB">
        <w:rPr>
          <w:color w:val="000000" w:themeColor="text1"/>
        </w:rPr>
        <w:t>(e.g. Kanamori &amp; Cipar, 1974; Cifuentes, 1989; Cifuentes &amp; Silver, 1989)</w:t>
      </w:r>
      <w:r w:rsidRPr="001B03BB">
        <w:rPr>
          <w:rFonts w:eastAsia="Century Gothic"/>
          <w:color w:val="000000" w:themeColor="text1"/>
        </w:rPr>
        <w:t xml:space="preserve">.  It was only until 1961, with the development of the </w:t>
      </w:r>
      <w:r w:rsidRPr="001B03BB">
        <w:rPr>
          <w:color w:val="000000" w:themeColor="text1"/>
        </w:rPr>
        <w:t xml:space="preserve">World-Wide Standardized Seismograph Network (WWSSN; Oliver &amp; Murphy, 1971), that the variation of waveform amplitude, shape, and timing could be compared to infer kinematic rupture properties of the source, such as the finite slip distribution (Chuck Langston prefacing Peterson &amp; Hutt, 2014). The WWSSN was developed to support the nuclear test ban negotiations held in 1958, which highlighted the need to enhance the United States’ capability to detect nuclear explosions. The WWSSN generated an unprecedented collection of high quality, continuous data waveforms from </w:t>
      </w:r>
      <w:r w:rsidRPr="001B03BB">
        <w:rPr>
          <w:rFonts w:eastAsia="Century Gothic"/>
          <w:color w:val="000000" w:themeColor="text1"/>
        </w:rPr>
        <w:t>117 instruments deployed worldwide between 1961 and 1967. Since then, data has been available to infer the characteristics of earthquake sources.</w:t>
      </w:r>
    </w:p>
    <w:p w:rsidR="00720BCC" w:rsidRPr="001B03BB" w:rsidRDefault="00720BCC" w:rsidP="00720BCC">
      <w:pPr>
        <w:rPr>
          <w:rFonts w:ascii="Arial" w:hAnsi="Arial"/>
          <w:color w:val="000000" w:themeColor="text1"/>
          <w:shd w:val="clear" w:color="auto" w:fill="FFFFFF"/>
        </w:rPr>
      </w:pPr>
    </w:p>
    <w:p w:rsidR="00720BCC" w:rsidRPr="001B03BB" w:rsidRDefault="00720BCC" w:rsidP="00720BCC">
      <w:pPr>
        <w:rPr>
          <w:rFonts w:eastAsia="Century Gothic"/>
          <w:b/>
          <w:bCs/>
          <w:color w:val="000000" w:themeColor="text1"/>
        </w:rPr>
      </w:pPr>
      <w:r w:rsidRPr="001B03BB">
        <w:rPr>
          <w:rFonts w:eastAsia="Century Gothic"/>
          <w:b/>
          <w:bCs/>
          <w:color w:val="000000" w:themeColor="text1"/>
        </w:rPr>
        <w:t>Additional references (to those in main text)</w:t>
      </w:r>
    </w:p>
    <w:p w:rsidR="00720BCC" w:rsidRPr="001B03BB" w:rsidRDefault="00720BCC" w:rsidP="00720BCC">
      <w:pPr>
        <w:rPr>
          <w:color w:val="000000" w:themeColor="text1"/>
        </w:rPr>
      </w:pPr>
    </w:p>
    <w:p w:rsidR="00720BCC" w:rsidRPr="001B03BB" w:rsidRDefault="00720BCC" w:rsidP="00720BCC">
      <w:pPr>
        <w:spacing w:after="60"/>
        <w:rPr>
          <w:color w:val="000000" w:themeColor="text1"/>
          <w:sz w:val="16"/>
          <w:szCs w:val="16"/>
          <w:lang w:val="es-CL"/>
        </w:rPr>
      </w:pPr>
      <w:bookmarkStart w:id="27" w:name="_Toc151360164"/>
      <w:bookmarkStart w:id="28" w:name="_Ref152489548"/>
      <w:r w:rsidRPr="001B03BB">
        <w:rPr>
          <w:color w:val="000000" w:themeColor="text1"/>
          <w:sz w:val="16"/>
          <w:szCs w:val="16"/>
        </w:rPr>
        <w:t xml:space="preserve">Ando, M. (1975). Source mechanisms and tectonic significance of historical earthquakes along the nankai trough, Japan. </w:t>
      </w:r>
      <w:r w:rsidRPr="001B03BB">
        <w:rPr>
          <w:color w:val="000000" w:themeColor="text1"/>
          <w:sz w:val="16"/>
          <w:szCs w:val="16"/>
          <w:lang w:val="es-CL"/>
        </w:rPr>
        <w:t xml:space="preserve">Tectonophysics, 27(2), 119–140. doi:10.1016/0040-1951(75)90102-x  </w:t>
      </w:r>
    </w:p>
    <w:p w:rsidR="00720BCC" w:rsidRPr="001B03BB" w:rsidRDefault="00720BCC" w:rsidP="00720BCC">
      <w:pPr>
        <w:spacing w:after="60"/>
        <w:rPr>
          <w:color w:val="000000" w:themeColor="text1"/>
          <w:sz w:val="16"/>
          <w:szCs w:val="16"/>
        </w:rPr>
      </w:pPr>
      <w:r w:rsidRPr="001B03BB">
        <w:rPr>
          <w:color w:val="000000" w:themeColor="text1"/>
          <w:sz w:val="16"/>
          <w:szCs w:val="16"/>
          <w:lang w:val="es-CL"/>
        </w:rPr>
        <w:t xml:space="preserve">Aránguiz, R.; González, G.; González, J.; Catalán, P. A.; Cienfuegos, R.; Yagi, Y.; Okuwaki, R. Urra, L.; Contreras, K; Del Rio, I. and Rojas. </w:t>
      </w:r>
      <w:r w:rsidRPr="001B03BB">
        <w:rPr>
          <w:color w:val="000000" w:themeColor="text1"/>
          <w:sz w:val="16"/>
          <w:szCs w:val="16"/>
        </w:rPr>
        <w:t>C. (2015). The 16 September 2015 Chile Tsunami from the Post-Tsunami Survey and Numerical Modeling Perspectives. Pure Appl. Geophys. DOI 10.1007/s00024-015-1225-4</w:t>
      </w:r>
    </w:p>
    <w:p w:rsidR="00720BCC" w:rsidRPr="001B03BB" w:rsidRDefault="00720BCC" w:rsidP="00720BCC">
      <w:pPr>
        <w:spacing w:after="60"/>
        <w:rPr>
          <w:color w:val="000000" w:themeColor="text1"/>
          <w:sz w:val="16"/>
          <w:szCs w:val="16"/>
        </w:rPr>
      </w:pPr>
      <w:r w:rsidRPr="001B03BB">
        <w:rPr>
          <w:color w:val="000000" w:themeColor="text1"/>
          <w:sz w:val="16"/>
          <w:szCs w:val="16"/>
        </w:rPr>
        <w:t xml:space="preserve">Barrientos, S. E. and Tanioka, Y. (1997). </w:t>
      </w:r>
      <w:r w:rsidRPr="001B03BB">
        <w:rPr>
          <w:color w:val="000000" w:themeColor="text1"/>
          <w:sz w:val="16"/>
          <w:szCs w:val="16"/>
          <w:lang w:val="es-CL"/>
        </w:rPr>
        <w:t xml:space="preserve">Levantamiento de la costa y tsunami asociados al terremoto de Antofagasta de julio de 1995. </w:t>
      </w:r>
      <w:r w:rsidRPr="001B03BB">
        <w:rPr>
          <w:color w:val="000000" w:themeColor="text1"/>
          <w:sz w:val="16"/>
          <w:szCs w:val="16"/>
        </w:rPr>
        <w:t>Actas del VIII Congreso Geológico Chileno. 3, 1741-1745.</w:t>
      </w:r>
    </w:p>
    <w:p w:rsidR="00720BCC" w:rsidRPr="001B03BB" w:rsidRDefault="00720BCC" w:rsidP="00720BCC">
      <w:pPr>
        <w:spacing w:after="60"/>
        <w:rPr>
          <w:color w:val="000000" w:themeColor="text1"/>
          <w:sz w:val="16"/>
          <w:szCs w:val="16"/>
        </w:rPr>
      </w:pPr>
      <w:r w:rsidRPr="001B03BB">
        <w:rPr>
          <w:color w:val="000000" w:themeColor="text1"/>
          <w:sz w:val="16"/>
          <w:szCs w:val="16"/>
        </w:rPr>
        <w:t>Barrientos, S. E. (2018). The Seismic Network of Chile. Seismological Research Letters Volume 89, Number 2A March/April 2018</w:t>
      </w:r>
    </w:p>
    <w:p w:rsidR="00720BCC" w:rsidRPr="001B03BB" w:rsidRDefault="00720BCC" w:rsidP="00720BCC">
      <w:pPr>
        <w:spacing w:after="60"/>
        <w:rPr>
          <w:color w:val="000000" w:themeColor="text1"/>
          <w:sz w:val="16"/>
          <w:szCs w:val="16"/>
        </w:rPr>
      </w:pPr>
      <w:r w:rsidRPr="001B03BB">
        <w:rPr>
          <w:color w:val="000000" w:themeColor="text1"/>
          <w:sz w:val="16"/>
          <w:szCs w:val="16"/>
        </w:rPr>
        <w:t>Brenner, J. C. (1911). The seismologic service of Chile, Bull. Seismol. Soc. Am. 1, 25–26.</w:t>
      </w:r>
    </w:p>
    <w:p w:rsidR="00720BCC" w:rsidRPr="001B03BB" w:rsidRDefault="00720BCC" w:rsidP="00720BCC">
      <w:pPr>
        <w:spacing w:after="60"/>
        <w:rPr>
          <w:color w:val="000000" w:themeColor="text1"/>
          <w:sz w:val="16"/>
          <w:szCs w:val="16"/>
        </w:rPr>
      </w:pPr>
      <w:r w:rsidRPr="001B03BB">
        <w:rPr>
          <w:color w:val="000000" w:themeColor="text1"/>
          <w:sz w:val="16"/>
          <w:szCs w:val="16"/>
        </w:rPr>
        <w:t>Carvajal, M., M. Cisternas, A. Gubler, P. A. Catalán, P. Winckler, and R. L. Wesson (2017). Reexamination of the magnitudes for the 1906 and 1922 Chilean earthquakes using Japanese tsunami amplitudes: Implications for source depth constraints, J. Geophys. Res. Solid Earth, 122,1-14. DOI:10.1002/2016JB013269.</w:t>
      </w:r>
    </w:p>
    <w:p w:rsidR="00720BCC" w:rsidRPr="001B03BB" w:rsidRDefault="00720BCC" w:rsidP="00720BCC">
      <w:pPr>
        <w:spacing w:after="60"/>
        <w:rPr>
          <w:color w:val="000000" w:themeColor="text1"/>
          <w:sz w:val="16"/>
          <w:szCs w:val="16"/>
        </w:rPr>
      </w:pPr>
      <w:r w:rsidRPr="001B03BB">
        <w:rPr>
          <w:color w:val="000000" w:themeColor="text1"/>
          <w:sz w:val="16"/>
          <w:szCs w:val="16"/>
        </w:rPr>
        <w:t>Catalán, P. A.; Aránguiz, R.; González, G.; Tomita, T.; Cienfuegos, R.; González, J.; Shrivastava, M.; Kumagai, K.; Mokrani, C.; Cortés, P. and Gubler, A. (2015), The 1 April 2014 Pisagua tsunami: Observations and modeling, Geophys. Res. Lett., 42, doi:10.1002/2015GL063333.</w:t>
      </w:r>
    </w:p>
    <w:p w:rsidR="00720BCC" w:rsidRPr="001B03BB" w:rsidRDefault="00720BCC" w:rsidP="00720BCC">
      <w:pPr>
        <w:spacing w:after="60"/>
        <w:rPr>
          <w:color w:val="000000" w:themeColor="text1"/>
          <w:sz w:val="16"/>
          <w:szCs w:val="16"/>
        </w:rPr>
      </w:pPr>
      <w:r w:rsidRPr="001B03BB">
        <w:rPr>
          <w:color w:val="000000" w:themeColor="text1"/>
          <w:sz w:val="16"/>
          <w:szCs w:val="16"/>
        </w:rPr>
        <w:t>Cifuentes, I. L. (1989). The 1960 Chilean earthquakes. Journal of Geophysical Research: Solid Earth, 94(B1), 665-680.</w:t>
      </w:r>
    </w:p>
    <w:p w:rsidR="00720BCC" w:rsidRPr="001B03BB" w:rsidRDefault="00720BCC" w:rsidP="00720BCC">
      <w:pPr>
        <w:spacing w:after="60"/>
        <w:rPr>
          <w:color w:val="000000" w:themeColor="text1"/>
          <w:sz w:val="16"/>
          <w:szCs w:val="16"/>
        </w:rPr>
      </w:pPr>
      <w:r w:rsidRPr="001B03BB">
        <w:rPr>
          <w:color w:val="000000" w:themeColor="text1"/>
          <w:sz w:val="16"/>
          <w:szCs w:val="16"/>
          <w:lang w:val="es-CL"/>
        </w:rPr>
        <w:t xml:space="preserve">Cifuentes, I. L., &amp; Silver, P. G. (1989). </w:t>
      </w:r>
      <w:r w:rsidRPr="001B03BB">
        <w:rPr>
          <w:color w:val="000000" w:themeColor="text1"/>
          <w:sz w:val="16"/>
          <w:szCs w:val="16"/>
        </w:rPr>
        <w:t>Low‐frequency source characteristics of the great 1960 Chilean earthquake. Journal of Geophysical Research: Solid Earth, 94(B1), 643-663.</w:t>
      </w:r>
    </w:p>
    <w:p w:rsidR="00720BCC" w:rsidRPr="001B03BB" w:rsidRDefault="00720BCC" w:rsidP="00720BCC">
      <w:pPr>
        <w:spacing w:after="60"/>
        <w:rPr>
          <w:color w:val="000000" w:themeColor="text1"/>
          <w:sz w:val="16"/>
          <w:szCs w:val="16"/>
        </w:rPr>
      </w:pPr>
      <w:r w:rsidRPr="001B03BB">
        <w:rPr>
          <w:color w:val="000000" w:themeColor="text1"/>
          <w:sz w:val="16"/>
          <w:szCs w:val="16"/>
        </w:rPr>
        <w:t>Cisternas, A. (2009). Montessus de Ballore, a pioneer of seismology: The man and his work. Physics of the Earth and Planetary Interiors, 175(1-2), 3-7.</w:t>
      </w:r>
    </w:p>
    <w:p w:rsidR="00720BCC" w:rsidRPr="001B03BB" w:rsidRDefault="00720BCC" w:rsidP="00720BCC">
      <w:pPr>
        <w:spacing w:after="60"/>
        <w:rPr>
          <w:color w:val="000000" w:themeColor="text1"/>
          <w:sz w:val="16"/>
          <w:szCs w:val="16"/>
          <w:lang w:val="es-CL"/>
        </w:rPr>
      </w:pPr>
      <w:r w:rsidRPr="001B03BB">
        <w:rPr>
          <w:color w:val="000000" w:themeColor="text1"/>
          <w:sz w:val="16"/>
          <w:szCs w:val="16"/>
        </w:rPr>
        <w:t xml:space="preserve">Contreras-López, M.; Winckler, P.; Sepúlveda, I.; Andaur, A.; Cortés, F.; Guerrero, C.; Mizobe, C.; Igualt, F.; Breuer, W.; Beyá, J.; Vergara, H. and Figueroa, R. (2016). Field Survey of the 2015 Chile tsunami with emphasis on coastal wetland and conservation areas. </w:t>
      </w:r>
      <w:r w:rsidRPr="001B03BB">
        <w:rPr>
          <w:color w:val="000000" w:themeColor="text1"/>
          <w:sz w:val="16"/>
          <w:szCs w:val="16"/>
          <w:lang w:val="es-CL"/>
        </w:rPr>
        <w:t>Pure and Applied Geophysics. 173(2): 349-367.</w:t>
      </w:r>
    </w:p>
    <w:p w:rsidR="00720BCC" w:rsidRPr="001B03BB" w:rsidRDefault="00720BCC" w:rsidP="00720BCC">
      <w:pPr>
        <w:spacing w:after="60"/>
        <w:rPr>
          <w:color w:val="000000" w:themeColor="text1"/>
          <w:sz w:val="16"/>
          <w:szCs w:val="16"/>
          <w:lang w:val="es-CL"/>
        </w:rPr>
      </w:pPr>
      <w:r w:rsidRPr="001B03BB">
        <w:rPr>
          <w:color w:val="000000" w:themeColor="text1"/>
          <w:sz w:val="16"/>
          <w:szCs w:val="16"/>
          <w:lang w:val="es-CL"/>
        </w:rPr>
        <w:t>Contreras, M., Winckler, P., y Molina, M. (2012) Implicancias de la variación del nivel medio del mar por cambio climático en obras de ingeniería costera de Chile. Anales del Instituto de Ingenieros de Chile. Volumen 124, Número 2, pp. 53-66.</w:t>
      </w:r>
    </w:p>
    <w:p w:rsidR="00720BCC" w:rsidRPr="001B03BB" w:rsidRDefault="00720BCC" w:rsidP="00720BCC">
      <w:pPr>
        <w:spacing w:after="60"/>
        <w:rPr>
          <w:color w:val="000000" w:themeColor="text1"/>
          <w:sz w:val="16"/>
          <w:szCs w:val="16"/>
        </w:rPr>
      </w:pPr>
      <w:r w:rsidRPr="001B03BB">
        <w:rPr>
          <w:color w:val="000000" w:themeColor="text1"/>
          <w:sz w:val="16"/>
          <w:szCs w:val="16"/>
        </w:rPr>
        <w:t>Goff, J., Chagué-Goff, C., Nichol, S., Jaffe, B., &amp; Dominey-Howes, D. (2012). Progress in palaeotsunami research. Sedimentary Geology, 243, 70-88.</w:t>
      </w:r>
    </w:p>
    <w:p w:rsidR="00720BCC" w:rsidRPr="001B03BB" w:rsidRDefault="00720BCC" w:rsidP="00720BCC">
      <w:pPr>
        <w:spacing w:after="60"/>
        <w:rPr>
          <w:color w:val="000000" w:themeColor="text1"/>
          <w:sz w:val="16"/>
          <w:szCs w:val="16"/>
        </w:rPr>
      </w:pPr>
      <w:r w:rsidRPr="001B03BB">
        <w:rPr>
          <w:color w:val="000000" w:themeColor="text1"/>
          <w:sz w:val="16"/>
          <w:szCs w:val="16"/>
        </w:rPr>
        <w:t>Heinrich, P., Guibourg, S., &amp; Roche, R. (1996). Numerical modeling of the 1960 Chilean tsunami. Impact on French Polynesia. Physics and Chemistry of the Earth, 21(1-2), 19-25.</w:t>
      </w:r>
    </w:p>
    <w:p w:rsidR="00720BCC" w:rsidRPr="001B03BB" w:rsidRDefault="00720BCC" w:rsidP="00720BCC">
      <w:pPr>
        <w:spacing w:after="60"/>
        <w:rPr>
          <w:color w:val="000000" w:themeColor="text1"/>
          <w:sz w:val="16"/>
          <w:szCs w:val="16"/>
        </w:rPr>
      </w:pPr>
      <w:r w:rsidRPr="001B03BB">
        <w:rPr>
          <w:color w:val="000000" w:themeColor="text1"/>
          <w:sz w:val="16"/>
          <w:szCs w:val="16"/>
        </w:rPr>
        <w:t>León, T., Lau, A. A., Easton, G., &amp; Goff, J. (2023). A comprehensive review of tsunami and palaeotsunami research in Chile. Earth-Science Reviews, 236, 104273.</w:t>
      </w:r>
    </w:p>
    <w:p w:rsidR="00720BCC" w:rsidRPr="001B03BB" w:rsidRDefault="00720BCC" w:rsidP="00720BCC">
      <w:pPr>
        <w:spacing w:after="60"/>
        <w:rPr>
          <w:color w:val="000000" w:themeColor="text1"/>
          <w:sz w:val="16"/>
          <w:szCs w:val="16"/>
        </w:rPr>
      </w:pPr>
      <w:r w:rsidRPr="001B03BB">
        <w:rPr>
          <w:color w:val="000000" w:themeColor="text1"/>
          <w:sz w:val="16"/>
          <w:szCs w:val="16"/>
        </w:rPr>
        <w:t xml:space="preserve">ITIC (2019). Tsunami Catalogues. International Tsunami Information Center </w:t>
      </w:r>
      <w:hyperlink r:id="rId9">
        <w:r w:rsidRPr="001B03BB">
          <w:rPr>
            <w:color w:val="000000" w:themeColor="text1"/>
            <w:sz w:val="16"/>
            <w:szCs w:val="16"/>
          </w:rPr>
          <w:t>http://itic.ioc-unesco.org/index.php?option=com_content&amp;view=article&amp;id=1502:225&amp;catid=1333&amp;Itemid=1333</w:t>
        </w:r>
      </w:hyperlink>
      <w:r w:rsidRPr="001B03BB">
        <w:rPr>
          <w:color w:val="000000" w:themeColor="text1"/>
          <w:sz w:val="16"/>
          <w:szCs w:val="16"/>
        </w:rPr>
        <w:t>. Accessed on 24/02/2019.</w:t>
      </w:r>
    </w:p>
    <w:p w:rsidR="00720BCC" w:rsidRPr="001B03BB" w:rsidRDefault="00720BCC" w:rsidP="00720BCC">
      <w:pPr>
        <w:spacing w:after="60"/>
        <w:rPr>
          <w:color w:val="000000" w:themeColor="text1"/>
          <w:sz w:val="16"/>
          <w:szCs w:val="16"/>
        </w:rPr>
      </w:pPr>
      <w:r w:rsidRPr="001B03BB">
        <w:rPr>
          <w:color w:val="000000" w:themeColor="text1"/>
          <w:sz w:val="16"/>
          <w:szCs w:val="16"/>
        </w:rPr>
        <w:t>Kanamori, H., &amp; Cipar, J. J. (1974). Focal process of the great Chilean earthquake May 22, 1960. Physics of the Earth and Planetary Interiors, 9(2), 128-136.</w:t>
      </w:r>
    </w:p>
    <w:p w:rsidR="00720BCC" w:rsidRPr="001B03BB" w:rsidRDefault="00720BCC" w:rsidP="00720BCC">
      <w:pPr>
        <w:spacing w:after="60"/>
        <w:rPr>
          <w:color w:val="000000" w:themeColor="text1"/>
          <w:sz w:val="16"/>
          <w:szCs w:val="16"/>
        </w:rPr>
      </w:pPr>
      <w:r w:rsidRPr="001B03BB">
        <w:rPr>
          <w:color w:val="000000" w:themeColor="text1"/>
          <w:sz w:val="16"/>
          <w:szCs w:val="16"/>
        </w:rPr>
        <w:t>Kong, L.; Kodijat, A.; Suzuki, S.; Kumar, S,; Djamaludin, R. Sadjuga, Fritz, H. Sapta Prasetya, G. Synolakis, C. and Yalçıner, A. (2018). International Post-Tsunami Survey for Tsunami Palu-Donggala (ITST-Palu).  AGU session “The 2018 Mw 7.5 Sulawesi Indonesia earthquake: tsunamigenic potential of strike slip faults”</w:t>
      </w:r>
    </w:p>
    <w:p w:rsidR="00720BCC" w:rsidRPr="001B03BB" w:rsidRDefault="00720BCC" w:rsidP="00720BCC">
      <w:pPr>
        <w:spacing w:after="60"/>
        <w:rPr>
          <w:color w:val="000000" w:themeColor="text1"/>
          <w:sz w:val="16"/>
          <w:szCs w:val="16"/>
        </w:rPr>
      </w:pPr>
      <w:r w:rsidRPr="001B03BB">
        <w:rPr>
          <w:color w:val="000000" w:themeColor="text1"/>
          <w:sz w:val="16"/>
          <w:szCs w:val="16"/>
        </w:rPr>
        <w:t xml:space="preserve">Oliver, J., &amp; Murphy, L.M. (1971). WWNSS-Seismology’s global network of observing stations: Science, v. 174, p. 254–261. </w:t>
      </w:r>
    </w:p>
    <w:p w:rsidR="00720BCC" w:rsidRPr="001B03BB" w:rsidRDefault="00720BCC" w:rsidP="00720BCC">
      <w:pPr>
        <w:spacing w:after="60"/>
        <w:rPr>
          <w:color w:val="000000" w:themeColor="text1"/>
          <w:sz w:val="16"/>
          <w:szCs w:val="16"/>
        </w:rPr>
      </w:pPr>
      <w:r w:rsidRPr="001B03BB">
        <w:rPr>
          <w:color w:val="000000" w:themeColor="text1"/>
          <w:sz w:val="16"/>
          <w:szCs w:val="16"/>
        </w:rPr>
        <w:t>Peterson, J., &amp; Hutt, C. R. (2014). World-wide standardized seismograph network: A data users guide. US Department of the Interior, US Geological Survey.</w:t>
      </w:r>
    </w:p>
    <w:p w:rsidR="00720BCC" w:rsidRPr="001B03BB" w:rsidRDefault="00720BCC" w:rsidP="00720BCC">
      <w:pPr>
        <w:spacing w:after="60"/>
        <w:rPr>
          <w:color w:val="000000" w:themeColor="text1"/>
          <w:sz w:val="16"/>
          <w:szCs w:val="16"/>
        </w:rPr>
      </w:pPr>
      <w:r w:rsidRPr="001B03BB">
        <w:rPr>
          <w:color w:val="000000" w:themeColor="text1"/>
          <w:sz w:val="16"/>
          <w:szCs w:val="16"/>
        </w:rPr>
        <w:t xml:space="preserve">Scheffers, A., Kelletat, D., 2003. Sedimentologic and geomorphologictsunami imprints worldwide — a review. Earth Sci. Rev. 63, 83–92 </w:t>
      </w:r>
    </w:p>
    <w:p w:rsidR="00720BCC" w:rsidRPr="001B03BB" w:rsidRDefault="00720BCC" w:rsidP="00720BCC">
      <w:pPr>
        <w:spacing w:after="60"/>
        <w:rPr>
          <w:color w:val="000000" w:themeColor="text1"/>
          <w:sz w:val="16"/>
          <w:szCs w:val="16"/>
        </w:rPr>
      </w:pPr>
      <w:r w:rsidRPr="001B03BB">
        <w:rPr>
          <w:color w:val="000000" w:themeColor="text1"/>
          <w:sz w:val="16"/>
          <w:szCs w:val="16"/>
        </w:rPr>
        <w:t xml:space="preserve">Tsunami Laboratory (2019). Tsunami Catalogs. Institute of Computational Mathematics and Mathematical Geophysics. </w:t>
      </w:r>
      <w:hyperlink r:id="rId10">
        <w:r w:rsidRPr="001B03BB">
          <w:rPr>
            <w:color w:val="000000" w:themeColor="text1"/>
            <w:sz w:val="16"/>
            <w:szCs w:val="16"/>
          </w:rPr>
          <w:t>http://tsun.sscc.ru/tsulab/tsu_catalogs.htm</w:t>
        </w:r>
      </w:hyperlink>
      <w:r w:rsidRPr="001B03BB">
        <w:rPr>
          <w:color w:val="000000" w:themeColor="text1"/>
          <w:sz w:val="16"/>
          <w:szCs w:val="16"/>
        </w:rPr>
        <w:t>. Accessed on 24/02/2019.</w:t>
      </w:r>
    </w:p>
    <w:p w:rsidR="00720BCC" w:rsidRPr="001B03BB" w:rsidRDefault="00720BCC" w:rsidP="00720BCC">
      <w:pPr>
        <w:spacing w:after="60"/>
        <w:rPr>
          <w:color w:val="000000" w:themeColor="text1"/>
          <w:sz w:val="16"/>
          <w:szCs w:val="16"/>
        </w:rPr>
      </w:pPr>
      <w:r w:rsidRPr="001B03BB">
        <w:rPr>
          <w:color w:val="000000" w:themeColor="text1"/>
          <w:sz w:val="16"/>
          <w:szCs w:val="16"/>
        </w:rPr>
        <w:br w:type="page"/>
      </w:r>
    </w:p>
    <w:p w:rsidR="00720BCC" w:rsidRPr="001B03BB" w:rsidRDefault="00720BCC" w:rsidP="00720BCC">
      <w:pPr>
        <w:pStyle w:val="Heading2"/>
      </w:pPr>
      <w:r w:rsidRPr="001B03BB">
        <w:t>Sites visited</w:t>
      </w:r>
      <w:bookmarkEnd w:id="27"/>
      <w:bookmarkEnd w:id="28"/>
      <w:r w:rsidRPr="001B03BB">
        <w:t xml:space="preserve"> and interviews</w:t>
      </w:r>
    </w:p>
    <w:p w:rsidR="00720BCC" w:rsidRPr="001B03BB" w:rsidRDefault="00720BCC" w:rsidP="00720BCC">
      <w:pPr>
        <w:rPr>
          <w:color w:val="000000" w:themeColor="text1"/>
        </w:rPr>
      </w:pPr>
    </w:p>
    <w:p w:rsidR="00720BCC" w:rsidRPr="001B03BB" w:rsidRDefault="00720BCC" w:rsidP="00720BCC">
      <w:pPr>
        <w:pStyle w:val="Caption"/>
        <w:keepNext/>
        <w:spacing w:after="120"/>
        <w:rPr>
          <w:b w:val="0"/>
          <w:i/>
          <w:color w:val="000000" w:themeColor="text1"/>
        </w:rPr>
      </w:pPr>
      <w:bookmarkStart w:id="29" w:name="_Ref217489097"/>
      <w:r w:rsidRPr="001B03BB">
        <w:rPr>
          <w:i/>
          <w:color w:val="000000" w:themeColor="text1"/>
        </w:rPr>
        <w:t xml:space="preserve">Table A </w:t>
      </w:r>
      <w:r w:rsidRPr="001B03BB">
        <w:rPr>
          <w:i/>
          <w:color w:val="000000" w:themeColor="text1"/>
        </w:rPr>
        <w:fldChar w:fldCharType="begin"/>
      </w:r>
      <w:r w:rsidRPr="001B03BB">
        <w:rPr>
          <w:i/>
          <w:color w:val="000000" w:themeColor="text1"/>
        </w:rPr>
        <w:instrText xml:space="preserve"> SEQ Table_A \* ARABIC </w:instrText>
      </w:r>
      <w:r w:rsidRPr="001B03BB">
        <w:rPr>
          <w:i/>
          <w:color w:val="000000" w:themeColor="text1"/>
        </w:rPr>
        <w:fldChar w:fldCharType="separate"/>
      </w:r>
      <w:r w:rsidRPr="001B03BB">
        <w:rPr>
          <w:i/>
          <w:noProof/>
          <w:color w:val="000000" w:themeColor="text1"/>
        </w:rPr>
        <w:t>1</w:t>
      </w:r>
      <w:r w:rsidRPr="001B03BB">
        <w:rPr>
          <w:i/>
          <w:color w:val="000000" w:themeColor="text1"/>
        </w:rPr>
        <w:fldChar w:fldCharType="end"/>
      </w:r>
      <w:bookmarkEnd w:id="29"/>
      <w:r w:rsidRPr="001B03BB">
        <w:rPr>
          <w:b w:val="0"/>
          <w:i/>
          <w:color w:val="000000" w:themeColor="text1"/>
        </w:rPr>
        <w:t>: List of sites and dates of arrival where 34 interviews were obtained to 13 females and 21 males. Interviews were recorded and videotaped with the consent of the eyewitness.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9"/>
        <w:gridCol w:w="3621"/>
        <w:gridCol w:w="1902"/>
        <w:gridCol w:w="885"/>
        <w:gridCol w:w="885"/>
        <w:gridCol w:w="886"/>
      </w:tblGrid>
      <w:tr w:rsidR="001B03BB" w:rsidRPr="001B03BB" w:rsidTr="00235480">
        <w:trPr>
          <w:cantSplit/>
          <w:trHeight w:val="1134"/>
          <w:tblHeader/>
        </w:trPr>
        <w:tc>
          <w:tcPr>
            <w:tcW w:w="368" w:type="pct"/>
            <w:shd w:val="clear" w:color="auto" w:fill="F2F2F2" w:themeFill="background1" w:themeFillShade="F2"/>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b/>
                <w:color w:val="000000" w:themeColor="text1"/>
                <w:sz w:val="16"/>
                <w:szCs w:val="16"/>
              </w:rPr>
            </w:pPr>
            <w:r w:rsidRPr="001B03BB">
              <w:rPr>
                <w:rFonts w:ascii="Arial Narrow" w:eastAsia="Calibri Light" w:hAnsi="Arial Narrow" w:cs="Segoe UI"/>
                <w:b/>
                <w:color w:val="000000" w:themeColor="text1"/>
                <w:sz w:val="16"/>
                <w:szCs w:val="16"/>
              </w:rPr>
              <w:t>#</w:t>
            </w:r>
          </w:p>
        </w:tc>
        <w:tc>
          <w:tcPr>
            <w:tcW w:w="2051" w:type="pct"/>
            <w:shd w:val="clear" w:color="auto" w:fill="F2F2F2" w:themeFill="background1" w:themeFillShade="F2"/>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b/>
                <w:color w:val="000000" w:themeColor="text1"/>
                <w:sz w:val="16"/>
                <w:szCs w:val="16"/>
              </w:rPr>
            </w:pPr>
            <w:r w:rsidRPr="001B03BB">
              <w:rPr>
                <w:rFonts w:ascii="Arial Narrow" w:eastAsia="Calibri Light" w:hAnsi="Arial Narrow" w:cs="Segoe UI"/>
                <w:b/>
                <w:color w:val="000000" w:themeColor="text1"/>
                <w:sz w:val="16"/>
                <w:szCs w:val="16"/>
              </w:rPr>
              <w:t>Site, in alphabetical order</w:t>
            </w:r>
          </w:p>
        </w:tc>
        <w:tc>
          <w:tcPr>
            <w:tcW w:w="1077" w:type="pct"/>
            <w:shd w:val="clear" w:color="auto" w:fill="F2F2F2" w:themeFill="background1" w:themeFillShade="F2"/>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b/>
                <w:color w:val="000000" w:themeColor="text1"/>
                <w:sz w:val="16"/>
                <w:szCs w:val="16"/>
              </w:rPr>
            </w:pPr>
            <w:r w:rsidRPr="001B03BB">
              <w:rPr>
                <w:rFonts w:ascii="Arial Narrow" w:eastAsia="Calibri Light" w:hAnsi="Arial Narrow" w:cs="Segoe UI"/>
                <w:b/>
                <w:color w:val="000000" w:themeColor="text1"/>
                <w:sz w:val="16"/>
                <w:szCs w:val="16"/>
              </w:rPr>
              <w:t>Date</w:t>
            </w:r>
          </w:p>
        </w:tc>
        <w:tc>
          <w:tcPr>
            <w:tcW w:w="501" w:type="pct"/>
            <w:shd w:val="clear" w:color="auto" w:fill="F2F2F2" w:themeFill="background1" w:themeFillShade="F2"/>
            <w:textDirection w:val="btLr"/>
            <w:vAlign w:val="center"/>
          </w:tcPr>
          <w:p w:rsidR="00720BCC" w:rsidRPr="001B03BB" w:rsidRDefault="00720BCC" w:rsidP="00235480">
            <w:pPr>
              <w:autoSpaceDE w:val="0"/>
              <w:autoSpaceDN w:val="0"/>
              <w:adjustRightInd w:val="0"/>
              <w:spacing w:line="240" w:lineRule="auto"/>
              <w:ind w:left="113" w:right="113"/>
              <w:jc w:val="center"/>
              <w:rPr>
                <w:rFonts w:ascii="Arial Narrow" w:eastAsia="Calibri Light" w:hAnsi="Arial Narrow" w:cs="Segoe UI"/>
                <w:b/>
                <w:color w:val="000000" w:themeColor="text1"/>
                <w:sz w:val="16"/>
                <w:szCs w:val="16"/>
              </w:rPr>
            </w:pPr>
            <w:r w:rsidRPr="001B03BB">
              <w:rPr>
                <w:rFonts w:ascii="Arial Narrow" w:eastAsia="Calibri Light" w:hAnsi="Arial Narrow" w:cs="Segoe UI"/>
                <w:b/>
                <w:color w:val="000000" w:themeColor="text1"/>
                <w:sz w:val="16"/>
                <w:szCs w:val="16"/>
              </w:rPr>
              <w:t xml:space="preserve">Age in </w:t>
            </w:r>
            <w:r w:rsidRPr="001B03BB">
              <w:rPr>
                <w:rFonts w:ascii="Arial Narrow" w:eastAsia="Calibri Light" w:hAnsi="Arial Narrow" w:cs="Segoe UI"/>
                <w:b/>
                <w:color w:val="000000" w:themeColor="text1"/>
                <w:sz w:val="14"/>
                <w:szCs w:val="16"/>
              </w:rPr>
              <w:t>interview</w:t>
            </w:r>
          </w:p>
        </w:tc>
        <w:tc>
          <w:tcPr>
            <w:tcW w:w="501" w:type="pct"/>
            <w:shd w:val="clear" w:color="auto" w:fill="F2F2F2" w:themeFill="background1" w:themeFillShade="F2"/>
            <w:textDirection w:val="btLr"/>
            <w:vAlign w:val="center"/>
          </w:tcPr>
          <w:p w:rsidR="00720BCC" w:rsidRPr="001B03BB" w:rsidRDefault="00720BCC" w:rsidP="00235480">
            <w:pPr>
              <w:autoSpaceDE w:val="0"/>
              <w:autoSpaceDN w:val="0"/>
              <w:adjustRightInd w:val="0"/>
              <w:spacing w:line="240" w:lineRule="auto"/>
              <w:ind w:left="113" w:right="113"/>
              <w:jc w:val="center"/>
              <w:rPr>
                <w:rFonts w:ascii="Arial Narrow" w:eastAsia="Calibri Light" w:hAnsi="Arial Narrow" w:cs="Segoe UI"/>
                <w:b/>
                <w:color w:val="000000" w:themeColor="text1"/>
                <w:sz w:val="14"/>
                <w:szCs w:val="16"/>
              </w:rPr>
            </w:pPr>
            <w:r w:rsidRPr="001B03BB">
              <w:rPr>
                <w:rFonts w:ascii="Arial Narrow" w:eastAsia="Calibri Light" w:hAnsi="Arial Narrow" w:cs="Segoe UI"/>
                <w:b/>
                <w:color w:val="000000" w:themeColor="text1"/>
                <w:sz w:val="14"/>
                <w:szCs w:val="16"/>
              </w:rPr>
              <w:t>Age in 1960</w:t>
            </w:r>
          </w:p>
        </w:tc>
        <w:tc>
          <w:tcPr>
            <w:tcW w:w="502" w:type="pct"/>
            <w:shd w:val="clear" w:color="auto" w:fill="F2F2F2" w:themeFill="background1" w:themeFillShade="F2"/>
            <w:textDirection w:val="btLr"/>
            <w:vAlign w:val="center"/>
          </w:tcPr>
          <w:p w:rsidR="00720BCC" w:rsidRPr="001B03BB" w:rsidRDefault="00720BCC" w:rsidP="00235480">
            <w:pPr>
              <w:autoSpaceDE w:val="0"/>
              <w:autoSpaceDN w:val="0"/>
              <w:adjustRightInd w:val="0"/>
              <w:spacing w:line="240" w:lineRule="auto"/>
              <w:ind w:left="113" w:right="113"/>
              <w:jc w:val="center"/>
              <w:rPr>
                <w:rFonts w:ascii="Arial Narrow" w:eastAsia="Calibri Light" w:hAnsi="Arial Narrow" w:cs="Segoe UI"/>
                <w:b/>
                <w:color w:val="000000" w:themeColor="text1"/>
                <w:sz w:val="14"/>
                <w:szCs w:val="16"/>
              </w:rPr>
            </w:pPr>
            <w:r w:rsidRPr="001B03BB">
              <w:rPr>
                <w:rFonts w:ascii="Arial Narrow" w:eastAsia="Calibri Light" w:hAnsi="Arial Narrow" w:cs="Segoe UI"/>
                <w:b/>
                <w:color w:val="000000" w:themeColor="text1"/>
                <w:sz w:val="14"/>
                <w:szCs w:val="16"/>
              </w:rPr>
              <w:t>Youtube</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Bahía Mansa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16-nov-16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Caleta Estaquilla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01-oct-18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65</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Carelmapu</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01-oct-18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4</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Carelmapu</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01-oct-18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5</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Caulín</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01-oct-18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6</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Chaihuín</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12-nov-16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Chaihuín</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12-nov-16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Chaihuín</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12-nov-16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83</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25</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9</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Chepu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05-oct-18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lang w:val="es-CL"/>
              </w:rPr>
              <w:t>10</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Chepu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05-oct-18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rPr>
              <w:t>(2)</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rPr>
              <w:t>11</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Chepu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02-oct-18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12</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Cucao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03-oct-18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81</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23</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13</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Cucao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03-oct-18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58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13d.</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(3)</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14</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Faro Punta Corona (cercanías)</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18-nov-16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15</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Huentemo</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03-oct-18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16</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Huillinco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03-oct-18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91</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33</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17</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Mississippi</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15-nov-16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18</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Niebla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11-nov-16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19</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Niebla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01-oct-18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65</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20</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Niebla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15-nov-16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21</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Niebla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11-nov-16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22</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Niebla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11-nov-16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23</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Chalcura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05-oct-18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80</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22</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24</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Pucatrihue</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17-nov-16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(4)</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25</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Puerto Saavedra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14-nov-16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26</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Puerto Saavedra</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14-nov-16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27</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Puñihuil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02-oct-18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83</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25</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28</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E. Oqueldán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04-oct-18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72</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14</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29</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E. Oqueldán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04-oct-18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89</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31</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30</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Quenuir bajo</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01-oct-18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84</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26</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31</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Rahue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03-oct-18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75</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17</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(4)</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32</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Toltén Viejo</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15-nov-16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(4)</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33</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Yaldad Este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04-oct-18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65</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r w:rsidR="001B03BB" w:rsidRPr="001B03BB" w:rsidTr="00235480">
        <w:trPr>
          <w:trHeight w:val="227"/>
        </w:trPr>
        <w:tc>
          <w:tcPr>
            <w:tcW w:w="368"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34</w:t>
            </w:r>
          </w:p>
        </w:tc>
        <w:tc>
          <w:tcPr>
            <w:tcW w:w="2051" w:type="pct"/>
            <w:vAlign w:val="center"/>
          </w:tcPr>
          <w:p w:rsidR="00720BCC" w:rsidRPr="001B03BB" w:rsidRDefault="00720BCC" w:rsidP="00235480">
            <w:pPr>
              <w:autoSpaceDE w:val="0"/>
              <w:autoSpaceDN w:val="0"/>
              <w:adjustRightInd w:val="0"/>
              <w:spacing w:line="240" w:lineRule="auto"/>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Yaldad Este (Chiloé)</w:t>
            </w:r>
          </w:p>
        </w:tc>
        <w:tc>
          <w:tcPr>
            <w:tcW w:w="1077"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04-oct-18</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76</w:t>
            </w:r>
          </w:p>
        </w:tc>
        <w:tc>
          <w:tcPr>
            <w:tcW w:w="501"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18</w:t>
            </w:r>
          </w:p>
        </w:tc>
        <w:tc>
          <w:tcPr>
            <w:tcW w:w="502" w:type="pct"/>
            <w:vAlign w:val="center"/>
          </w:tcPr>
          <w:p w:rsidR="00720BCC" w:rsidRPr="001B03BB" w:rsidRDefault="00720BCC" w:rsidP="00235480">
            <w:pPr>
              <w:autoSpaceDE w:val="0"/>
              <w:autoSpaceDN w:val="0"/>
              <w:adjustRightInd w:val="0"/>
              <w:spacing w:line="240" w:lineRule="auto"/>
              <w:jc w:val="center"/>
              <w:rPr>
                <w:rFonts w:ascii="Arial Narrow" w:eastAsia="Calibri Light" w:hAnsi="Arial Narrow" w:cs="Segoe UI"/>
                <w:color w:val="000000" w:themeColor="text1"/>
                <w:sz w:val="16"/>
                <w:szCs w:val="16"/>
              </w:rPr>
            </w:pPr>
            <w:r w:rsidRPr="001B03BB">
              <w:rPr>
                <w:rFonts w:ascii="Arial Narrow" w:eastAsia="Calibri Light" w:hAnsi="Arial Narrow" w:cs="Segoe UI"/>
                <w:color w:val="000000" w:themeColor="text1"/>
                <w:sz w:val="16"/>
                <w:szCs w:val="16"/>
              </w:rPr>
              <w:t>-</w:t>
            </w:r>
          </w:p>
        </w:tc>
      </w:tr>
    </w:tbl>
    <w:p w:rsidR="00720BCC" w:rsidRPr="001B03BB" w:rsidRDefault="00720BCC" w:rsidP="00720BCC">
      <w:pP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(1) Física y territorio</w:t>
      </w:r>
    </w:p>
    <w:p w:rsidR="00720BCC" w:rsidRPr="001B03BB" w:rsidRDefault="00720BCC" w:rsidP="00720BCC">
      <w:pP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(2) Navegando por Chepu…</w:t>
      </w:r>
    </w:p>
    <w:p w:rsidR="00720BCC" w:rsidRPr="001B03BB" w:rsidRDefault="00720BCC" w:rsidP="00720BCC">
      <w:pP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(3) Entrevista a Paulino Gómez…</w:t>
      </w:r>
    </w:p>
    <w:p w:rsidR="00720BCC" w:rsidRPr="001B03BB" w:rsidRDefault="00720BCC" w:rsidP="00720BCC">
      <w:pPr>
        <w:rPr>
          <w:rFonts w:ascii="Arial Narrow" w:eastAsia="Calibri Light" w:hAnsi="Arial Narrow" w:cs="Segoe UI"/>
          <w:color w:val="000000" w:themeColor="text1"/>
          <w:sz w:val="16"/>
          <w:szCs w:val="16"/>
          <w:lang w:val="es-CL"/>
        </w:rPr>
      </w:pPr>
      <w:r w:rsidRPr="001B03BB">
        <w:rPr>
          <w:rFonts w:ascii="Arial Narrow" w:eastAsia="Calibri Light" w:hAnsi="Arial Narrow" w:cs="Segoe UI"/>
          <w:color w:val="000000" w:themeColor="text1"/>
          <w:sz w:val="16"/>
          <w:szCs w:val="16"/>
          <w:lang w:val="es-CL"/>
        </w:rPr>
        <w:t>(4) La ciencia de la Memoria</w:t>
      </w:r>
    </w:p>
    <w:p w:rsidR="00720BCC" w:rsidRPr="001B03BB" w:rsidRDefault="00720BCC" w:rsidP="00720BCC">
      <w:pPr>
        <w:rPr>
          <w:color w:val="000000" w:themeColor="text1"/>
        </w:rPr>
      </w:pPr>
    </w:p>
    <w:p w:rsidR="00720BCC" w:rsidRPr="001B03BB" w:rsidRDefault="00720BCC" w:rsidP="00720BCC">
      <w:pPr>
        <w:rPr>
          <w:color w:val="000000" w:themeColor="text1"/>
        </w:rPr>
        <w:sectPr w:rsidR="00720BCC" w:rsidRPr="001B03BB" w:rsidSect="001B03BB">
          <w:type w:val="continuous"/>
          <w:pgSz w:w="12240" w:h="15840"/>
          <w:pgMar w:top="1417" w:right="1701" w:bottom="1417" w:left="1701" w:header="708" w:footer="708" w:gutter="0"/>
          <w:pgNumType w:start="1"/>
          <w:cols w:space="720"/>
          <w:docGrid w:linePitch="299"/>
        </w:sectPr>
      </w:pPr>
    </w:p>
    <w:p w:rsidR="00720BCC" w:rsidRPr="001B03BB" w:rsidRDefault="00720BCC" w:rsidP="00720BCC">
      <w:pPr>
        <w:pStyle w:val="Heading2"/>
      </w:pPr>
      <w:bookmarkStart w:id="30" w:name="_Ref161078007"/>
      <w:r w:rsidRPr="001B03BB">
        <w:t>Audiovisual material</w:t>
      </w:r>
      <w:bookmarkEnd w:id="30"/>
    </w:p>
    <w:p w:rsidR="00720BCC" w:rsidRPr="001B03BB" w:rsidRDefault="00720BCC" w:rsidP="00720BCC">
      <w:pPr>
        <w:rPr>
          <w:color w:val="000000" w:themeColor="text1"/>
        </w:rPr>
      </w:pPr>
    </w:p>
    <w:p w:rsidR="00720BCC" w:rsidRPr="001B03BB" w:rsidRDefault="00720BCC" w:rsidP="00720BCC">
      <w:pPr>
        <w:rPr>
          <w:color w:val="000000" w:themeColor="text1"/>
        </w:rPr>
      </w:pPr>
      <w:bookmarkStart w:id="31" w:name="_Hlk151313239"/>
      <w:r w:rsidRPr="001B03BB">
        <w:rPr>
          <w:color w:val="000000" w:themeColor="text1"/>
        </w:rPr>
        <w:t xml:space="preserve">Some of these interviews are showcased in the short films </w:t>
      </w:r>
      <w:r w:rsidRPr="001B03BB">
        <w:rPr>
          <w:i/>
          <w:color w:val="000000" w:themeColor="text1"/>
        </w:rPr>
        <w:t>Tsunami de 1960: Física y territorio</w:t>
      </w:r>
      <w:r w:rsidRPr="001B03BB">
        <w:rPr>
          <w:rStyle w:val="FootnoteReference"/>
          <w:i/>
          <w:color w:val="000000" w:themeColor="text1"/>
        </w:rPr>
        <w:footnoteReference w:id="1"/>
      </w:r>
      <w:r w:rsidRPr="001B03BB">
        <w:rPr>
          <w:color w:val="000000" w:themeColor="text1"/>
        </w:rPr>
        <w:t xml:space="preserve"> and </w:t>
      </w:r>
      <w:r w:rsidRPr="001B03BB">
        <w:rPr>
          <w:i/>
          <w:color w:val="000000" w:themeColor="text1"/>
        </w:rPr>
        <w:t>Tsunami de 1960: La ciencia de la memoria</w:t>
      </w:r>
      <w:r w:rsidRPr="001B03BB">
        <w:rPr>
          <w:rStyle w:val="FootnoteReference"/>
          <w:i/>
          <w:color w:val="000000" w:themeColor="text1"/>
        </w:rPr>
        <w:footnoteReference w:id="2"/>
      </w:r>
      <w:r w:rsidRPr="001B03BB">
        <w:rPr>
          <w:color w:val="000000" w:themeColor="text1"/>
        </w:rPr>
        <w:t xml:space="preserve">. </w:t>
      </w:r>
      <w:r w:rsidRPr="001B03BB">
        <w:rPr>
          <w:i/>
          <w:color w:val="000000" w:themeColor="text1"/>
        </w:rPr>
        <w:t>Física y territorio</w:t>
      </w:r>
      <w:r w:rsidRPr="001B03BB">
        <w:rPr>
          <w:color w:val="000000" w:themeColor="text1"/>
        </w:rPr>
        <w:t xml:space="preserve"> describes the field work and features some of the interviewees and sites visited, including Punta Chaihuín, in the Valdivian Coastal Reserve (39°56’S, 73°35’W). </w:t>
      </w:r>
      <w:r w:rsidRPr="001B03BB">
        <w:rPr>
          <w:i/>
          <w:color w:val="000000" w:themeColor="text1"/>
        </w:rPr>
        <w:t>La ciencia de la memoria</w:t>
      </w:r>
      <w:r w:rsidRPr="001B03BB">
        <w:rPr>
          <w:color w:val="000000" w:themeColor="text1"/>
        </w:rPr>
        <w:t xml:space="preserve"> is focused on lessons learned from three interviewees</w:t>
      </w:r>
      <w:bookmarkEnd w:id="31"/>
      <w:r w:rsidRPr="001B03BB">
        <w:rPr>
          <w:color w:val="000000" w:themeColor="text1"/>
        </w:rPr>
        <w:t xml:space="preserve">: a woman explains how flooded parts of Pucatrihue (40.53°S, 73.71°W) became repopulated in decades following the tsunami, a man narrates how land use dramatically changed from small mining activity to grazing because of land subsidence experienced in Rahue </w:t>
      </w:r>
      <w:r w:rsidRPr="001B03BB">
        <w:rPr>
          <w:rFonts w:eastAsia="Century Gothic"/>
          <w:color w:val="000000" w:themeColor="text1"/>
        </w:rPr>
        <w:t>(42.69°S, 74.12°W)</w:t>
      </w:r>
      <w:r w:rsidRPr="001B03BB">
        <w:rPr>
          <w:color w:val="000000" w:themeColor="text1"/>
        </w:rPr>
        <w:t>, and another man recounts how he survived his relatives by climbing to the roof of a house which drifted several kilometers in Toltén Viejo (39°12’S, 73°11’W), a town which was relocated following the tsunami. Additionally, videos of our research group describe present day descriptions of impacts in specific sites, such as in Corral</w:t>
      </w:r>
      <w:r w:rsidRPr="001B03BB">
        <w:rPr>
          <w:color w:val="000000" w:themeColor="text1"/>
          <w:vertAlign w:val="superscript"/>
        </w:rPr>
        <w:footnoteReference w:id="3"/>
      </w:r>
      <w:r w:rsidRPr="001B03BB">
        <w:rPr>
          <w:color w:val="000000" w:themeColor="text1"/>
        </w:rPr>
        <w:t xml:space="preserve"> and Maullín</w:t>
      </w:r>
      <w:r w:rsidRPr="001B03BB">
        <w:rPr>
          <w:color w:val="000000" w:themeColor="text1"/>
          <w:vertAlign w:val="superscript"/>
        </w:rPr>
        <w:footnoteReference w:id="4"/>
      </w:r>
      <w:r w:rsidRPr="001B03BB">
        <w:rPr>
          <w:color w:val="000000" w:themeColor="text1"/>
        </w:rPr>
        <w:t>.</w:t>
      </w:r>
    </w:p>
    <w:p w:rsidR="00720BCC" w:rsidRPr="001B03BB" w:rsidRDefault="00720BCC" w:rsidP="00720BCC">
      <w:pPr>
        <w:rPr>
          <w:color w:val="000000" w:themeColor="text1"/>
        </w:rPr>
      </w:pPr>
    </w:p>
    <w:p w:rsidR="00720BCC" w:rsidRPr="001B03BB" w:rsidRDefault="00720BCC" w:rsidP="00720BCC">
      <w:pPr>
        <w:rPr>
          <w:color w:val="000000" w:themeColor="text1"/>
        </w:rPr>
      </w:pPr>
      <w:r w:rsidRPr="001B03BB">
        <w:rPr>
          <w:color w:val="000000" w:themeColor="text1"/>
        </w:rPr>
        <w:t>In Cucao, for example, the testimonies of two man emphasize the sheltering effect of a damaged church, behind which their uncle’s house was preserved; they also report that people evacuated in time after an initial sea withdrawal, having been previously warned by a horseman.</w:t>
      </w:r>
      <w:r w:rsidRPr="001B03BB">
        <w:rPr>
          <w:color w:val="000000" w:themeColor="text1"/>
          <w:vertAlign w:val="superscript"/>
        </w:rPr>
        <w:footnoteReference w:id="5"/>
      </w:r>
      <w:r w:rsidRPr="001B03BB">
        <w:rPr>
          <w:color w:val="000000" w:themeColor="text1"/>
        </w:rPr>
        <w:t xml:space="preserve">. In some cases, present-day videos of the surveying team were used to contextualize eyewitnesses accounts, e.g., morphological changes reported by a man in </w:t>
      </w:r>
      <w:r w:rsidRPr="001B03BB">
        <w:rPr>
          <w:i/>
          <w:color w:val="000000" w:themeColor="text1"/>
        </w:rPr>
        <w:t>La ciencia de la memoria</w:t>
      </w:r>
      <w:r w:rsidRPr="001B03BB">
        <w:rPr>
          <w:color w:val="000000" w:themeColor="text1"/>
          <w:sz w:val="16"/>
          <w:szCs w:val="16"/>
        </w:rPr>
        <w:t xml:space="preserve">. </w:t>
      </w:r>
      <w:r w:rsidRPr="001B03BB">
        <w:rPr>
          <w:color w:val="000000" w:themeColor="text1"/>
        </w:rPr>
        <w:t>In Chepu, for example, eyewitnesses mentioned that a house in the river outlet had drifted roughly 10 km upstream to Laguna Coluco because of the tsunami. Together with a local guide, we navigated and drone-filmed the area where extensive tracts of sunken woodland had been reported, but found no evidence of the house</w:t>
      </w:r>
      <w:r w:rsidRPr="001B03BB" w:rsidDel="00F379B5">
        <w:rPr>
          <w:color w:val="000000" w:themeColor="text1"/>
        </w:rPr>
        <w:t xml:space="preserve"> </w:t>
      </w:r>
      <w:r w:rsidRPr="001B03BB">
        <w:rPr>
          <w:rStyle w:val="FootnoteReference"/>
          <w:color w:val="000000" w:themeColor="text1"/>
        </w:rPr>
        <w:footnoteReference w:id="6"/>
      </w:r>
      <w:r w:rsidRPr="001B03BB">
        <w:rPr>
          <w:color w:val="000000" w:themeColor="text1"/>
        </w:rPr>
        <w:t>.</w:t>
      </w:r>
    </w:p>
    <w:p w:rsidR="00720BCC" w:rsidRPr="001B03BB" w:rsidRDefault="00720BCC" w:rsidP="00720BCC">
      <w:pPr>
        <w:rPr>
          <w:color w:val="000000" w:themeColor="text1"/>
        </w:rPr>
      </w:pPr>
    </w:p>
    <w:p w:rsidR="00720BCC" w:rsidRPr="001B03BB" w:rsidRDefault="00720BCC" w:rsidP="00720BCC">
      <w:pPr>
        <w:spacing w:line="288" w:lineRule="auto"/>
        <w:rPr>
          <w:color w:val="000000" w:themeColor="text1"/>
        </w:rPr>
      </w:pPr>
      <w:r w:rsidRPr="001B03BB">
        <w:rPr>
          <w:color w:val="000000" w:themeColor="text1"/>
        </w:rPr>
        <w:br w:type="page"/>
      </w:r>
    </w:p>
    <w:p w:rsidR="00720BCC" w:rsidRPr="001B03BB" w:rsidRDefault="00720BCC" w:rsidP="00720BCC">
      <w:pPr>
        <w:pStyle w:val="Heading2"/>
      </w:pPr>
      <w:bookmarkStart w:id="32" w:name="_Ref233177929"/>
      <w:r w:rsidRPr="001B03BB">
        <w:t>Justification for omitting tidal corrections</w:t>
      </w:r>
      <w:bookmarkEnd w:id="32"/>
    </w:p>
    <w:p w:rsidR="00720BCC" w:rsidRPr="001B03BB" w:rsidRDefault="00720BCC" w:rsidP="00720BCC">
      <w:pPr>
        <w:rPr>
          <w:color w:val="000000" w:themeColor="text1"/>
        </w:rPr>
      </w:pPr>
    </w:p>
    <w:p w:rsidR="00720BCC" w:rsidRPr="001B03BB" w:rsidRDefault="00720BCC" w:rsidP="00720BCC">
      <w:pPr>
        <w:rPr>
          <w:color w:val="000000" w:themeColor="text1"/>
          <w:szCs w:val="20"/>
        </w:rPr>
      </w:pPr>
      <w:r w:rsidRPr="001B03BB">
        <w:rPr>
          <w:color w:val="000000" w:themeColor="text1"/>
          <w:szCs w:val="20"/>
        </w:rPr>
        <w:t xml:space="preserve">Tidal corrections were not applied to the compiled runup observations, as no systematic reports of the of the arrival time of the specific tsunami waves were available (e.g., “first wave”, “largest wave”, or “afternoon arrival”). Because the 1960 tsunami consisted of multiple waves arriving over several hours, assigning a unique tide level to each observation would require assumptions that could introduce additional uncertainty. Additionally, historical tide predictions and tide-gauge records indicate that tidal variations along the central-southern Chile coast during the hours immediately following the earthquake were generally moderate. </w:t>
      </w:r>
    </w:p>
    <w:p w:rsidR="00720BCC" w:rsidRPr="001B03BB" w:rsidRDefault="00720BCC" w:rsidP="00720BCC">
      <w:pPr>
        <w:rPr>
          <w:color w:val="000000" w:themeColor="text1"/>
          <w:szCs w:val="20"/>
        </w:rPr>
      </w:pPr>
    </w:p>
    <w:p w:rsidR="00720BCC" w:rsidRPr="001B03BB" w:rsidRDefault="00720BCC" w:rsidP="00720BCC">
      <w:pPr>
        <w:rPr>
          <w:color w:val="000000" w:themeColor="text1"/>
          <w:szCs w:val="20"/>
        </w:rPr>
      </w:pPr>
      <w:r w:rsidRPr="001B03BB">
        <w:rPr>
          <w:color w:val="000000" w:themeColor="text1"/>
          <w:szCs w:val="20"/>
        </w:rPr>
        <w:t xml:space="preserve">For example, at Talcahuano, the predicted tide between approximately 16:00 and 20:00 local time varied from about -0.3 m to +0.4 m relative to mean sea level </w:t>
      </w:r>
      <w:r w:rsidRPr="001B03BB">
        <w:rPr>
          <w:color w:val="000000" w:themeColor="text1"/>
        </w:rPr>
        <w:t>(Figure A2)</w:t>
      </w:r>
      <w:r w:rsidRPr="001B03BB">
        <w:rPr>
          <w:color w:val="000000" w:themeColor="text1"/>
          <w:szCs w:val="20"/>
        </w:rPr>
        <w:t>, implying a maximum deviation of less than ±0.4 m from mean sea level during the period in which the largest tsunami waves were observed. It should be noted that the tidal regime found in Talcahuano is similar along the entire coast of the rupture zone facing the Pacific Ocean.</w:t>
      </w:r>
    </w:p>
    <w:p w:rsidR="00720BCC" w:rsidRPr="001B03BB" w:rsidRDefault="00720BCC" w:rsidP="00720BCC">
      <w:pPr>
        <w:rPr>
          <w:color w:val="000000" w:themeColor="text1"/>
          <w:szCs w:val="20"/>
        </w:rPr>
      </w:pPr>
    </w:p>
    <w:p w:rsidR="00720BCC" w:rsidRPr="001B03BB" w:rsidRDefault="00720BCC" w:rsidP="00720BCC">
      <w:pPr>
        <w:jc w:val="center"/>
        <w:rPr>
          <w:color w:val="000000" w:themeColor="text1"/>
          <w:szCs w:val="20"/>
        </w:rPr>
      </w:pPr>
      <w:r w:rsidRPr="001B03BB">
        <w:rPr>
          <w:noProof/>
          <w:color w:val="000000" w:themeColor="text1"/>
          <w:szCs w:val="20"/>
          <w:lang w:eastAsia="en-IN"/>
        </w:rPr>
        <w:drawing>
          <wp:inline distT="0" distB="0" distL="0" distR="0" wp14:anchorId="45FBF5B5" wp14:editId="6E0DF0B3">
            <wp:extent cx="4320000" cy="1358371"/>
            <wp:effectExtent l="0" t="0" r="4445" b="0"/>
            <wp:docPr id="1186210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10020" name=""/>
                    <pic:cNvPicPr/>
                  </pic:nvPicPr>
                  <pic:blipFill>
                    <a:blip r:embed="rId11"/>
                    <a:stretch>
                      <a:fillRect/>
                    </a:stretch>
                  </pic:blipFill>
                  <pic:spPr>
                    <a:xfrm>
                      <a:off x="0" y="0"/>
                      <a:ext cx="4320000" cy="1358371"/>
                    </a:xfrm>
                    <a:prstGeom prst="rect">
                      <a:avLst/>
                    </a:prstGeom>
                  </pic:spPr>
                </pic:pic>
              </a:graphicData>
            </a:graphic>
          </wp:inline>
        </w:drawing>
      </w:r>
    </w:p>
    <w:p w:rsidR="00720BCC" w:rsidRPr="001B03BB" w:rsidRDefault="00720BCC" w:rsidP="00720BCC">
      <w:pPr>
        <w:pStyle w:val="Caption"/>
        <w:keepNext/>
        <w:spacing w:before="120" w:after="120"/>
        <w:jc w:val="center"/>
        <w:rPr>
          <w:b w:val="0"/>
          <w:i/>
          <w:color w:val="000000" w:themeColor="text1"/>
        </w:rPr>
      </w:pPr>
      <w:r w:rsidRPr="001B03BB">
        <w:rPr>
          <w:bCs w:val="0"/>
          <w:i/>
          <w:color w:val="000000" w:themeColor="text1"/>
        </w:rPr>
        <w:t xml:space="preserve">Figure A </w:t>
      </w:r>
      <w:r w:rsidRPr="001B03BB">
        <w:rPr>
          <w:bCs w:val="0"/>
          <w:i/>
          <w:color w:val="000000" w:themeColor="text1"/>
        </w:rPr>
        <w:fldChar w:fldCharType="begin"/>
      </w:r>
      <w:r w:rsidRPr="001B03BB">
        <w:rPr>
          <w:bCs w:val="0"/>
          <w:i/>
          <w:color w:val="000000" w:themeColor="text1"/>
        </w:rPr>
        <w:instrText xml:space="preserve"> SEQ Figure_A \* ARABIC </w:instrText>
      </w:r>
      <w:r w:rsidRPr="001B03BB">
        <w:rPr>
          <w:bCs w:val="0"/>
          <w:i/>
          <w:color w:val="000000" w:themeColor="text1"/>
        </w:rPr>
        <w:fldChar w:fldCharType="separate"/>
      </w:r>
      <w:r w:rsidRPr="001B03BB">
        <w:rPr>
          <w:bCs w:val="0"/>
          <w:i/>
          <w:noProof/>
          <w:color w:val="000000" w:themeColor="text1"/>
        </w:rPr>
        <w:t>2</w:t>
      </w:r>
      <w:r w:rsidRPr="001B03BB">
        <w:rPr>
          <w:bCs w:val="0"/>
          <w:i/>
          <w:color w:val="000000" w:themeColor="text1"/>
        </w:rPr>
        <w:fldChar w:fldCharType="end"/>
      </w:r>
      <w:r w:rsidRPr="001B03BB">
        <w:rPr>
          <w:bCs w:val="0"/>
          <w:i/>
          <w:color w:val="000000" w:themeColor="text1"/>
        </w:rPr>
        <w:t xml:space="preserve">. </w:t>
      </w:r>
      <w:r w:rsidRPr="001B03BB">
        <w:rPr>
          <w:b w:val="0"/>
          <w:i/>
          <w:color w:val="000000" w:themeColor="text1"/>
        </w:rPr>
        <w:t>Reconstructed astronomical tide in Talcahuano (adapted from Aranguiz, 2013).</w:t>
      </w:r>
    </w:p>
    <w:p w:rsidR="00720BCC" w:rsidRPr="001B03BB" w:rsidRDefault="00720BCC" w:rsidP="00720BCC">
      <w:pPr>
        <w:rPr>
          <w:color w:val="000000" w:themeColor="text1"/>
          <w:szCs w:val="20"/>
        </w:rPr>
      </w:pPr>
    </w:p>
    <w:p w:rsidR="00720BCC" w:rsidRPr="001B03BB" w:rsidRDefault="00720BCC" w:rsidP="00720BCC">
      <w:pPr>
        <w:rPr>
          <w:color w:val="000000" w:themeColor="text1"/>
          <w:szCs w:val="20"/>
        </w:rPr>
      </w:pPr>
      <w:r w:rsidRPr="001B03BB">
        <w:rPr>
          <w:color w:val="000000" w:themeColor="text1"/>
          <w:szCs w:val="20"/>
        </w:rPr>
        <w:t>Based on this information, the uncertainty associated with neglecting tidal corrections is estimated to be on the order of several decimeters, and likely less than ±0.5 m for most observations. This uncertainty is small compared with the majority of runup measurements at sites exposed to the Pacific Ocean, which commonly exceed 5 m and locally exceed 20 m. However, tidal effects may represent a larger relative uncertainty for low-amplitude observations, particularly in the Chilean Inland Sea. For this reason, no attempt was made to apply a uniform tidal correction across the dataset. Future hydrodynamic reconstruction studies that explicitly simulate tide-tsunami interactions could help constrain the influence of tidal phase on the reported inundation, particularly in within the Chilean Inland Sea (e.g., Winckler et al., 2017).</w:t>
      </w:r>
    </w:p>
    <w:p w:rsidR="00720BCC" w:rsidRPr="001B03BB" w:rsidRDefault="00720BCC" w:rsidP="00720BCC">
      <w:pPr>
        <w:rPr>
          <w:color w:val="000000" w:themeColor="text1"/>
        </w:rPr>
      </w:pPr>
    </w:p>
    <w:p w:rsidR="00720BCC" w:rsidRPr="001B03BB" w:rsidRDefault="00720BCC" w:rsidP="00720BCC">
      <w:pPr>
        <w:spacing w:line="288" w:lineRule="auto"/>
        <w:rPr>
          <w:b/>
          <w:i/>
          <w:color w:val="000000" w:themeColor="text1"/>
          <w:sz w:val="18"/>
          <w:szCs w:val="18"/>
        </w:rPr>
      </w:pPr>
      <w:bookmarkStart w:id="33" w:name="_Ref217589363"/>
      <w:r w:rsidRPr="001B03BB">
        <w:rPr>
          <w:bCs/>
          <w:i/>
          <w:color w:val="000000" w:themeColor="text1"/>
        </w:rPr>
        <w:br w:type="page"/>
      </w:r>
    </w:p>
    <w:p w:rsidR="00720BCC" w:rsidRPr="001B03BB" w:rsidRDefault="00720BCC" w:rsidP="00720BCC">
      <w:pPr>
        <w:pStyle w:val="Caption"/>
        <w:keepNext/>
        <w:spacing w:after="120"/>
        <w:rPr>
          <w:b w:val="0"/>
          <w:i/>
          <w:color w:val="000000" w:themeColor="text1"/>
        </w:rPr>
      </w:pPr>
      <w:r w:rsidRPr="001B03BB">
        <w:rPr>
          <w:bCs w:val="0"/>
          <w:i/>
          <w:color w:val="000000" w:themeColor="text1"/>
        </w:rPr>
        <w:t xml:space="preserve">Figure A </w:t>
      </w:r>
      <w:r w:rsidRPr="001B03BB">
        <w:rPr>
          <w:bCs w:val="0"/>
          <w:i/>
          <w:color w:val="000000" w:themeColor="text1"/>
        </w:rPr>
        <w:fldChar w:fldCharType="begin"/>
      </w:r>
      <w:r w:rsidRPr="001B03BB">
        <w:rPr>
          <w:bCs w:val="0"/>
          <w:i/>
          <w:color w:val="000000" w:themeColor="text1"/>
        </w:rPr>
        <w:instrText xml:space="preserve"> SEQ Figure_A \* ARABIC </w:instrText>
      </w:r>
      <w:r w:rsidRPr="001B03BB">
        <w:rPr>
          <w:bCs w:val="0"/>
          <w:i/>
          <w:color w:val="000000" w:themeColor="text1"/>
        </w:rPr>
        <w:fldChar w:fldCharType="separate"/>
      </w:r>
      <w:r w:rsidRPr="001B03BB">
        <w:rPr>
          <w:bCs w:val="0"/>
          <w:i/>
          <w:noProof/>
          <w:color w:val="000000" w:themeColor="text1"/>
        </w:rPr>
        <w:t>3</w:t>
      </w:r>
      <w:r w:rsidRPr="001B03BB">
        <w:rPr>
          <w:bCs w:val="0"/>
          <w:i/>
          <w:color w:val="000000" w:themeColor="text1"/>
        </w:rPr>
        <w:fldChar w:fldCharType="end"/>
      </w:r>
      <w:bookmarkEnd w:id="33"/>
      <w:r w:rsidRPr="001B03BB">
        <w:rPr>
          <w:bCs w:val="0"/>
          <w:i/>
          <w:color w:val="000000" w:themeColor="text1"/>
        </w:rPr>
        <w:t>:</w:t>
      </w:r>
      <w:r w:rsidRPr="001B03BB">
        <w:rPr>
          <w:i/>
          <w:color w:val="000000" w:themeColor="text1"/>
        </w:rPr>
        <w:t xml:space="preserve"> </w:t>
      </w:r>
      <w:r w:rsidRPr="001B03BB">
        <w:rPr>
          <w:b w:val="0"/>
          <w:i/>
          <w:color w:val="000000" w:themeColor="text1"/>
        </w:rPr>
        <w:t xml:space="preserve">Type and number of datapoints reported per reference. </w:t>
      </w:r>
      <w:r w:rsidRPr="001B03BB">
        <w:rPr>
          <w:b w:val="0"/>
          <w:bCs w:val="0"/>
          <w:i/>
          <w:color w:val="000000" w:themeColor="text1"/>
        </w:rPr>
        <w:t>SHOA (2000)</w:t>
      </w:r>
      <w:r w:rsidRPr="001B03BB">
        <w:rPr>
          <w:b w:val="0"/>
          <w:i/>
          <w:color w:val="000000" w:themeColor="text1"/>
        </w:rPr>
        <w:t xml:space="preserve"> is the latest edition of </w:t>
      </w:r>
      <w:r w:rsidRPr="001B03BB">
        <w:rPr>
          <w:b w:val="0"/>
          <w:bCs w:val="0"/>
          <w:i/>
          <w:color w:val="000000" w:themeColor="text1"/>
        </w:rPr>
        <w:t>Sievers (1961)</w:t>
      </w:r>
      <w:r w:rsidRPr="001B03BB">
        <w:rPr>
          <w:b w:val="0"/>
          <w:i/>
          <w:color w:val="000000" w:themeColor="text1"/>
        </w:rPr>
        <w:t>.</w:t>
      </w:r>
    </w:p>
    <w:p w:rsidR="00720BCC" w:rsidRPr="001B03BB" w:rsidRDefault="00720BCC" w:rsidP="00720BCC">
      <w:pPr>
        <w:jc w:val="center"/>
        <w:rPr>
          <w:color w:val="000000" w:themeColor="text1"/>
        </w:rPr>
      </w:pPr>
      <w:r w:rsidRPr="001B03BB">
        <w:rPr>
          <w:noProof/>
          <w:color w:val="000000" w:themeColor="text1"/>
          <w:lang w:eastAsia="en-IN"/>
        </w:rPr>
        <w:drawing>
          <wp:inline distT="0" distB="0" distL="0" distR="0" wp14:anchorId="27D7FBF7" wp14:editId="23E9ECCD">
            <wp:extent cx="5791835" cy="2501900"/>
            <wp:effectExtent l="0" t="0" r="0" b="0"/>
            <wp:docPr id="1835659306" name="Picture 6"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59306" name="Picture 6" descr="A diagram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91835" cy="2501900"/>
                    </a:xfrm>
                    <a:prstGeom prst="rect">
                      <a:avLst/>
                    </a:prstGeom>
                  </pic:spPr>
                </pic:pic>
              </a:graphicData>
            </a:graphic>
          </wp:inline>
        </w:drawing>
      </w:r>
    </w:p>
    <w:p w:rsidR="00720BCC" w:rsidRPr="001B03BB" w:rsidRDefault="00720BCC" w:rsidP="00720BCC">
      <w:pPr>
        <w:rPr>
          <w:color w:val="000000" w:themeColor="text1"/>
        </w:rPr>
      </w:pPr>
    </w:p>
    <w:p w:rsidR="00720BCC" w:rsidRPr="001B03BB" w:rsidRDefault="00720BCC" w:rsidP="00720BCC">
      <w:pPr>
        <w:rPr>
          <w:color w:val="000000" w:themeColor="text1"/>
        </w:rPr>
      </w:pPr>
    </w:p>
    <w:p w:rsidR="00720BCC" w:rsidRPr="001B03BB" w:rsidRDefault="00720BCC" w:rsidP="00720BCC">
      <w:pPr>
        <w:rPr>
          <w:color w:val="000000" w:themeColor="text1"/>
        </w:rPr>
      </w:pPr>
    </w:p>
    <w:p w:rsidR="00720BCC" w:rsidRPr="001B03BB" w:rsidRDefault="00720BCC" w:rsidP="00720BCC">
      <w:pPr>
        <w:rPr>
          <w:color w:val="000000" w:themeColor="text1"/>
        </w:rPr>
        <w:sectPr w:rsidR="00720BCC" w:rsidRPr="001B03BB" w:rsidSect="001B03BB">
          <w:type w:val="continuous"/>
          <w:pgSz w:w="12240" w:h="15840"/>
          <w:pgMar w:top="1417" w:right="1701" w:bottom="1417" w:left="1701" w:header="708" w:footer="708" w:gutter="0"/>
          <w:pgNumType w:start="1"/>
          <w:cols w:space="720"/>
          <w:docGrid w:linePitch="299"/>
        </w:sectPr>
      </w:pPr>
    </w:p>
    <w:p w:rsidR="00720BCC" w:rsidRPr="001B03BB" w:rsidRDefault="00720BCC" w:rsidP="00720BCC">
      <w:pPr>
        <w:pStyle w:val="Caption"/>
        <w:keepNext/>
        <w:spacing w:after="120"/>
        <w:rPr>
          <w:bCs w:val="0"/>
          <w:i/>
          <w:color w:val="000000" w:themeColor="text1"/>
        </w:rPr>
      </w:pPr>
      <w:bookmarkStart w:id="34" w:name="_Ref217590878"/>
      <w:r w:rsidRPr="001B03BB">
        <w:rPr>
          <w:bCs w:val="0"/>
          <w:i/>
          <w:color w:val="000000" w:themeColor="text1"/>
        </w:rPr>
        <w:t xml:space="preserve">Table A </w:t>
      </w:r>
      <w:r w:rsidRPr="001B03BB">
        <w:rPr>
          <w:bCs w:val="0"/>
          <w:i/>
          <w:color w:val="000000" w:themeColor="text1"/>
        </w:rPr>
        <w:fldChar w:fldCharType="begin"/>
      </w:r>
      <w:r w:rsidRPr="001B03BB">
        <w:rPr>
          <w:bCs w:val="0"/>
          <w:i/>
          <w:color w:val="000000" w:themeColor="text1"/>
        </w:rPr>
        <w:instrText xml:space="preserve"> SEQ Table_A \* ARABIC </w:instrText>
      </w:r>
      <w:r w:rsidRPr="001B03BB">
        <w:rPr>
          <w:bCs w:val="0"/>
          <w:i/>
          <w:color w:val="000000" w:themeColor="text1"/>
        </w:rPr>
        <w:fldChar w:fldCharType="separate"/>
      </w:r>
      <w:r w:rsidRPr="001B03BB">
        <w:rPr>
          <w:bCs w:val="0"/>
          <w:i/>
          <w:noProof/>
          <w:color w:val="000000" w:themeColor="text1"/>
        </w:rPr>
        <w:t>2</w:t>
      </w:r>
      <w:r w:rsidRPr="001B03BB">
        <w:rPr>
          <w:bCs w:val="0"/>
          <w:i/>
          <w:color w:val="000000" w:themeColor="text1"/>
        </w:rPr>
        <w:fldChar w:fldCharType="end"/>
      </w:r>
      <w:bookmarkEnd w:id="34"/>
      <w:r w:rsidRPr="001B03BB">
        <w:rPr>
          <w:bCs w:val="0"/>
          <w:i/>
          <w:color w:val="000000" w:themeColor="text1"/>
        </w:rPr>
        <w:t xml:space="preserve">: </w:t>
      </w:r>
      <w:r w:rsidRPr="001B03BB">
        <w:rPr>
          <w:b w:val="0"/>
          <w:i/>
          <w:color w:val="000000" w:themeColor="text1"/>
        </w:rPr>
        <w:t>Computation of the reliability data index for the near-field tsunami database. Points 245 (Puerto Saavedra) and 246 (Mehuín) include the minimum and maximum runups, located in UTM (18H) coordinates.</w:t>
      </w:r>
    </w:p>
    <w:tbl>
      <w:tblPr>
        <w:tblStyle w:val="PlainTable1"/>
        <w:tblW w:w="4836" w:type="pct"/>
        <w:tblLook w:val="04A0" w:firstRow="1" w:lastRow="0" w:firstColumn="1" w:lastColumn="0" w:noHBand="0" w:noVBand="1"/>
      </w:tblPr>
      <w:tblGrid>
        <w:gridCol w:w="435"/>
        <w:gridCol w:w="2032"/>
        <w:gridCol w:w="880"/>
        <w:gridCol w:w="953"/>
        <w:gridCol w:w="472"/>
        <w:gridCol w:w="406"/>
        <w:gridCol w:w="590"/>
        <w:gridCol w:w="406"/>
        <w:gridCol w:w="472"/>
        <w:gridCol w:w="406"/>
        <w:gridCol w:w="525"/>
        <w:gridCol w:w="505"/>
        <w:gridCol w:w="517"/>
        <w:gridCol w:w="507"/>
        <w:gridCol w:w="507"/>
        <w:gridCol w:w="510"/>
        <w:gridCol w:w="549"/>
        <w:gridCol w:w="492"/>
        <w:gridCol w:w="532"/>
        <w:gridCol w:w="505"/>
        <w:gridCol w:w="472"/>
      </w:tblGrid>
      <w:tr w:rsidR="001B03BB" w:rsidRPr="001B03BB" w:rsidTr="00235480">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173" w:type="pct"/>
            <w:vMerge w:val="restart"/>
            <w:shd w:val="clear" w:color="auto" w:fill="F2F2F2" w:themeFill="background1" w:themeFillShade="F2"/>
            <w:noWrap/>
            <w:hideMark/>
          </w:tcPr>
          <w:p w:rsidR="00720BCC" w:rsidRPr="001B03BB" w:rsidRDefault="00720BCC" w:rsidP="00235480">
            <w:pPr>
              <w:jc w:val="left"/>
              <w:rPr>
                <w:rFonts w:ascii="Arial Narrow" w:eastAsia="Times New Roman" w:hAnsi="Arial Narrow" w:cs="Segoe UI Light"/>
                <w:b w:val="0"/>
                <w:bCs w:val="0"/>
                <w:color w:val="000000" w:themeColor="text1"/>
                <w:sz w:val="16"/>
                <w:szCs w:val="16"/>
                <w:lang w:eastAsia="en-US"/>
              </w:rPr>
            </w:pPr>
          </w:p>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N</w:t>
            </w:r>
          </w:p>
        </w:tc>
        <w:tc>
          <w:tcPr>
            <w:tcW w:w="808" w:type="pct"/>
            <w:vMerge w:val="restart"/>
            <w:shd w:val="clear" w:color="auto" w:fill="F2F2F2" w:themeFill="background1" w:themeFillShade="F2"/>
            <w:noWrap/>
            <w:hideMark/>
          </w:tcPr>
          <w:p w:rsidR="00720BCC" w:rsidRPr="001B03BB" w:rsidRDefault="00720BCC" w:rsidP="00235480">
            <w:pPr>
              <w:ind w:right="-163"/>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b w:val="0"/>
                <w:bCs w:val="0"/>
                <w:color w:val="000000" w:themeColor="text1"/>
                <w:sz w:val="16"/>
                <w:szCs w:val="16"/>
                <w:lang w:eastAsia="en-US"/>
              </w:rPr>
            </w:pPr>
          </w:p>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Source</w:t>
            </w:r>
          </w:p>
        </w:tc>
        <w:tc>
          <w:tcPr>
            <w:tcW w:w="350" w:type="pct"/>
            <w:vMerge w:val="restart"/>
            <w:shd w:val="clear" w:color="auto" w:fill="F2F2F2" w:themeFill="background1" w:themeFillShade="F2"/>
            <w:noWrap/>
            <w:hideMark/>
          </w:tcPr>
          <w:p w:rsidR="00720BCC" w:rsidRPr="001B03BB" w:rsidRDefault="00720BCC" w:rsidP="00235480">
            <w:pPr>
              <w:ind w:right="-102"/>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b w:val="0"/>
                <w:bCs w:val="0"/>
                <w:color w:val="000000" w:themeColor="text1"/>
                <w:sz w:val="16"/>
                <w:szCs w:val="16"/>
                <w:lang w:eastAsia="en-US"/>
              </w:rPr>
            </w:pPr>
          </w:p>
          <w:p w:rsidR="00720BCC" w:rsidRPr="001B03BB" w:rsidRDefault="00720BCC" w:rsidP="00235480">
            <w:pPr>
              <w:ind w:right="-102"/>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 xml:space="preserve">Latitude </w:t>
            </w:r>
          </w:p>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(°S)</w:t>
            </w:r>
          </w:p>
        </w:tc>
        <w:tc>
          <w:tcPr>
            <w:tcW w:w="379" w:type="pct"/>
            <w:vMerge w:val="restart"/>
            <w:shd w:val="clear" w:color="auto" w:fill="F2F2F2" w:themeFill="background1" w:themeFillShade="F2"/>
            <w:noWrap/>
            <w:hideMark/>
          </w:tcPr>
          <w:p w:rsidR="00720BCC" w:rsidRPr="001B03BB" w:rsidRDefault="00720BCC" w:rsidP="00235480">
            <w:pPr>
              <w:ind w:right="-102"/>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b w:val="0"/>
                <w:bCs w:val="0"/>
                <w:color w:val="000000" w:themeColor="text1"/>
                <w:sz w:val="16"/>
                <w:szCs w:val="16"/>
                <w:lang w:eastAsia="en-US"/>
              </w:rPr>
            </w:pPr>
          </w:p>
          <w:p w:rsidR="00720BCC" w:rsidRPr="001B03BB" w:rsidRDefault="00720BCC" w:rsidP="00235480">
            <w:pPr>
              <w:ind w:right="-102"/>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Longitude</w:t>
            </w:r>
          </w:p>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(°W)</w:t>
            </w:r>
          </w:p>
        </w:tc>
        <w:tc>
          <w:tcPr>
            <w:tcW w:w="890" w:type="pct"/>
            <w:gridSpan w:val="5"/>
            <w:shd w:val="clear" w:color="auto" w:fill="F2F2F2" w:themeFill="background1" w:themeFillShade="F2"/>
            <w:noWrap/>
            <w:vAlign w:val="center"/>
          </w:tcPr>
          <w:p w:rsidR="00720BCC" w:rsidRPr="001B03BB" w:rsidRDefault="00720BCC" w:rsidP="00235480">
            <w:pPr>
              <w:ind w:right="-102"/>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Record</w:t>
            </w:r>
          </w:p>
        </w:tc>
        <w:tc>
          <w:tcPr>
            <w:tcW w:w="2399" w:type="pct"/>
            <w:gridSpan w:val="12"/>
            <w:shd w:val="clear" w:color="auto" w:fill="F2F2F2" w:themeFill="background1" w:themeFillShade="F2"/>
            <w:noWrap/>
            <w:vAlign w:val="center"/>
            <w:hideMark/>
          </w:tcPr>
          <w:p w:rsidR="00720BCC" w:rsidRPr="001B03BB" w:rsidRDefault="00720BCC" w:rsidP="00235480">
            <w:pPr>
              <w:ind w:right="-102"/>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Reliability</w:t>
            </w:r>
          </w:p>
        </w:tc>
      </w:tr>
      <w:tr w:rsidR="001B03BB" w:rsidRPr="001B03BB" w:rsidTr="00235480">
        <w:trPr>
          <w:cnfStyle w:val="100000000000" w:firstRow="1" w:lastRow="0" w:firstColumn="0" w:lastColumn="0" w:oddVBand="0" w:evenVBand="0" w:oddHBand="0" w:evenHBand="0" w:firstRowFirstColumn="0" w:firstRowLastColumn="0" w:lastRowFirstColumn="0" w:lastRowLastColumn="0"/>
          <w:trHeight w:val="1462"/>
          <w:tblHeader/>
        </w:trPr>
        <w:tc>
          <w:tcPr>
            <w:cnfStyle w:val="001000000000" w:firstRow="0" w:lastRow="0" w:firstColumn="1" w:lastColumn="0" w:oddVBand="0" w:evenVBand="0" w:oddHBand="0" w:evenHBand="0" w:firstRowFirstColumn="0" w:firstRowLastColumn="0" w:lastRowFirstColumn="0" w:lastRowLastColumn="0"/>
            <w:tcW w:w="173" w:type="pct"/>
            <w:vMerge/>
            <w:noWrap/>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p>
        </w:tc>
        <w:tc>
          <w:tcPr>
            <w:tcW w:w="808" w:type="pct"/>
            <w:vMerge/>
            <w:noWrap/>
            <w:hideMark/>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p>
        </w:tc>
        <w:tc>
          <w:tcPr>
            <w:tcW w:w="350" w:type="pct"/>
            <w:vMerge/>
            <w:noWrap/>
            <w:hideMark/>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p>
        </w:tc>
        <w:tc>
          <w:tcPr>
            <w:tcW w:w="379" w:type="pct"/>
            <w:vMerge/>
            <w:noWrap/>
            <w:hideMark/>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p>
        </w:tc>
        <w:tc>
          <w:tcPr>
            <w:tcW w:w="188" w:type="pct"/>
            <w:shd w:val="clear" w:color="auto" w:fill="F2F2F2" w:themeFill="background1" w:themeFillShade="F2"/>
            <w:noWrap/>
            <w:textDirection w:val="btLr"/>
            <w:vAlign w:val="cente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Runup</w:t>
            </w:r>
          </w:p>
        </w:tc>
        <w:tc>
          <w:tcPr>
            <w:tcW w:w="163" w:type="pct"/>
            <w:shd w:val="clear" w:color="auto" w:fill="F2F2F2" w:themeFill="background1" w:themeFillShade="F2"/>
            <w:noWrap/>
            <w:textDirection w:val="btLr"/>
            <w:vAlign w:val="cente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Elevation</w:t>
            </w:r>
          </w:p>
        </w:tc>
        <w:tc>
          <w:tcPr>
            <w:tcW w:w="188" w:type="pct"/>
            <w:shd w:val="clear" w:color="auto" w:fill="F2F2F2" w:themeFill="background1" w:themeFillShade="F2"/>
            <w:noWrap/>
            <w:textDirection w:val="btLr"/>
            <w:vAlign w:val="cente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Crest-to-trough</w:t>
            </w:r>
          </w:p>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height</w:t>
            </w:r>
          </w:p>
        </w:tc>
        <w:tc>
          <w:tcPr>
            <w:tcW w:w="163" w:type="pct"/>
            <w:shd w:val="clear" w:color="auto" w:fill="F2F2F2" w:themeFill="background1" w:themeFillShade="F2"/>
            <w:noWrap/>
            <w:textDirection w:val="btLr"/>
            <w:vAlign w:val="cente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Height above tide</w:t>
            </w:r>
          </w:p>
        </w:tc>
        <w:tc>
          <w:tcPr>
            <w:tcW w:w="188" w:type="pct"/>
            <w:shd w:val="clear" w:color="auto" w:fill="F2F2F2" w:themeFill="background1" w:themeFillShade="F2"/>
            <w:noWrap/>
            <w:textDirection w:val="btLr"/>
            <w:vAlign w:val="cente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Flow depth</w:t>
            </w:r>
          </w:p>
        </w:tc>
        <w:tc>
          <w:tcPr>
            <w:tcW w:w="163"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Reliability</w:t>
            </w:r>
          </w:p>
        </w:tc>
        <w:tc>
          <w:tcPr>
            <w:tcW w:w="209"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Type of document</w:t>
            </w:r>
          </w:p>
        </w:tc>
        <w:tc>
          <w:tcPr>
            <w:tcW w:w="201"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Spatial resolution</w:t>
            </w:r>
          </w:p>
        </w:tc>
        <w:tc>
          <w:tcPr>
            <w:tcW w:w="206"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Date of record</w:t>
            </w:r>
          </w:p>
        </w:tc>
        <w:tc>
          <w:tcPr>
            <w:tcW w:w="202"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Type of record</w:t>
            </w:r>
          </w:p>
        </w:tc>
        <w:tc>
          <w:tcPr>
            <w:tcW w:w="202"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Eyewitness</w:t>
            </w:r>
          </w:p>
        </w:tc>
        <w:tc>
          <w:tcPr>
            <w:tcW w:w="203"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Sediments</w:t>
            </w:r>
          </w:p>
        </w:tc>
        <w:tc>
          <w:tcPr>
            <w:tcW w:w="218" w:type="pct"/>
            <w:shd w:val="clear" w:color="auto" w:fill="F2F2F2" w:themeFill="background1" w:themeFillShade="F2"/>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Damage</w:t>
            </w:r>
          </w:p>
        </w:tc>
        <w:tc>
          <w:tcPr>
            <w:tcW w:w="196"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Tide</w:t>
            </w:r>
          </w:p>
        </w:tc>
        <w:tc>
          <w:tcPr>
            <w:tcW w:w="212"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Hydrodynamics</w:t>
            </w:r>
          </w:p>
        </w:tc>
        <w:tc>
          <w:tcPr>
            <w:tcW w:w="201"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Coseismic</w:t>
            </w:r>
          </w:p>
        </w:tc>
        <w:tc>
          <w:tcPr>
            <w:tcW w:w="188" w:type="pct"/>
            <w:shd w:val="clear" w:color="auto" w:fill="F2F2F2" w:themeFill="background1" w:themeFillShade="F2"/>
            <w:noWrap/>
            <w:textDirection w:val="btLr"/>
            <w:hideMark/>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Reliability data index</w:t>
            </w:r>
          </w:p>
        </w:tc>
      </w:tr>
      <w:tr w:rsidR="001B03BB" w:rsidRPr="001B03BB" w:rsidTr="00235480">
        <w:trPr>
          <w:cnfStyle w:val="100000000000" w:firstRow="1" w:lastRow="0" w:firstColumn="0" w:lastColumn="0" w:oddVBand="0" w:evenVBand="0" w:oddHBand="0" w:evenHBand="0" w:firstRowFirstColumn="0" w:firstRowLastColumn="0" w:lastRowFirstColumn="0" w:lastRowLastColumn="0"/>
          <w:trHeight w:val="227"/>
          <w:tblHeader/>
        </w:trPr>
        <w:tc>
          <w:tcPr>
            <w:cnfStyle w:val="001000000000" w:firstRow="0" w:lastRow="0" w:firstColumn="1" w:lastColumn="0" w:oddVBand="0" w:evenVBand="0" w:oddHBand="0" w:evenHBand="0" w:firstRowFirstColumn="0" w:firstRowLastColumn="0" w:lastRowFirstColumn="0" w:lastRowLastColumn="0"/>
            <w:tcW w:w="173" w:type="pct"/>
            <w:noWrap/>
            <w:textDirection w:val="btLr"/>
            <w:vAlign w:val="center"/>
          </w:tcPr>
          <w:p w:rsidR="00720BCC" w:rsidRPr="001B03BB" w:rsidRDefault="00720BCC" w:rsidP="00235480">
            <w:pPr>
              <w:jc w:val="left"/>
              <w:rPr>
                <w:rFonts w:ascii="Arial Narrow" w:eastAsia="Times New Roman" w:hAnsi="Arial Narrow" w:cs="Calibri"/>
                <w:color w:val="000000" w:themeColor="text1"/>
                <w:sz w:val="16"/>
                <w:szCs w:val="16"/>
                <w:lang w:eastAsia="en-US"/>
              </w:rPr>
            </w:pPr>
          </w:p>
        </w:tc>
        <w:tc>
          <w:tcPr>
            <w:tcW w:w="808" w:type="pct"/>
            <w:noWrap/>
            <w:textDirection w:val="btLr"/>
            <w:vAlign w:val="center"/>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350" w:type="pct"/>
            <w:noWrap/>
            <w:textDirection w:val="btLr"/>
            <w:vAlign w:val="center"/>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379" w:type="pct"/>
            <w:noWrap/>
            <w:textDirection w:val="btLr"/>
            <w:vAlign w:val="center"/>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RU</w:t>
            </w:r>
          </w:p>
        </w:tc>
        <w:tc>
          <w:tcPr>
            <w:tcW w:w="163" w:type="pct"/>
            <w:noWrap/>
            <w:vAlign w:val="center"/>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SE</w:t>
            </w:r>
          </w:p>
        </w:tc>
        <w:tc>
          <w:tcPr>
            <w:tcW w:w="188" w:type="pct"/>
            <w:noWrap/>
            <w:vAlign w:val="center"/>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WH</w:t>
            </w:r>
          </w:p>
        </w:tc>
        <w:tc>
          <w:tcPr>
            <w:tcW w:w="163" w:type="pct"/>
            <w:noWrap/>
            <w:vAlign w:val="center"/>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HT</w:t>
            </w:r>
          </w:p>
        </w:tc>
        <w:tc>
          <w:tcPr>
            <w:tcW w:w="188" w:type="pct"/>
            <w:noWrap/>
            <w:vAlign w:val="center"/>
          </w:tcPr>
          <w:p w:rsidR="00720BCC" w:rsidRPr="001B03BB" w:rsidRDefault="00720BCC" w:rsidP="00235480">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WD</w:t>
            </w:r>
          </w:p>
        </w:tc>
        <w:tc>
          <w:tcPr>
            <w:tcW w:w="163" w:type="pct"/>
            <w:noWrap/>
            <w:vAlign w:val="center"/>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r>
                  <m:rPr>
                    <m:sty m:val="bi"/>
                  </m:rPr>
                  <w:rPr>
                    <w:rFonts w:ascii="Cambria Math" w:eastAsia="Times New Roman" w:hAnsi="Cambria Math" w:cs="Calibri"/>
                    <w:color w:val="000000" w:themeColor="text1"/>
                    <w:sz w:val="16"/>
                    <w:szCs w:val="16"/>
                    <w:lang w:eastAsia="en-US"/>
                  </w:rPr>
                  <m:t>F</m:t>
                </m:r>
              </m:oMath>
            </m:oMathPara>
          </w:p>
        </w:tc>
        <w:tc>
          <w:tcPr>
            <w:tcW w:w="209"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DOC</m:t>
                    </m:r>
                  </m:sub>
                </m:sSub>
              </m:oMath>
            </m:oMathPara>
          </w:p>
        </w:tc>
        <w:tc>
          <w:tcPr>
            <w:tcW w:w="201"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LOC</m:t>
                    </m:r>
                  </m:sub>
                </m:sSub>
              </m:oMath>
            </m:oMathPara>
          </w:p>
        </w:tc>
        <w:tc>
          <w:tcPr>
            <w:tcW w:w="206"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DAT</m:t>
                    </m:r>
                  </m:sub>
                </m:sSub>
              </m:oMath>
            </m:oMathPara>
          </w:p>
        </w:tc>
        <w:tc>
          <w:tcPr>
            <w:tcW w:w="202"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TYP</m:t>
                    </m:r>
                  </m:sub>
                </m:sSub>
              </m:oMath>
            </m:oMathPara>
          </w:p>
        </w:tc>
        <w:tc>
          <w:tcPr>
            <w:tcW w:w="202"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EYE</m:t>
                    </m:r>
                  </m:sub>
                </m:sSub>
              </m:oMath>
            </m:oMathPara>
          </w:p>
        </w:tc>
        <w:tc>
          <w:tcPr>
            <w:tcW w:w="203"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SED</m:t>
                    </m:r>
                  </m:sub>
                </m:sSub>
              </m:oMath>
            </m:oMathPara>
          </w:p>
        </w:tc>
        <w:tc>
          <w:tcPr>
            <w:tcW w:w="218" w:type="pct"/>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DAM</m:t>
                    </m:r>
                  </m:sub>
                </m:sSub>
              </m:oMath>
            </m:oMathPara>
          </w:p>
        </w:tc>
        <w:tc>
          <w:tcPr>
            <w:tcW w:w="196"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TID</m:t>
                    </m:r>
                  </m:sub>
                </m:sSub>
              </m:oMath>
            </m:oMathPara>
          </w:p>
        </w:tc>
        <w:tc>
          <w:tcPr>
            <w:tcW w:w="212"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HYD</m:t>
                    </m:r>
                  </m:sub>
                </m:sSub>
              </m:oMath>
            </m:oMathPara>
          </w:p>
        </w:tc>
        <w:tc>
          <w:tcPr>
            <w:tcW w:w="201" w:type="pct"/>
            <w:noWrap/>
            <w:vAlign w:val="center"/>
          </w:tcPr>
          <w:p w:rsidR="00720BCC" w:rsidRPr="001B03BB" w:rsidRDefault="001B03BB"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sSub>
                  <m:sSubPr>
                    <m:ctrlPr>
                      <w:rPr>
                        <w:rFonts w:ascii="Cambria Math" w:eastAsia="Times New Roman" w:hAnsi="Cambria Math" w:cs="Calibri"/>
                        <w:i/>
                        <w:color w:val="000000" w:themeColor="text1"/>
                        <w:sz w:val="16"/>
                        <w:szCs w:val="16"/>
                        <w:lang w:eastAsia="en-US"/>
                      </w:rPr>
                    </m:ctrlPr>
                  </m:sSubPr>
                  <m:e>
                    <m:r>
                      <m:rPr>
                        <m:sty m:val="bi"/>
                      </m:rPr>
                      <w:rPr>
                        <w:rFonts w:ascii="Cambria Math" w:eastAsia="Times New Roman" w:hAnsi="Cambria Math" w:cs="Calibri"/>
                        <w:color w:val="000000" w:themeColor="text1"/>
                        <w:sz w:val="16"/>
                        <w:szCs w:val="16"/>
                        <w:lang w:eastAsia="en-US"/>
                      </w:rPr>
                      <m:t>I</m:t>
                    </m:r>
                  </m:e>
                  <m:sub>
                    <m:r>
                      <m:rPr>
                        <m:sty m:val="bi"/>
                      </m:rPr>
                      <w:rPr>
                        <w:rFonts w:ascii="Cambria Math" w:eastAsia="Times New Roman" w:hAnsi="Cambria Math" w:cs="Calibri"/>
                        <w:color w:val="000000" w:themeColor="text1"/>
                        <w:sz w:val="16"/>
                        <w:szCs w:val="16"/>
                        <w:lang w:eastAsia="en-US"/>
                      </w:rPr>
                      <m:t>COS</m:t>
                    </m:r>
                  </m:sub>
                </m:sSub>
              </m:oMath>
            </m:oMathPara>
          </w:p>
        </w:tc>
        <w:tc>
          <w:tcPr>
            <w:tcW w:w="188" w:type="pct"/>
            <w:noWrap/>
            <w:vAlign w:val="center"/>
          </w:tcPr>
          <w:p w:rsidR="00720BCC" w:rsidRPr="001B03BB" w:rsidRDefault="00720BCC" w:rsidP="00235480">
            <w:pPr>
              <w:jc w:val="left"/>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m:oMathPara>
              <m:oMath>
                <m:r>
                  <m:rPr>
                    <m:sty m:val="bi"/>
                  </m:rPr>
                  <w:rPr>
                    <w:rFonts w:ascii="Cambria Math" w:eastAsia="Times New Roman" w:hAnsi="Cambria Math" w:cs="Calibri"/>
                    <w:color w:val="000000" w:themeColor="text1"/>
                    <w:sz w:val="16"/>
                    <w:szCs w:val="16"/>
                    <w:lang w:eastAsia="en-US"/>
                  </w:rPr>
                  <m:t>RI</m:t>
                </m:r>
              </m:oMath>
            </m:oMathPara>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-35,32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-72,41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-36,537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-72,959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-36,54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-36,540611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-72,933235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-36,547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-72,937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-36,61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-36,71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-36,71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-36,711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-72,977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-36,719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-73,109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-36,72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Fritz et al.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-36,72474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-73,10445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-37,02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-37,09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-37,097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-71,16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0,19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Watanabe &amp; Karzulovic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-37,14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-37,165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-73,188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Alvarez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-37,169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-73,191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0,41</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Alvarez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-37,194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-73,565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0,41</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Alvarez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-37,2384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-73,3222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Alvarez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-37,5923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-73,6498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Lazo (2008)</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-37,603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-73,657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Hong et al. (2017)</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-38,25178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-73,49474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-38,33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-73,91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Ely et al. (2014)</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-38,339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-73,496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-38,34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Fritz et al.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-38,41018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-73,90506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10,8</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Alvarez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-38,775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-73,409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0,61</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-38,779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-73,402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-38,78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Tamburini &amp; Lagos (2012)</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-38,787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0,47</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-38,81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11,5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Alvarez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-39,2039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-73,1857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-39,349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Jaramillo &amp; Basso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-39,386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-73,203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Jaramillo &amp; Basso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-39,39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0,71</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-39,39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0,61</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-39,39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39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Jaramillo &amp; Basso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-39,3907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-73,2281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López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-39,42842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-73,21448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Saldivia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-39,428509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-73,21449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Yes</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Cea et al.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-39,42897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-39,433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-39,436379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-73,216074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-39,437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Pedersen (1979)</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-39,43996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-73,21567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Saldivia (2008)</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-39,447464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-73,221553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49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Saldivia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-39,450325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-73,175274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-73,2333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-39,503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-73,247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Pedersen (1979)</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-39,50645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-73,24709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Saldivia (2008)</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-39,539973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-73,254315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-39,6671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-73,3487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Reinhardt et al.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-39,691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-73,193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-39,734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Doyel et al.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-39,78714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-73,11667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Contreras et al. (2016)</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-39,81279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-73,24818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59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MHNC (2009)</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-39,81393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-73,23568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-39,81403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-73,23566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(2016)</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17,5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-39,83576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-7339988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-39,837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-73,402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Aguirre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-39,847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-39,848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-73,3392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-39,862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-39,86249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-73,34967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Aguirre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-39,8629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-73,3955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69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-39,863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-73,442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Avendaño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-39,865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Aguirre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-39,868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-73,401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Aguirre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-39,87504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-73,39299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Aguirre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-39,87511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-73,4003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17,5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79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Avendaño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-39,88043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-73,42412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MHNC (2009)</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-39,8848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-73,42756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9</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Avendaño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9,25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Avendaño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-39,8876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-73,4315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-39,88891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-73,43332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-39,889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-73,433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Yes</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-39,892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89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Avendaño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-39,894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0,15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-39,8941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-73,4208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Rojas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-39,903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-73,409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Avendaño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-39,912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-73,339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Jaramillo &amp; Basso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-40,15918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-73,66446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-40,19889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-73,71408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-40,2451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-73,7153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-40,483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-73,749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-40,531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99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Benedetti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-40,581296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-73,737173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-40,594828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-73,734798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-40,596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Dobrovolny et al.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-41,4731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-72,9387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-41,4733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-72,9421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-41,474841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-72,942598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-41,484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-72,961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Yes</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-41,486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-72,963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109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-41,529283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-73,3686248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-41,575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-73,637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0,27</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-41,590</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-73,678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9,5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0,90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Thomas et al.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-73,554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SD</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SD</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SD</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SD</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SD</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-41,598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-41,599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-41,599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-73,602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-41,600</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0,77</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-41,605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-73,536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-73,574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0,77</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119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-73,602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-73,608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-73,561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19</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Thomas et al.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-73,554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Benedetti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-73,606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14</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-41,619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-73,557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-41,620</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-73,564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129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-73,592</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0,77</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-73,612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-73,629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-73,592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Yes</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-73,613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-41,628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-73,615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-41,633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-73,641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0,77</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-41,6333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-73,6667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-41,637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-73,659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-41,642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-73,649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139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-41,643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-73,649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-41,659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-73,513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Atwater et al. (2013)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-41,664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-73,506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Arias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-41,743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-73,701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0,39</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-41,7716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-73,1198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Benedetti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-41,78299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-73,87902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-41,8087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-73,6187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-41,8141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-73,6046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-41,84037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-73,80499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-41,845077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-73,805896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149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0,31</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0,31</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Garrett et al. (2015)</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-41,85189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-73,99856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-41,85873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-73,88937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0,18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-41,859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-73,814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Benedetti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-41,8596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-73,8244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-41,86681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-73,82964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159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-41,8672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-73,8299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-41,868311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-73,832198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-41,86878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-73,8304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Saez (2006)</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-41,87076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-73,87076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Saez (2006)</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-41,87154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-73,80145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Saez (2006)</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-41,87199</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-73,82473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-41,8721</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-73,8279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-41,8745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-73,7926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169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Benedetti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-41,8753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-73,8306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Diaz (2015)</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0,43</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Hernández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-73,793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Saez (2006)</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-41,87732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-73,80155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-41,87797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-73,79418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Diaz (2015)</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-41,8815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-73,7896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Saez (2006)</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-41,88228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-73,79379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Escuela Anexa (2010)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-41,8832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-73,8493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0,16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179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Cisternas et al. (2017)</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-41,9227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-74,0007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-41,966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-73,5479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Bahamonde et al. (2016)</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-42,332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-73,373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Diaz (2015)</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-42,3903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-73,6374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-42,4686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-73,4937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VEA (1960)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-42,47232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-73,76337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Diaz (2015)</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-42,47303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-73,76277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Mardones &amp; Mancilla (2009)</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-42,47971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-73,76035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Mardones &amp; Mancilla (2009)</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-42,48052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-73,75084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Mardones &amp; Mancilla (2009)</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-42,4835</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189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Mardones &amp; Mancilla (2009)</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-42,485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-73,761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Weisner (2003)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-42,52938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-74,16698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Weisner (2003)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-42,5465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-74,148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Diaz (2015)</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-42,54653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-74,1482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Weisner (2003)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-42,58568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-74,12877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Kempf et al. (2017)</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-42,59704</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-74,10794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Kempf et al. (2015)</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-42,59754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-74,10989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Weisner (2003)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-42,60362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-74,11991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Kempf et al. (2015)</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-42,63254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-74,08936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Weisner (2003)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-42,63498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-74,1063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199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Kempf et al. (2020)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-42,63895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-74,06884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Weisner (2003)</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-42,69069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-74,11968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Legoupil (2005)</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-43,113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8</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Corp. Municipal Quellón (2009)</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-43,1131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-73,7102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-43,1193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-73,626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Diaz (2015)</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-43,1207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-73,6177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205</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Weischet (1963)</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-43,124172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-73,623283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206</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-43,567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-74,8266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207</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-43,5733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-74,7693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0,49</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208</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Takahashi &amp; Hatori (1961)</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-43,58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-74,83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0,8</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0,26</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209</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Habitierra (2011)</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-43,888867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-73,742009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6</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0,36</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210</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-43,898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-73,7466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211</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-45,1642</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-73,5284</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212</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-45,4117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-72,7004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0,34</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213</w:t>
            </w:r>
          </w:p>
        </w:tc>
        <w:tc>
          <w:tcPr>
            <w:tcW w:w="80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SHOA (2000)</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-45,4255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-72,8095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xml:space="preserve">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0,64</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214</w:t>
            </w:r>
          </w:p>
        </w:tc>
        <w:tc>
          <w:tcPr>
            <w:tcW w:w="80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-43,12403</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-73,70663</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3,3</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215</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-43,10264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-73,53969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6,0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216</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-42,69091</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-74,11947</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14,4</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217</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-42,6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-74,1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218</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-41,84167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-73,87000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5,3</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219</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-41,78715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-73,89390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220</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-41,39500</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-73,83934</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17,0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221</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-40,58256</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-73,73478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19,0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222</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-40,58242</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-73,73458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6,3</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223</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-40,58135</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-73,73176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25,9</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224</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-40,58089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-73,73802</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19,0</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225</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-40,58000</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-73,73000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0,33</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226</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-40,54797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-73,71856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9,1</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1,2</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227</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-40,53764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-73,71455</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228</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-39,95728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-73,64215</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10,1</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229</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-39,94434</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-73,58476</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3,4</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230</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-39,93889</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-73,58989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11,2</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231</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-39,87537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-73,38948</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2,1</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232</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-39,87537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-73,38948</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233</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-39,85228</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-73,39183</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16,2</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234</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-39,85057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-73,39180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2,9</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235</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-39,84633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-73,39339</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7,1</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236</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-39,84498</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-73,39630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237</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-39,44863</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-73,22587</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17,1</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0,65</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238</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-39,44597</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-73,20936</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2,4</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239</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-39,42867</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-73,21630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5,0</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240</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-39,42826</w:t>
            </w:r>
          </w:p>
        </w:tc>
        <w:tc>
          <w:tcPr>
            <w:tcW w:w="37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-73,21419</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6,9</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1,5</w:t>
            </w:r>
          </w:p>
        </w:tc>
        <w:tc>
          <w:tcPr>
            <w:tcW w:w="209"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0,68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hideMark/>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241</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-39,20830</w:t>
            </w:r>
          </w:p>
        </w:tc>
        <w:tc>
          <w:tcPr>
            <w:tcW w:w="37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-73,20831</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 </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2,5</w:t>
            </w:r>
          </w:p>
        </w:tc>
        <w:tc>
          <w:tcPr>
            <w:tcW w:w="16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9"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1,00</w:t>
            </w:r>
          </w:p>
        </w:tc>
        <w:tc>
          <w:tcPr>
            <w:tcW w:w="20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center"/>
            <w:hideMark/>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0,40</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242</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-36,593</w:t>
            </w:r>
          </w:p>
        </w:tc>
        <w:tc>
          <w:tcPr>
            <w:tcW w:w="379"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-72,978</w:t>
            </w: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16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243</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-36,541</w:t>
            </w:r>
          </w:p>
        </w:tc>
        <w:tc>
          <w:tcPr>
            <w:tcW w:w="379"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-72,932</w:t>
            </w: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3,5</w:t>
            </w:r>
          </w:p>
        </w:tc>
        <w:tc>
          <w:tcPr>
            <w:tcW w:w="163"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0,32</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b w:val="0"/>
                <w:bCs w:val="0"/>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244</w:t>
            </w: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-36,537</w:t>
            </w:r>
          </w:p>
        </w:tc>
        <w:tc>
          <w:tcPr>
            <w:tcW w:w="379"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-72,959</w:t>
            </w: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2,8</w:t>
            </w:r>
          </w:p>
        </w:tc>
        <w:tc>
          <w:tcPr>
            <w:tcW w:w="16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0,7</w:t>
            </w:r>
          </w:p>
        </w:tc>
        <w:tc>
          <w:tcPr>
            <w:tcW w:w="209"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9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0,25</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245</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639222 E</w:t>
            </w:r>
          </w:p>
        </w:tc>
        <w:tc>
          <w:tcPr>
            <w:tcW w:w="379"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5704446 S</w:t>
            </w:r>
          </w:p>
        </w:tc>
        <w:tc>
          <w:tcPr>
            <w:tcW w:w="18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3,5</w:t>
            </w:r>
          </w:p>
        </w:tc>
        <w:tc>
          <w:tcPr>
            <w:tcW w:w="163"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0,78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color w:val="000000" w:themeColor="text1"/>
                <w:sz w:val="16"/>
                <w:szCs w:val="16"/>
                <w:lang w:eastAsia="en-US"/>
              </w:rPr>
            </w:pP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350"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639608 E</w:t>
            </w:r>
          </w:p>
        </w:tc>
        <w:tc>
          <w:tcPr>
            <w:tcW w:w="379"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5704712 S</w:t>
            </w:r>
          </w:p>
        </w:tc>
        <w:tc>
          <w:tcPr>
            <w:tcW w:w="18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2,0</w:t>
            </w: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0,78</w:t>
            </w:r>
          </w:p>
        </w:tc>
      </w:tr>
      <w:tr w:rsidR="001B03BB" w:rsidRPr="001B03BB" w:rsidTr="00235480">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b w:val="0"/>
                <w:bCs w:val="0"/>
                <w:color w:val="000000" w:themeColor="text1"/>
                <w:sz w:val="16"/>
                <w:szCs w:val="16"/>
                <w:lang w:eastAsia="en-US"/>
              </w:rPr>
              <w:t>246</w:t>
            </w:r>
          </w:p>
        </w:tc>
        <w:tc>
          <w:tcPr>
            <w:tcW w:w="808" w:type="pct"/>
            <w:noWrap/>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This study</w:t>
            </w:r>
          </w:p>
        </w:tc>
        <w:tc>
          <w:tcPr>
            <w:tcW w:w="350"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653362 E</w:t>
            </w:r>
          </w:p>
        </w:tc>
        <w:tc>
          <w:tcPr>
            <w:tcW w:w="379"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5634432 S</w:t>
            </w:r>
          </w:p>
        </w:tc>
        <w:tc>
          <w:tcPr>
            <w:tcW w:w="18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15,1</w:t>
            </w:r>
          </w:p>
        </w:tc>
        <w:tc>
          <w:tcPr>
            <w:tcW w:w="163"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0,78</w:t>
            </w:r>
          </w:p>
        </w:tc>
      </w:tr>
      <w:tr w:rsidR="001B03BB" w:rsidRPr="001B03BB" w:rsidTr="00235480">
        <w:trPr>
          <w:trHeight w:val="227"/>
        </w:trPr>
        <w:tc>
          <w:tcPr>
            <w:cnfStyle w:val="001000000000" w:firstRow="0" w:lastRow="0" w:firstColumn="1" w:lastColumn="0" w:oddVBand="0" w:evenVBand="0" w:oddHBand="0" w:evenHBand="0" w:firstRowFirstColumn="0" w:firstRowLastColumn="0" w:lastRowFirstColumn="0" w:lastRowLastColumn="0"/>
            <w:tcW w:w="173" w:type="pct"/>
            <w:noWrap/>
            <w:vAlign w:val="center"/>
          </w:tcPr>
          <w:p w:rsidR="00720BCC" w:rsidRPr="001B03BB" w:rsidRDefault="00720BCC" w:rsidP="00235480">
            <w:pPr>
              <w:jc w:val="left"/>
              <w:rPr>
                <w:rFonts w:ascii="Arial Narrow" w:eastAsia="Times New Roman" w:hAnsi="Arial Narrow" w:cs="Calibri"/>
                <w:color w:val="000000" w:themeColor="text1"/>
                <w:sz w:val="16"/>
                <w:szCs w:val="16"/>
                <w:lang w:eastAsia="en-US"/>
              </w:rPr>
            </w:pPr>
          </w:p>
        </w:tc>
        <w:tc>
          <w:tcPr>
            <w:tcW w:w="808" w:type="pct"/>
            <w:noWrap/>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350"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653489 E</w:t>
            </w:r>
          </w:p>
        </w:tc>
        <w:tc>
          <w:tcPr>
            <w:tcW w:w="379"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Segoe UI Light"/>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5634479 S</w:t>
            </w:r>
          </w:p>
        </w:tc>
        <w:tc>
          <w:tcPr>
            <w:tcW w:w="18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1,1</w:t>
            </w: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88" w:type="pct"/>
            <w:noWrap/>
            <w:vAlign w:val="center"/>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p>
        </w:tc>
        <w:tc>
          <w:tcPr>
            <w:tcW w:w="16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1,3</w:t>
            </w:r>
          </w:p>
        </w:tc>
        <w:tc>
          <w:tcPr>
            <w:tcW w:w="209"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1,0</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0,50</w:t>
            </w:r>
          </w:p>
        </w:tc>
        <w:tc>
          <w:tcPr>
            <w:tcW w:w="20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0,0</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0,5</w:t>
            </w:r>
          </w:p>
        </w:tc>
        <w:tc>
          <w:tcPr>
            <w:tcW w:w="203"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1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196"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212"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1</w:t>
            </w:r>
          </w:p>
        </w:tc>
        <w:tc>
          <w:tcPr>
            <w:tcW w:w="201"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Calibri"/>
                <w:color w:val="000000" w:themeColor="text1"/>
                <w:sz w:val="16"/>
                <w:szCs w:val="16"/>
                <w:lang w:eastAsia="en-US"/>
              </w:rPr>
              <w:t>0</w:t>
            </w:r>
          </w:p>
        </w:tc>
        <w:tc>
          <w:tcPr>
            <w:tcW w:w="188" w:type="pct"/>
            <w:noWrap/>
            <w:vAlign w:val="bottom"/>
          </w:tcPr>
          <w:p w:rsidR="00720BCC" w:rsidRPr="001B03BB" w:rsidRDefault="00720BCC" w:rsidP="00235480">
            <w:pPr>
              <w:jc w:val="left"/>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themeColor="text1"/>
                <w:sz w:val="16"/>
                <w:szCs w:val="16"/>
                <w:lang w:eastAsia="en-US"/>
              </w:rPr>
            </w:pPr>
            <w:r w:rsidRPr="001B03BB">
              <w:rPr>
                <w:rFonts w:ascii="Arial Narrow" w:eastAsia="Times New Roman" w:hAnsi="Arial Narrow" w:cs="Segoe UI Light"/>
                <w:color w:val="000000" w:themeColor="text1"/>
                <w:sz w:val="16"/>
                <w:szCs w:val="16"/>
                <w:lang w:eastAsia="en-US"/>
              </w:rPr>
              <w:t>0,78</w:t>
            </w:r>
          </w:p>
        </w:tc>
      </w:tr>
    </w:tbl>
    <w:p w:rsidR="00720BCC" w:rsidRPr="001B03BB" w:rsidRDefault="00720BCC" w:rsidP="00720BCC">
      <w:pPr>
        <w:rPr>
          <w:color w:val="000000" w:themeColor="text1"/>
        </w:rPr>
      </w:pPr>
    </w:p>
    <w:p w:rsidR="00C67016" w:rsidRPr="001B03BB" w:rsidRDefault="00C67016">
      <w:pPr>
        <w:rPr>
          <w:color w:val="000000" w:themeColor="text1"/>
        </w:rPr>
      </w:pPr>
    </w:p>
    <w:sectPr w:rsidR="00C67016" w:rsidRPr="001B03BB" w:rsidSect="001B03BB">
      <w:type w:val="continuous"/>
      <w:pgSz w:w="15840" w:h="12240" w:orient="landscape"/>
      <w:pgMar w:top="1701" w:right="1417" w:bottom="1701" w:left="1417" w:header="708" w:footer="708"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0BCC" w:rsidRDefault="00720BCC" w:rsidP="00720BCC">
      <w:pPr>
        <w:spacing w:after="0" w:line="240" w:lineRule="auto"/>
      </w:pPr>
      <w:r>
        <w:separator/>
      </w:r>
    </w:p>
  </w:endnote>
  <w:endnote w:type="continuationSeparator" w:id="0">
    <w:p w:rsidR="00720BCC" w:rsidRDefault="00720BCC" w:rsidP="00720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0BCC" w:rsidRDefault="00720BCC" w:rsidP="00720BCC">
      <w:pPr>
        <w:spacing w:after="0" w:line="240" w:lineRule="auto"/>
      </w:pPr>
      <w:r>
        <w:separator/>
      </w:r>
    </w:p>
  </w:footnote>
  <w:footnote w:type="continuationSeparator" w:id="0">
    <w:p w:rsidR="00720BCC" w:rsidRDefault="00720BCC" w:rsidP="00720BCC">
      <w:pPr>
        <w:spacing w:after="0" w:line="240" w:lineRule="auto"/>
      </w:pPr>
      <w:r>
        <w:continuationSeparator/>
      </w:r>
    </w:p>
  </w:footnote>
  <w:footnote w:id="1">
    <w:p w:rsidR="00720BCC" w:rsidRPr="008B5631" w:rsidRDefault="00720BCC" w:rsidP="00720BCC">
      <w:pPr>
        <w:pStyle w:val="FootnoteText"/>
        <w:rPr>
          <w:rFonts w:ascii="Segoe UI" w:hAnsi="Segoe UI" w:cs="Segoe UI"/>
          <w:sz w:val="18"/>
          <w:szCs w:val="18"/>
          <w:lang w:val="en-US"/>
        </w:rPr>
      </w:pPr>
      <w:r w:rsidRPr="008B5631">
        <w:rPr>
          <w:rStyle w:val="FootnoteReference"/>
          <w:rFonts w:ascii="Segoe UI" w:hAnsi="Segoe UI" w:cs="Segoe UI"/>
          <w:sz w:val="18"/>
          <w:szCs w:val="18"/>
        </w:rPr>
        <w:footnoteRef/>
      </w:r>
      <w:r w:rsidRPr="008B5631">
        <w:rPr>
          <w:rFonts w:ascii="Segoe UI" w:hAnsi="Segoe UI" w:cs="Segoe UI"/>
          <w:sz w:val="18"/>
          <w:szCs w:val="18"/>
          <w:lang w:val="en-US"/>
        </w:rPr>
        <w:t xml:space="preserve"> </w:t>
      </w:r>
      <w:hyperlink r:id="rId1" w:history="1">
        <w:r w:rsidRPr="008B5631">
          <w:rPr>
            <w:rStyle w:val="Hyperlink"/>
            <w:rFonts w:eastAsiaTheme="majorEastAsia" w:cs="Segoe UI"/>
            <w:color w:val="auto"/>
            <w:sz w:val="18"/>
            <w:szCs w:val="18"/>
          </w:rPr>
          <w:t>https://youtu.be/1vhsB36Xqkc</w:t>
        </w:r>
      </w:hyperlink>
      <w:r w:rsidRPr="008B5631">
        <w:rPr>
          <w:rFonts w:ascii="Segoe UI" w:hAnsi="Segoe UI" w:cs="Segoe UI"/>
          <w:sz w:val="18"/>
          <w:szCs w:val="18"/>
          <w:lang w:val="en-US"/>
        </w:rPr>
        <w:t>. In Spanish; subtitles available in YouTube.</w:t>
      </w:r>
    </w:p>
  </w:footnote>
  <w:footnote w:id="2">
    <w:p w:rsidR="00720BCC" w:rsidRPr="008B5631" w:rsidRDefault="00720BCC" w:rsidP="00720BCC">
      <w:pPr>
        <w:pStyle w:val="FootnoteText"/>
        <w:rPr>
          <w:rFonts w:ascii="Segoe UI" w:hAnsi="Segoe UI" w:cs="Segoe UI"/>
          <w:sz w:val="18"/>
          <w:szCs w:val="18"/>
          <w:lang w:val="en-US"/>
        </w:rPr>
      </w:pPr>
      <w:r w:rsidRPr="008B5631">
        <w:rPr>
          <w:rStyle w:val="FootnoteReference"/>
          <w:rFonts w:ascii="Segoe UI" w:hAnsi="Segoe UI" w:cs="Segoe UI"/>
          <w:sz w:val="18"/>
          <w:szCs w:val="18"/>
        </w:rPr>
        <w:footnoteRef/>
      </w:r>
      <w:r w:rsidRPr="008B5631">
        <w:rPr>
          <w:rFonts w:ascii="Segoe UI" w:hAnsi="Segoe UI" w:cs="Segoe UI"/>
          <w:sz w:val="18"/>
          <w:szCs w:val="18"/>
          <w:lang w:val="en-US"/>
        </w:rPr>
        <w:t xml:space="preserve"> </w:t>
      </w:r>
      <w:hyperlink r:id="rId2" w:history="1">
        <w:r w:rsidRPr="008B5631">
          <w:rPr>
            <w:rStyle w:val="Hyperlink"/>
            <w:rFonts w:eastAsiaTheme="majorEastAsia" w:cs="Segoe UI"/>
            <w:color w:val="auto"/>
            <w:sz w:val="18"/>
            <w:szCs w:val="18"/>
          </w:rPr>
          <w:t>https://youtu.be/5NtmYuBY-CM</w:t>
        </w:r>
      </w:hyperlink>
      <w:r w:rsidRPr="008B5631">
        <w:rPr>
          <w:rFonts w:ascii="Segoe UI" w:hAnsi="Segoe UI" w:cs="Segoe UI"/>
          <w:sz w:val="18"/>
          <w:szCs w:val="18"/>
          <w:lang w:val="en-US"/>
        </w:rPr>
        <w:t>. In Spanish; subtitles available in YouTube.</w:t>
      </w:r>
    </w:p>
  </w:footnote>
  <w:footnote w:id="3">
    <w:p w:rsidR="00720BCC" w:rsidRPr="00C969CD" w:rsidRDefault="00720BCC" w:rsidP="00720BCC">
      <w:pPr>
        <w:pStyle w:val="FootnoteText"/>
        <w:rPr>
          <w:rFonts w:ascii="Segoe UI" w:hAnsi="Segoe UI" w:cs="Segoe UI"/>
          <w:sz w:val="18"/>
          <w:szCs w:val="18"/>
          <w:u w:val="single"/>
          <w:lang w:val="en-US"/>
        </w:rPr>
      </w:pPr>
      <w:r>
        <w:rPr>
          <w:rStyle w:val="FootnoteReference"/>
        </w:rPr>
        <w:footnoteRef/>
      </w:r>
      <w:r w:rsidRPr="00C969CD">
        <w:rPr>
          <w:lang w:val="en-US"/>
        </w:rPr>
        <w:t xml:space="preserve"> </w:t>
      </w:r>
      <w:hyperlink r:id="rId3" w:history="1">
        <w:r w:rsidRPr="00C969CD">
          <w:rPr>
            <w:rFonts w:ascii="Segoe UI" w:hAnsi="Segoe UI" w:cs="Segoe UI"/>
            <w:sz w:val="18"/>
            <w:szCs w:val="18"/>
            <w:u w:val="single"/>
            <w:lang w:val="en-US"/>
          </w:rPr>
          <w:t>https://youtu.be/bJEY4Nr7Aoc?si=t1OI_Ms21bpEUm0w</w:t>
        </w:r>
      </w:hyperlink>
      <w:r w:rsidRPr="008B5631">
        <w:rPr>
          <w:rFonts w:ascii="Segoe UI" w:hAnsi="Segoe UI" w:cs="Segoe UI"/>
          <w:sz w:val="18"/>
          <w:szCs w:val="18"/>
          <w:lang w:val="en-US"/>
        </w:rPr>
        <w:t>. In Spanish; subtitles available in YouTube.</w:t>
      </w:r>
    </w:p>
  </w:footnote>
  <w:footnote w:id="4">
    <w:p w:rsidR="00720BCC" w:rsidRPr="00C969CD" w:rsidRDefault="00720BCC" w:rsidP="00720BCC">
      <w:pPr>
        <w:pStyle w:val="FootnoteText"/>
        <w:rPr>
          <w:lang w:val="en-US"/>
        </w:rPr>
      </w:pPr>
      <w:r>
        <w:rPr>
          <w:rStyle w:val="FootnoteReference"/>
        </w:rPr>
        <w:footnoteRef/>
      </w:r>
      <w:r w:rsidRPr="00C969CD">
        <w:rPr>
          <w:lang w:val="en-US"/>
        </w:rPr>
        <w:t xml:space="preserve"> </w:t>
      </w:r>
      <w:hyperlink r:id="rId4" w:history="1">
        <w:r w:rsidRPr="00C969CD">
          <w:rPr>
            <w:rFonts w:ascii="Segoe UI" w:hAnsi="Segoe UI" w:cs="Segoe UI"/>
            <w:sz w:val="18"/>
            <w:szCs w:val="18"/>
            <w:u w:val="single"/>
            <w:lang w:val="en-US"/>
          </w:rPr>
          <w:t>https://youtu.be/Ha4Bf_xH7nI?si=HDTSfKPjI8-sN3ST</w:t>
        </w:r>
      </w:hyperlink>
      <w:r w:rsidRPr="008B5631">
        <w:rPr>
          <w:rFonts w:ascii="Segoe UI" w:hAnsi="Segoe UI" w:cs="Segoe UI"/>
          <w:sz w:val="18"/>
          <w:szCs w:val="18"/>
          <w:lang w:val="en-US"/>
        </w:rPr>
        <w:t>. In Spanish; subtitles available in YouTube.</w:t>
      </w:r>
    </w:p>
  </w:footnote>
  <w:footnote w:id="5">
    <w:p w:rsidR="00720BCC" w:rsidRPr="008B5631" w:rsidRDefault="00720BCC" w:rsidP="00720BCC">
      <w:pPr>
        <w:pStyle w:val="FootnoteText"/>
        <w:rPr>
          <w:rFonts w:ascii="Segoe UI" w:hAnsi="Segoe UI" w:cs="Segoe UI"/>
          <w:sz w:val="18"/>
          <w:szCs w:val="18"/>
          <w:lang w:val="en-US"/>
        </w:rPr>
      </w:pPr>
      <w:r w:rsidRPr="008B5631">
        <w:rPr>
          <w:rFonts w:ascii="Segoe UI" w:hAnsi="Segoe UI" w:cs="Segoe UI"/>
          <w:sz w:val="18"/>
          <w:szCs w:val="18"/>
          <w:vertAlign w:val="superscript"/>
          <w:lang w:val="en-US"/>
        </w:rPr>
        <w:footnoteRef/>
      </w:r>
      <w:r w:rsidRPr="008B5631">
        <w:rPr>
          <w:rFonts w:ascii="Segoe UI" w:hAnsi="Segoe UI" w:cs="Segoe UI"/>
          <w:sz w:val="18"/>
          <w:szCs w:val="18"/>
          <w:lang w:val="en-US"/>
        </w:rPr>
        <w:t xml:space="preserve"> </w:t>
      </w:r>
      <w:hyperlink r:id="rId5" w:history="1">
        <w:r w:rsidRPr="005B24B0">
          <w:rPr>
            <w:rFonts w:ascii="Segoe UI" w:hAnsi="Segoe UI" w:cs="Segoe UI"/>
            <w:sz w:val="18"/>
            <w:szCs w:val="18"/>
            <w:u w:val="single"/>
            <w:lang w:val="en-US"/>
          </w:rPr>
          <w:t>https://youtu.be/dZ1ucMh_cGs?si=Q-iWpNuNrxDJKbHO</w:t>
        </w:r>
      </w:hyperlink>
      <w:r w:rsidRPr="008B5631">
        <w:rPr>
          <w:rFonts w:ascii="Segoe UI" w:hAnsi="Segoe UI" w:cs="Segoe UI"/>
          <w:sz w:val="18"/>
          <w:szCs w:val="18"/>
          <w:lang w:val="en-US"/>
        </w:rPr>
        <w:t>. In Spanish; subtitles available in YouTube.</w:t>
      </w:r>
    </w:p>
  </w:footnote>
  <w:footnote w:id="6">
    <w:p w:rsidR="00720BCC" w:rsidRPr="008B5631" w:rsidRDefault="00720BCC" w:rsidP="00720BCC">
      <w:pPr>
        <w:pStyle w:val="FootnoteText"/>
        <w:rPr>
          <w:rFonts w:ascii="Segoe UI" w:hAnsi="Segoe UI" w:cs="Segoe UI"/>
          <w:sz w:val="18"/>
          <w:szCs w:val="18"/>
          <w:lang w:val="en-US"/>
        </w:rPr>
      </w:pPr>
      <w:r w:rsidRPr="008B5631">
        <w:rPr>
          <w:rFonts w:ascii="Segoe UI" w:hAnsi="Segoe UI" w:cs="Segoe UI"/>
          <w:sz w:val="18"/>
          <w:szCs w:val="18"/>
          <w:vertAlign w:val="superscript"/>
          <w:lang w:val="en-US"/>
        </w:rPr>
        <w:footnoteRef/>
      </w:r>
      <w:r w:rsidRPr="008B5631">
        <w:rPr>
          <w:rFonts w:ascii="Segoe UI" w:hAnsi="Segoe UI" w:cs="Segoe UI"/>
          <w:sz w:val="18"/>
          <w:szCs w:val="18"/>
          <w:lang w:val="en-US"/>
        </w:rPr>
        <w:t xml:space="preserve"> </w:t>
      </w:r>
      <w:hyperlink r:id="rId6" w:history="1">
        <w:r w:rsidRPr="005B24B0">
          <w:rPr>
            <w:rFonts w:ascii="Segoe UI" w:hAnsi="Segoe UI"/>
            <w:sz w:val="18"/>
            <w:szCs w:val="18"/>
            <w:u w:val="single"/>
            <w:lang w:val="en-US"/>
          </w:rPr>
          <w:t>https://youtu.be/wPgX0oWjHPs?si=F2e2ec7xA7rAXfO2</w:t>
        </w:r>
      </w:hyperlink>
      <w:r w:rsidRPr="008B5631">
        <w:rPr>
          <w:rFonts w:ascii="Segoe UI" w:hAnsi="Segoe UI" w:cs="Segoe UI"/>
          <w:sz w:val="18"/>
          <w:szCs w:val="18"/>
          <w:lang w:val="en-US"/>
        </w:rPr>
        <w:t>. In Spanish; no subtitles.</w:t>
      </w:r>
    </w:p>
    <w:p w:rsidR="00720BCC" w:rsidRPr="0033175B" w:rsidRDefault="00720BCC" w:rsidP="00720BCC">
      <w:pPr>
        <w:pStyle w:val="FootnoteText"/>
        <w:rPr>
          <w:rFonts w:cs="Arial"/>
          <w:lang w:val="en-US"/>
        </w:rPr>
      </w:pPr>
    </w:p>
    <w:p w:rsidR="00720BCC" w:rsidRPr="0033175B" w:rsidRDefault="00720BCC" w:rsidP="00720BCC">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76620"/>
    <w:multiLevelType w:val="hybridMultilevel"/>
    <w:tmpl w:val="58589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A839E2"/>
    <w:multiLevelType w:val="multilevel"/>
    <w:tmpl w:val="340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571"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revisionView w:markup="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BCC"/>
    <w:rsid w:val="00001684"/>
    <w:rsid w:val="00003354"/>
    <w:rsid w:val="00003DBB"/>
    <w:rsid w:val="00004F5D"/>
    <w:rsid w:val="000055E3"/>
    <w:rsid w:val="00006055"/>
    <w:rsid w:val="00016AC0"/>
    <w:rsid w:val="0002021D"/>
    <w:rsid w:val="000205B3"/>
    <w:rsid w:val="000209E0"/>
    <w:rsid w:val="00021188"/>
    <w:rsid w:val="000251DA"/>
    <w:rsid w:val="0002607D"/>
    <w:rsid w:val="00030676"/>
    <w:rsid w:val="00031C4D"/>
    <w:rsid w:val="000328B5"/>
    <w:rsid w:val="00033E06"/>
    <w:rsid w:val="00034736"/>
    <w:rsid w:val="00034A86"/>
    <w:rsid w:val="000355DF"/>
    <w:rsid w:val="0003574E"/>
    <w:rsid w:val="00041D01"/>
    <w:rsid w:val="00042482"/>
    <w:rsid w:val="000425A0"/>
    <w:rsid w:val="000455F6"/>
    <w:rsid w:val="00046EFC"/>
    <w:rsid w:val="0004749D"/>
    <w:rsid w:val="0005116F"/>
    <w:rsid w:val="00051172"/>
    <w:rsid w:val="00051E91"/>
    <w:rsid w:val="000530DD"/>
    <w:rsid w:val="000546B9"/>
    <w:rsid w:val="0005495A"/>
    <w:rsid w:val="00057183"/>
    <w:rsid w:val="000664D3"/>
    <w:rsid w:val="00067894"/>
    <w:rsid w:val="000717EF"/>
    <w:rsid w:val="0007424E"/>
    <w:rsid w:val="00074E84"/>
    <w:rsid w:val="00074EFC"/>
    <w:rsid w:val="00075D94"/>
    <w:rsid w:val="000768A8"/>
    <w:rsid w:val="00076A15"/>
    <w:rsid w:val="00077899"/>
    <w:rsid w:val="000779B3"/>
    <w:rsid w:val="0008454C"/>
    <w:rsid w:val="00085546"/>
    <w:rsid w:val="000859D8"/>
    <w:rsid w:val="00086D23"/>
    <w:rsid w:val="00091954"/>
    <w:rsid w:val="00095C0B"/>
    <w:rsid w:val="00097107"/>
    <w:rsid w:val="000978E0"/>
    <w:rsid w:val="00097ACE"/>
    <w:rsid w:val="000A052E"/>
    <w:rsid w:val="000A235D"/>
    <w:rsid w:val="000A3FA0"/>
    <w:rsid w:val="000B10F1"/>
    <w:rsid w:val="000B2BB6"/>
    <w:rsid w:val="000B2F33"/>
    <w:rsid w:val="000B689B"/>
    <w:rsid w:val="000B707E"/>
    <w:rsid w:val="000B7B91"/>
    <w:rsid w:val="000C17F8"/>
    <w:rsid w:val="000C2B04"/>
    <w:rsid w:val="000C6CAB"/>
    <w:rsid w:val="000D0760"/>
    <w:rsid w:val="000D25F2"/>
    <w:rsid w:val="000D3310"/>
    <w:rsid w:val="000D5A1D"/>
    <w:rsid w:val="000D6136"/>
    <w:rsid w:val="000D6D57"/>
    <w:rsid w:val="000D796D"/>
    <w:rsid w:val="000E0656"/>
    <w:rsid w:val="000E06BC"/>
    <w:rsid w:val="000E097B"/>
    <w:rsid w:val="000E47B7"/>
    <w:rsid w:val="000E4939"/>
    <w:rsid w:val="000E7093"/>
    <w:rsid w:val="000F10E5"/>
    <w:rsid w:val="000F33D7"/>
    <w:rsid w:val="000F6AA5"/>
    <w:rsid w:val="00100456"/>
    <w:rsid w:val="001009D9"/>
    <w:rsid w:val="00101BE4"/>
    <w:rsid w:val="00104AED"/>
    <w:rsid w:val="00105F6C"/>
    <w:rsid w:val="0010692D"/>
    <w:rsid w:val="00106C0C"/>
    <w:rsid w:val="0011131E"/>
    <w:rsid w:val="0011250E"/>
    <w:rsid w:val="00112803"/>
    <w:rsid w:val="001150D2"/>
    <w:rsid w:val="00120999"/>
    <w:rsid w:val="001210F6"/>
    <w:rsid w:val="00121CB9"/>
    <w:rsid w:val="00125606"/>
    <w:rsid w:val="00125AE3"/>
    <w:rsid w:val="00126052"/>
    <w:rsid w:val="00126A64"/>
    <w:rsid w:val="001329A0"/>
    <w:rsid w:val="00133ACA"/>
    <w:rsid w:val="00134857"/>
    <w:rsid w:val="00135223"/>
    <w:rsid w:val="00141048"/>
    <w:rsid w:val="00141A5C"/>
    <w:rsid w:val="00142973"/>
    <w:rsid w:val="00143079"/>
    <w:rsid w:val="00143148"/>
    <w:rsid w:val="001475BE"/>
    <w:rsid w:val="00153DC1"/>
    <w:rsid w:val="001541A2"/>
    <w:rsid w:val="001541EC"/>
    <w:rsid w:val="00154AE7"/>
    <w:rsid w:val="00157196"/>
    <w:rsid w:val="001573B7"/>
    <w:rsid w:val="00161BDD"/>
    <w:rsid w:val="0016262F"/>
    <w:rsid w:val="00163FE5"/>
    <w:rsid w:val="0016401B"/>
    <w:rsid w:val="00170B3E"/>
    <w:rsid w:val="00173CD7"/>
    <w:rsid w:val="0017605A"/>
    <w:rsid w:val="0017619C"/>
    <w:rsid w:val="00180B0A"/>
    <w:rsid w:val="00181562"/>
    <w:rsid w:val="00182000"/>
    <w:rsid w:val="00182708"/>
    <w:rsid w:val="00185A5F"/>
    <w:rsid w:val="00185EC7"/>
    <w:rsid w:val="00186DA8"/>
    <w:rsid w:val="0019247A"/>
    <w:rsid w:val="001940D5"/>
    <w:rsid w:val="00194414"/>
    <w:rsid w:val="001944AB"/>
    <w:rsid w:val="001966A5"/>
    <w:rsid w:val="00197B9D"/>
    <w:rsid w:val="001A0C5F"/>
    <w:rsid w:val="001A1374"/>
    <w:rsid w:val="001A294F"/>
    <w:rsid w:val="001B03BB"/>
    <w:rsid w:val="001B0678"/>
    <w:rsid w:val="001B1580"/>
    <w:rsid w:val="001B261F"/>
    <w:rsid w:val="001B272C"/>
    <w:rsid w:val="001B2CD5"/>
    <w:rsid w:val="001B3140"/>
    <w:rsid w:val="001B435A"/>
    <w:rsid w:val="001B4C31"/>
    <w:rsid w:val="001B6F47"/>
    <w:rsid w:val="001C0272"/>
    <w:rsid w:val="001C08CC"/>
    <w:rsid w:val="001C4E25"/>
    <w:rsid w:val="001C570F"/>
    <w:rsid w:val="001D53DA"/>
    <w:rsid w:val="001D72DC"/>
    <w:rsid w:val="001D774A"/>
    <w:rsid w:val="001E5543"/>
    <w:rsid w:val="001E6E88"/>
    <w:rsid w:val="001E773B"/>
    <w:rsid w:val="001F0A15"/>
    <w:rsid w:val="001F342B"/>
    <w:rsid w:val="001F3840"/>
    <w:rsid w:val="001F536F"/>
    <w:rsid w:val="001F73A8"/>
    <w:rsid w:val="00201811"/>
    <w:rsid w:val="002046BB"/>
    <w:rsid w:val="00206125"/>
    <w:rsid w:val="0020796F"/>
    <w:rsid w:val="002079AD"/>
    <w:rsid w:val="00212793"/>
    <w:rsid w:val="00214BFA"/>
    <w:rsid w:val="00214F65"/>
    <w:rsid w:val="00220A54"/>
    <w:rsid w:val="00221806"/>
    <w:rsid w:val="00223B78"/>
    <w:rsid w:val="0022742C"/>
    <w:rsid w:val="00230D55"/>
    <w:rsid w:val="00230E70"/>
    <w:rsid w:val="00232430"/>
    <w:rsid w:val="00233000"/>
    <w:rsid w:val="0023335B"/>
    <w:rsid w:val="002340E0"/>
    <w:rsid w:val="00234C13"/>
    <w:rsid w:val="002357A8"/>
    <w:rsid w:val="0023591A"/>
    <w:rsid w:val="00236D01"/>
    <w:rsid w:val="00237AEB"/>
    <w:rsid w:val="00240D45"/>
    <w:rsid w:val="00241A76"/>
    <w:rsid w:val="00244D89"/>
    <w:rsid w:val="00245019"/>
    <w:rsid w:val="00246ADC"/>
    <w:rsid w:val="0024754B"/>
    <w:rsid w:val="00252C56"/>
    <w:rsid w:val="002531E6"/>
    <w:rsid w:val="00254606"/>
    <w:rsid w:val="00254D52"/>
    <w:rsid w:val="00255DE5"/>
    <w:rsid w:val="0025784B"/>
    <w:rsid w:val="00257E6E"/>
    <w:rsid w:val="00260955"/>
    <w:rsid w:val="00261F06"/>
    <w:rsid w:val="0026217B"/>
    <w:rsid w:val="00267F42"/>
    <w:rsid w:val="0027337D"/>
    <w:rsid w:val="00273B8E"/>
    <w:rsid w:val="00274442"/>
    <w:rsid w:val="00274F85"/>
    <w:rsid w:val="002756A4"/>
    <w:rsid w:val="0028126B"/>
    <w:rsid w:val="00281662"/>
    <w:rsid w:val="00282C35"/>
    <w:rsid w:val="00285618"/>
    <w:rsid w:val="00285BCC"/>
    <w:rsid w:val="00287627"/>
    <w:rsid w:val="00290BF3"/>
    <w:rsid w:val="00290C47"/>
    <w:rsid w:val="00292BE7"/>
    <w:rsid w:val="0029322A"/>
    <w:rsid w:val="00294728"/>
    <w:rsid w:val="00295801"/>
    <w:rsid w:val="0029607B"/>
    <w:rsid w:val="00296641"/>
    <w:rsid w:val="00296D9D"/>
    <w:rsid w:val="00297372"/>
    <w:rsid w:val="002A2D5F"/>
    <w:rsid w:val="002A6F79"/>
    <w:rsid w:val="002A7259"/>
    <w:rsid w:val="002B0B28"/>
    <w:rsid w:val="002B0E25"/>
    <w:rsid w:val="002B20C8"/>
    <w:rsid w:val="002B23A1"/>
    <w:rsid w:val="002B3575"/>
    <w:rsid w:val="002B54C4"/>
    <w:rsid w:val="002C0558"/>
    <w:rsid w:val="002C09AB"/>
    <w:rsid w:val="002C0A7E"/>
    <w:rsid w:val="002C2DBF"/>
    <w:rsid w:val="002C3900"/>
    <w:rsid w:val="002C57B7"/>
    <w:rsid w:val="002C6C9D"/>
    <w:rsid w:val="002D757A"/>
    <w:rsid w:val="002E0E88"/>
    <w:rsid w:val="002E1D6F"/>
    <w:rsid w:val="002E3D9A"/>
    <w:rsid w:val="002E442C"/>
    <w:rsid w:val="002F1996"/>
    <w:rsid w:val="002F29F7"/>
    <w:rsid w:val="002F36D5"/>
    <w:rsid w:val="002F3E08"/>
    <w:rsid w:val="002F40E8"/>
    <w:rsid w:val="002F4945"/>
    <w:rsid w:val="002F60F7"/>
    <w:rsid w:val="002F6A10"/>
    <w:rsid w:val="002F7866"/>
    <w:rsid w:val="00301A69"/>
    <w:rsid w:val="0030492F"/>
    <w:rsid w:val="00305599"/>
    <w:rsid w:val="0030589A"/>
    <w:rsid w:val="0030750C"/>
    <w:rsid w:val="00307599"/>
    <w:rsid w:val="00310075"/>
    <w:rsid w:val="003148E9"/>
    <w:rsid w:val="00315016"/>
    <w:rsid w:val="00315B4D"/>
    <w:rsid w:val="00316362"/>
    <w:rsid w:val="00320EF4"/>
    <w:rsid w:val="00321EFA"/>
    <w:rsid w:val="0032270E"/>
    <w:rsid w:val="00323422"/>
    <w:rsid w:val="00324DA3"/>
    <w:rsid w:val="00325DC3"/>
    <w:rsid w:val="00330F95"/>
    <w:rsid w:val="00331BCB"/>
    <w:rsid w:val="00333C76"/>
    <w:rsid w:val="003340D4"/>
    <w:rsid w:val="00334E0A"/>
    <w:rsid w:val="00335ED6"/>
    <w:rsid w:val="003367D1"/>
    <w:rsid w:val="00342A67"/>
    <w:rsid w:val="00342B55"/>
    <w:rsid w:val="00344651"/>
    <w:rsid w:val="00344FF9"/>
    <w:rsid w:val="0035034A"/>
    <w:rsid w:val="00350663"/>
    <w:rsid w:val="00350D63"/>
    <w:rsid w:val="00351147"/>
    <w:rsid w:val="00352055"/>
    <w:rsid w:val="003524EE"/>
    <w:rsid w:val="00352674"/>
    <w:rsid w:val="00354408"/>
    <w:rsid w:val="003551ED"/>
    <w:rsid w:val="00361334"/>
    <w:rsid w:val="003617C5"/>
    <w:rsid w:val="003632DC"/>
    <w:rsid w:val="00364E36"/>
    <w:rsid w:val="003655CA"/>
    <w:rsid w:val="00365BF2"/>
    <w:rsid w:val="0037017E"/>
    <w:rsid w:val="0037198F"/>
    <w:rsid w:val="00372F23"/>
    <w:rsid w:val="00373376"/>
    <w:rsid w:val="003745F1"/>
    <w:rsid w:val="00374DC2"/>
    <w:rsid w:val="00375DBB"/>
    <w:rsid w:val="00381810"/>
    <w:rsid w:val="00381E52"/>
    <w:rsid w:val="00382A30"/>
    <w:rsid w:val="00382C5C"/>
    <w:rsid w:val="003847FD"/>
    <w:rsid w:val="00386FF0"/>
    <w:rsid w:val="00390F6E"/>
    <w:rsid w:val="00395B13"/>
    <w:rsid w:val="003A1FA3"/>
    <w:rsid w:val="003A2C30"/>
    <w:rsid w:val="003A6601"/>
    <w:rsid w:val="003B1ACE"/>
    <w:rsid w:val="003B348D"/>
    <w:rsid w:val="003B4505"/>
    <w:rsid w:val="003B4B49"/>
    <w:rsid w:val="003B68DE"/>
    <w:rsid w:val="003C0EDC"/>
    <w:rsid w:val="003C1FFB"/>
    <w:rsid w:val="003C45BE"/>
    <w:rsid w:val="003D14BB"/>
    <w:rsid w:val="003D5630"/>
    <w:rsid w:val="003D6A37"/>
    <w:rsid w:val="003E375F"/>
    <w:rsid w:val="003E4C44"/>
    <w:rsid w:val="003E4D01"/>
    <w:rsid w:val="003E4DF4"/>
    <w:rsid w:val="003E5A2C"/>
    <w:rsid w:val="003E74BE"/>
    <w:rsid w:val="003F0C7B"/>
    <w:rsid w:val="003F0E85"/>
    <w:rsid w:val="003F1AFD"/>
    <w:rsid w:val="003F2B4A"/>
    <w:rsid w:val="003F324B"/>
    <w:rsid w:val="003F4448"/>
    <w:rsid w:val="003F675B"/>
    <w:rsid w:val="003F6ABC"/>
    <w:rsid w:val="00400843"/>
    <w:rsid w:val="00401C91"/>
    <w:rsid w:val="004020AE"/>
    <w:rsid w:val="00402DF7"/>
    <w:rsid w:val="00405781"/>
    <w:rsid w:val="00415196"/>
    <w:rsid w:val="004220D7"/>
    <w:rsid w:val="00423704"/>
    <w:rsid w:val="00423907"/>
    <w:rsid w:val="00423B63"/>
    <w:rsid w:val="00426831"/>
    <w:rsid w:val="00426D15"/>
    <w:rsid w:val="004276B8"/>
    <w:rsid w:val="00430ACF"/>
    <w:rsid w:val="00433CFB"/>
    <w:rsid w:val="0043426A"/>
    <w:rsid w:val="00435B49"/>
    <w:rsid w:val="00436829"/>
    <w:rsid w:val="004426BB"/>
    <w:rsid w:val="004431F0"/>
    <w:rsid w:val="00443A16"/>
    <w:rsid w:val="004444A1"/>
    <w:rsid w:val="00445EA6"/>
    <w:rsid w:val="00446639"/>
    <w:rsid w:val="004479D9"/>
    <w:rsid w:val="00451E00"/>
    <w:rsid w:val="00451E18"/>
    <w:rsid w:val="00452A6E"/>
    <w:rsid w:val="004533DB"/>
    <w:rsid w:val="0045402F"/>
    <w:rsid w:val="00456179"/>
    <w:rsid w:val="00456AC7"/>
    <w:rsid w:val="00462972"/>
    <w:rsid w:val="004652E1"/>
    <w:rsid w:val="004656FE"/>
    <w:rsid w:val="004660C9"/>
    <w:rsid w:val="00466ACD"/>
    <w:rsid w:val="004679B4"/>
    <w:rsid w:val="00467B0D"/>
    <w:rsid w:val="004701FD"/>
    <w:rsid w:val="004714E6"/>
    <w:rsid w:val="004715FF"/>
    <w:rsid w:val="00472D5B"/>
    <w:rsid w:val="004759AD"/>
    <w:rsid w:val="00476DB3"/>
    <w:rsid w:val="00480012"/>
    <w:rsid w:val="00481FEB"/>
    <w:rsid w:val="00494986"/>
    <w:rsid w:val="004A244B"/>
    <w:rsid w:val="004A2CA9"/>
    <w:rsid w:val="004A47D5"/>
    <w:rsid w:val="004A6B79"/>
    <w:rsid w:val="004B12CB"/>
    <w:rsid w:val="004B3742"/>
    <w:rsid w:val="004B46A2"/>
    <w:rsid w:val="004B4B3B"/>
    <w:rsid w:val="004B7635"/>
    <w:rsid w:val="004C3800"/>
    <w:rsid w:val="004C5EBD"/>
    <w:rsid w:val="004C6322"/>
    <w:rsid w:val="004C72D7"/>
    <w:rsid w:val="004D062D"/>
    <w:rsid w:val="004D15CD"/>
    <w:rsid w:val="004D312B"/>
    <w:rsid w:val="004D42F6"/>
    <w:rsid w:val="004D67CA"/>
    <w:rsid w:val="004D67E7"/>
    <w:rsid w:val="004D7C8C"/>
    <w:rsid w:val="004E17BA"/>
    <w:rsid w:val="004E1829"/>
    <w:rsid w:val="004E2BF4"/>
    <w:rsid w:val="004E3D52"/>
    <w:rsid w:val="004E52F2"/>
    <w:rsid w:val="004E5E63"/>
    <w:rsid w:val="004E6934"/>
    <w:rsid w:val="004E7626"/>
    <w:rsid w:val="004F0B47"/>
    <w:rsid w:val="004F48CF"/>
    <w:rsid w:val="004F4DEA"/>
    <w:rsid w:val="004F57D4"/>
    <w:rsid w:val="004F600A"/>
    <w:rsid w:val="004F6B24"/>
    <w:rsid w:val="004F768F"/>
    <w:rsid w:val="005006C6"/>
    <w:rsid w:val="00500946"/>
    <w:rsid w:val="00501821"/>
    <w:rsid w:val="005031F1"/>
    <w:rsid w:val="00510B40"/>
    <w:rsid w:val="00511A53"/>
    <w:rsid w:val="00512577"/>
    <w:rsid w:val="00512601"/>
    <w:rsid w:val="005171FF"/>
    <w:rsid w:val="0052213D"/>
    <w:rsid w:val="0052270E"/>
    <w:rsid w:val="00523D2F"/>
    <w:rsid w:val="005250A4"/>
    <w:rsid w:val="00525DCD"/>
    <w:rsid w:val="00526E65"/>
    <w:rsid w:val="00533BCC"/>
    <w:rsid w:val="00537746"/>
    <w:rsid w:val="00537D39"/>
    <w:rsid w:val="005403BA"/>
    <w:rsid w:val="00542B56"/>
    <w:rsid w:val="00543FF6"/>
    <w:rsid w:val="00546A43"/>
    <w:rsid w:val="00550E6C"/>
    <w:rsid w:val="00552875"/>
    <w:rsid w:val="00553D43"/>
    <w:rsid w:val="00563638"/>
    <w:rsid w:val="00564296"/>
    <w:rsid w:val="00567F21"/>
    <w:rsid w:val="005705ED"/>
    <w:rsid w:val="0057084F"/>
    <w:rsid w:val="00572046"/>
    <w:rsid w:val="0057499C"/>
    <w:rsid w:val="0057533E"/>
    <w:rsid w:val="0058380B"/>
    <w:rsid w:val="005847ED"/>
    <w:rsid w:val="00584CBB"/>
    <w:rsid w:val="00585040"/>
    <w:rsid w:val="00585DBE"/>
    <w:rsid w:val="005923E3"/>
    <w:rsid w:val="005928C3"/>
    <w:rsid w:val="00592EC5"/>
    <w:rsid w:val="0059374B"/>
    <w:rsid w:val="005965E8"/>
    <w:rsid w:val="00596CDB"/>
    <w:rsid w:val="005A0474"/>
    <w:rsid w:val="005A14AD"/>
    <w:rsid w:val="005A17DD"/>
    <w:rsid w:val="005A4DA6"/>
    <w:rsid w:val="005A552B"/>
    <w:rsid w:val="005A5692"/>
    <w:rsid w:val="005A5B87"/>
    <w:rsid w:val="005B1460"/>
    <w:rsid w:val="005B20E8"/>
    <w:rsid w:val="005B35AB"/>
    <w:rsid w:val="005C2B76"/>
    <w:rsid w:val="005C3BB7"/>
    <w:rsid w:val="005C5A46"/>
    <w:rsid w:val="005C715A"/>
    <w:rsid w:val="005D02B6"/>
    <w:rsid w:val="005D0DE8"/>
    <w:rsid w:val="005D2558"/>
    <w:rsid w:val="005D3BBB"/>
    <w:rsid w:val="005D5772"/>
    <w:rsid w:val="005D5B6C"/>
    <w:rsid w:val="005D6BFC"/>
    <w:rsid w:val="005E2550"/>
    <w:rsid w:val="005E488F"/>
    <w:rsid w:val="005E5B5E"/>
    <w:rsid w:val="005E6858"/>
    <w:rsid w:val="005E6D72"/>
    <w:rsid w:val="005F0371"/>
    <w:rsid w:val="005F1760"/>
    <w:rsid w:val="005F247A"/>
    <w:rsid w:val="005F3628"/>
    <w:rsid w:val="005F4661"/>
    <w:rsid w:val="005F4A53"/>
    <w:rsid w:val="005F4FA7"/>
    <w:rsid w:val="005F669E"/>
    <w:rsid w:val="005F73A9"/>
    <w:rsid w:val="0060120B"/>
    <w:rsid w:val="00601881"/>
    <w:rsid w:val="00601E61"/>
    <w:rsid w:val="00606ABA"/>
    <w:rsid w:val="00606BED"/>
    <w:rsid w:val="00607DE5"/>
    <w:rsid w:val="0061383F"/>
    <w:rsid w:val="006211AE"/>
    <w:rsid w:val="006226C7"/>
    <w:rsid w:val="006227E5"/>
    <w:rsid w:val="00622A37"/>
    <w:rsid w:val="00622D87"/>
    <w:rsid w:val="00622E28"/>
    <w:rsid w:val="006234E7"/>
    <w:rsid w:val="00623622"/>
    <w:rsid w:val="00624B4F"/>
    <w:rsid w:val="0062511E"/>
    <w:rsid w:val="00630A62"/>
    <w:rsid w:val="0063193B"/>
    <w:rsid w:val="006367A4"/>
    <w:rsid w:val="00637958"/>
    <w:rsid w:val="00640E1D"/>
    <w:rsid w:val="006445D6"/>
    <w:rsid w:val="00644B79"/>
    <w:rsid w:val="00644DFD"/>
    <w:rsid w:val="006474EF"/>
    <w:rsid w:val="00650D68"/>
    <w:rsid w:val="00651D3F"/>
    <w:rsid w:val="00657DAC"/>
    <w:rsid w:val="00662312"/>
    <w:rsid w:val="00663375"/>
    <w:rsid w:val="00664D8D"/>
    <w:rsid w:val="00666A3A"/>
    <w:rsid w:val="0066780C"/>
    <w:rsid w:val="006707C1"/>
    <w:rsid w:val="00672C8F"/>
    <w:rsid w:val="00676370"/>
    <w:rsid w:val="006772A0"/>
    <w:rsid w:val="0068174F"/>
    <w:rsid w:val="00683440"/>
    <w:rsid w:val="00684B54"/>
    <w:rsid w:val="006852AF"/>
    <w:rsid w:val="00690D0E"/>
    <w:rsid w:val="00693F22"/>
    <w:rsid w:val="006A20B1"/>
    <w:rsid w:val="006A3679"/>
    <w:rsid w:val="006A3F10"/>
    <w:rsid w:val="006A487E"/>
    <w:rsid w:val="006A5454"/>
    <w:rsid w:val="006A6837"/>
    <w:rsid w:val="006B0225"/>
    <w:rsid w:val="006B10F5"/>
    <w:rsid w:val="006B1943"/>
    <w:rsid w:val="006B365E"/>
    <w:rsid w:val="006B55E6"/>
    <w:rsid w:val="006B6AD8"/>
    <w:rsid w:val="006B716B"/>
    <w:rsid w:val="006B79D7"/>
    <w:rsid w:val="006C059E"/>
    <w:rsid w:val="006C1544"/>
    <w:rsid w:val="006C1977"/>
    <w:rsid w:val="006C4C3A"/>
    <w:rsid w:val="006D0713"/>
    <w:rsid w:val="006D46C6"/>
    <w:rsid w:val="006D579B"/>
    <w:rsid w:val="006D5837"/>
    <w:rsid w:val="006D5B5F"/>
    <w:rsid w:val="006D6F67"/>
    <w:rsid w:val="006D7CC1"/>
    <w:rsid w:val="006D7F98"/>
    <w:rsid w:val="006E42CD"/>
    <w:rsid w:val="006E4B95"/>
    <w:rsid w:val="006E583E"/>
    <w:rsid w:val="006E6BBE"/>
    <w:rsid w:val="006E72DC"/>
    <w:rsid w:val="006F0914"/>
    <w:rsid w:val="006F3488"/>
    <w:rsid w:val="006F5800"/>
    <w:rsid w:val="006F6CD8"/>
    <w:rsid w:val="006F7338"/>
    <w:rsid w:val="006F7539"/>
    <w:rsid w:val="006F772C"/>
    <w:rsid w:val="006F7BC3"/>
    <w:rsid w:val="0070076B"/>
    <w:rsid w:val="00702834"/>
    <w:rsid w:val="007033FB"/>
    <w:rsid w:val="00703FA1"/>
    <w:rsid w:val="007056A7"/>
    <w:rsid w:val="00706137"/>
    <w:rsid w:val="00706E0D"/>
    <w:rsid w:val="00707FAC"/>
    <w:rsid w:val="00714011"/>
    <w:rsid w:val="00715059"/>
    <w:rsid w:val="00715B6B"/>
    <w:rsid w:val="00720BCC"/>
    <w:rsid w:val="00721252"/>
    <w:rsid w:val="00724AEB"/>
    <w:rsid w:val="00724F3B"/>
    <w:rsid w:val="0072551D"/>
    <w:rsid w:val="0073360D"/>
    <w:rsid w:val="00735D3E"/>
    <w:rsid w:val="00736D5C"/>
    <w:rsid w:val="007415ED"/>
    <w:rsid w:val="00742572"/>
    <w:rsid w:val="00742E90"/>
    <w:rsid w:val="00742FD4"/>
    <w:rsid w:val="00743DCF"/>
    <w:rsid w:val="007443D3"/>
    <w:rsid w:val="00744489"/>
    <w:rsid w:val="00746187"/>
    <w:rsid w:val="00746673"/>
    <w:rsid w:val="00747595"/>
    <w:rsid w:val="00750BF4"/>
    <w:rsid w:val="00750EDB"/>
    <w:rsid w:val="00750EFE"/>
    <w:rsid w:val="00750F06"/>
    <w:rsid w:val="00751024"/>
    <w:rsid w:val="00751029"/>
    <w:rsid w:val="00752910"/>
    <w:rsid w:val="00752C73"/>
    <w:rsid w:val="00753678"/>
    <w:rsid w:val="00755BDA"/>
    <w:rsid w:val="00761D66"/>
    <w:rsid w:val="00762D09"/>
    <w:rsid w:val="00763B54"/>
    <w:rsid w:val="007650BD"/>
    <w:rsid w:val="00765203"/>
    <w:rsid w:val="00767C78"/>
    <w:rsid w:val="0077099C"/>
    <w:rsid w:val="00772EBB"/>
    <w:rsid w:val="007771A5"/>
    <w:rsid w:val="00780895"/>
    <w:rsid w:val="00781F00"/>
    <w:rsid w:val="007830EC"/>
    <w:rsid w:val="00783D79"/>
    <w:rsid w:val="0078512A"/>
    <w:rsid w:val="00785D5A"/>
    <w:rsid w:val="00785EEA"/>
    <w:rsid w:val="00785F16"/>
    <w:rsid w:val="00787EA8"/>
    <w:rsid w:val="007906D3"/>
    <w:rsid w:val="007918ED"/>
    <w:rsid w:val="00791AC6"/>
    <w:rsid w:val="007953EC"/>
    <w:rsid w:val="00795B06"/>
    <w:rsid w:val="0079602B"/>
    <w:rsid w:val="0079762F"/>
    <w:rsid w:val="007A336C"/>
    <w:rsid w:val="007A5564"/>
    <w:rsid w:val="007A5AFE"/>
    <w:rsid w:val="007B13D8"/>
    <w:rsid w:val="007B150F"/>
    <w:rsid w:val="007B1D08"/>
    <w:rsid w:val="007B4402"/>
    <w:rsid w:val="007B4BBF"/>
    <w:rsid w:val="007B6BFB"/>
    <w:rsid w:val="007C216E"/>
    <w:rsid w:val="007C3948"/>
    <w:rsid w:val="007C43B8"/>
    <w:rsid w:val="007C5503"/>
    <w:rsid w:val="007C621A"/>
    <w:rsid w:val="007D2337"/>
    <w:rsid w:val="007D2C4B"/>
    <w:rsid w:val="007D50E4"/>
    <w:rsid w:val="007D5562"/>
    <w:rsid w:val="007D66E3"/>
    <w:rsid w:val="007D71FA"/>
    <w:rsid w:val="007E0A4B"/>
    <w:rsid w:val="007E0A4F"/>
    <w:rsid w:val="007E41A3"/>
    <w:rsid w:val="007E49DE"/>
    <w:rsid w:val="007F19A7"/>
    <w:rsid w:val="007F347F"/>
    <w:rsid w:val="007F51FD"/>
    <w:rsid w:val="007F730D"/>
    <w:rsid w:val="00803E22"/>
    <w:rsid w:val="008077AE"/>
    <w:rsid w:val="0081568D"/>
    <w:rsid w:val="00817A00"/>
    <w:rsid w:val="008213C2"/>
    <w:rsid w:val="00822EAF"/>
    <w:rsid w:val="008233D3"/>
    <w:rsid w:val="008235A6"/>
    <w:rsid w:val="00823998"/>
    <w:rsid w:val="00824317"/>
    <w:rsid w:val="00824EC3"/>
    <w:rsid w:val="008254BD"/>
    <w:rsid w:val="00825700"/>
    <w:rsid w:val="00825A96"/>
    <w:rsid w:val="00827011"/>
    <w:rsid w:val="008272AC"/>
    <w:rsid w:val="008328FA"/>
    <w:rsid w:val="008331DA"/>
    <w:rsid w:val="00834500"/>
    <w:rsid w:val="00835817"/>
    <w:rsid w:val="0083708C"/>
    <w:rsid w:val="00837143"/>
    <w:rsid w:val="00841E36"/>
    <w:rsid w:val="00847356"/>
    <w:rsid w:val="00850703"/>
    <w:rsid w:val="008511B9"/>
    <w:rsid w:val="00851880"/>
    <w:rsid w:val="0085285B"/>
    <w:rsid w:val="008569CE"/>
    <w:rsid w:val="008572F6"/>
    <w:rsid w:val="00857EC7"/>
    <w:rsid w:val="00857EE4"/>
    <w:rsid w:val="0086079D"/>
    <w:rsid w:val="0086092D"/>
    <w:rsid w:val="008627CC"/>
    <w:rsid w:val="00864A2D"/>
    <w:rsid w:val="0086533B"/>
    <w:rsid w:val="008653E8"/>
    <w:rsid w:val="0086648C"/>
    <w:rsid w:val="00867541"/>
    <w:rsid w:val="00873692"/>
    <w:rsid w:val="008807CE"/>
    <w:rsid w:val="00881AAC"/>
    <w:rsid w:val="0088254E"/>
    <w:rsid w:val="00883AD1"/>
    <w:rsid w:val="008849B1"/>
    <w:rsid w:val="00885A96"/>
    <w:rsid w:val="00885D69"/>
    <w:rsid w:val="008903B7"/>
    <w:rsid w:val="00891E92"/>
    <w:rsid w:val="008921B0"/>
    <w:rsid w:val="0089346B"/>
    <w:rsid w:val="00893556"/>
    <w:rsid w:val="00893914"/>
    <w:rsid w:val="0089605D"/>
    <w:rsid w:val="0089756F"/>
    <w:rsid w:val="008A272D"/>
    <w:rsid w:val="008A6399"/>
    <w:rsid w:val="008A64B6"/>
    <w:rsid w:val="008A732F"/>
    <w:rsid w:val="008B1167"/>
    <w:rsid w:val="008B4651"/>
    <w:rsid w:val="008B4A6C"/>
    <w:rsid w:val="008B5512"/>
    <w:rsid w:val="008B5E01"/>
    <w:rsid w:val="008B7996"/>
    <w:rsid w:val="008C0241"/>
    <w:rsid w:val="008C16E4"/>
    <w:rsid w:val="008C2249"/>
    <w:rsid w:val="008C2AA9"/>
    <w:rsid w:val="008C38D6"/>
    <w:rsid w:val="008C44F7"/>
    <w:rsid w:val="008C4E18"/>
    <w:rsid w:val="008C5801"/>
    <w:rsid w:val="008C5DF6"/>
    <w:rsid w:val="008C602D"/>
    <w:rsid w:val="008D153A"/>
    <w:rsid w:val="008D15AE"/>
    <w:rsid w:val="008D2927"/>
    <w:rsid w:val="008D59EB"/>
    <w:rsid w:val="008D7926"/>
    <w:rsid w:val="008E0860"/>
    <w:rsid w:val="008E0E66"/>
    <w:rsid w:val="008E1743"/>
    <w:rsid w:val="008E19DB"/>
    <w:rsid w:val="008E3A6E"/>
    <w:rsid w:val="008E3AD5"/>
    <w:rsid w:val="008E4362"/>
    <w:rsid w:val="008E4CDE"/>
    <w:rsid w:val="008E543A"/>
    <w:rsid w:val="008F38E9"/>
    <w:rsid w:val="008F5AF5"/>
    <w:rsid w:val="008F7D98"/>
    <w:rsid w:val="00902561"/>
    <w:rsid w:val="00903218"/>
    <w:rsid w:val="00905505"/>
    <w:rsid w:val="0091102F"/>
    <w:rsid w:val="00911A17"/>
    <w:rsid w:val="00911BE7"/>
    <w:rsid w:val="0091204D"/>
    <w:rsid w:val="009124E2"/>
    <w:rsid w:val="00914905"/>
    <w:rsid w:val="0091606B"/>
    <w:rsid w:val="009238BA"/>
    <w:rsid w:val="009240C4"/>
    <w:rsid w:val="009241BE"/>
    <w:rsid w:val="00925020"/>
    <w:rsid w:val="009256F9"/>
    <w:rsid w:val="00926C4F"/>
    <w:rsid w:val="009313FB"/>
    <w:rsid w:val="00931FE1"/>
    <w:rsid w:val="0093335B"/>
    <w:rsid w:val="009335BE"/>
    <w:rsid w:val="0093542E"/>
    <w:rsid w:val="009362BE"/>
    <w:rsid w:val="00936B47"/>
    <w:rsid w:val="00936BBB"/>
    <w:rsid w:val="009373E8"/>
    <w:rsid w:val="0093744B"/>
    <w:rsid w:val="009409F7"/>
    <w:rsid w:val="00940D56"/>
    <w:rsid w:val="009428FD"/>
    <w:rsid w:val="00944253"/>
    <w:rsid w:val="00944757"/>
    <w:rsid w:val="00950CB0"/>
    <w:rsid w:val="00952445"/>
    <w:rsid w:val="00952861"/>
    <w:rsid w:val="00952EF7"/>
    <w:rsid w:val="0095379C"/>
    <w:rsid w:val="009551D5"/>
    <w:rsid w:val="00957228"/>
    <w:rsid w:val="00957475"/>
    <w:rsid w:val="00962183"/>
    <w:rsid w:val="00962BCB"/>
    <w:rsid w:val="009630D2"/>
    <w:rsid w:val="009662CA"/>
    <w:rsid w:val="00967323"/>
    <w:rsid w:val="00972868"/>
    <w:rsid w:val="0097504D"/>
    <w:rsid w:val="00975FDD"/>
    <w:rsid w:val="00976BB7"/>
    <w:rsid w:val="009800D0"/>
    <w:rsid w:val="009811C2"/>
    <w:rsid w:val="0098667F"/>
    <w:rsid w:val="00992113"/>
    <w:rsid w:val="0099265B"/>
    <w:rsid w:val="009930D6"/>
    <w:rsid w:val="0099373E"/>
    <w:rsid w:val="00995F86"/>
    <w:rsid w:val="00995F92"/>
    <w:rsid w:val="00996317"/>
    <w:rsid w:val="009A066F"/>
    <w:rsid w:val="009A418A"/>
    <w:rsid w:val="009A43A3"/>
    <w:rsid w:val="009B0AE8"/>
    <w:rsid w:val="009B0ED2"/>
    <w:rsid w:val="009B0F28"/>
    <w:rsid w:val="009B1161"/>
    <w:rsid w:val="009B1886"/>
    <w:rsid w:val="009B5FE8"/>
    <w:rsid w:val="009B658F"/>
    <w:rsid w:val="009B75E7"/>
    <w:rsid w:val="009C1101"/>
    <w:rsid w:val="009C2715"/>
    <w:rsid w:val="009C34F6"/>
    <w:rsid w:val="009C37E3"/>
    <w:rsid w:val="009C67C3"/>
    <w:rsid w:val="009C7AA1"/>
    <w:rsid w:val="009D20B9"/>
    <w:rsid w:val="009D5878"/>
    <w:rsid w:val="009D64F8"/>
    <w:rsid w:val="009D6980"/>
    <w:rsid w:val="009E0D68"/>
    <w:rsid w:val="009E1B1C"/>
    <w:rsid w:val="009E4F9D"/>
    <w:rsid w:val="009E612E"/>
    <w:rsid w:val="009E779D"/>
    <w:rsid w:val="009E7E67"/>
    <w:rsid w:val="009F3EBB"/>
    <w:rsid w:val="009F582B"/>
    <w:rsid w:val="009F6730"/>
    <w:rsid w:val="009F6DB1"/>
    <w:rsid w:val="009F7825"/>
    <w:rsid w:val="00A03DE5"/>
    <w:rsid w:val="00A04043"/>
    <w:rsid w:val="00A0558C"/>
    <w:rsid w:val="00A075F5"/>
    <w:rsid w:val="00A0771B"/>
    <w:rsid w:val="00A07E3A"/>
    <w:rsid w:val="00A12EDB"/>
    <w:rsid w:val="00A1586C"/>
    <w:rsid w:val="00A23846"/>
    <w:rsid w:val="00A23992"/>
    <w:rsid w:val="00A23DA0"/>
    <w:rsid w:val="00A2402F"/>
    <w:rsid w:val="00A252E9"/>
    <w:rsid w:val="00A26DE9"/>
    <w:rsid w:val="00A27B57"/>
    <w:rsid w:val="00A27B9F"/>
    <w:rsid w:val="00A304AF"/>
    <w:rsid w:val="00A31F68"/>
    <w:rsid w:val="00A335AD"/>
    <w:rsid w:val="00A34B94"/>
    <w:rsid w:val="00A35E5F"/>
    <w:rsid w:val="00A3712E"/>
    <w:rsid w:val="00A40F8A"/>
    <w:rsid w:val="00A42684"/>
    <w:rsid w:val="00A43466"/>
    <w:rsid w:val="00A446F8"/>
    <w:rsid w:val="00A44D9D"/>
    <w:rsid w:val="00A44E9D"/>
    <w:rsid w:val="00A45415"/>
    <w:rsid w:val="00A50180"/>
    <w:rsid w:val="00A57162"/>
    <w:rsid w:val="00A57B00"/>
    <w:rsid w:val="00A605AC"/>
    <w:rsid w:val="00A60A6B"/>
    <w:rsid w:val="00A61E8F"/>
    <w:rsid w:val="00A62E1D"/>
    <w:rsid w:val="00A63294"/>
    <w:rsid w:val="00A65F86"/>
    <w:rsid w:val="00A71CE4"/>
    <w:rsid w:val="00A722DE"/>
    <w:rsid w:val="00A743EA"/>
    <w:rsid w:val="00A772C6"/>
    <w:rsid w:val="00A777A1"/>
    <w:rsid w:val="00A82358"/>
    <w:rsid w:val="00A8346D"/>
    <w:rsid w:val="00A85488"/>
    <w:rsid w:val="00A858B0"/>
    <w:rsid w:val="00A8700C"/>
    <w:rsid w:val="00A87DB6"/>
    <w:rsid w:val="00A87F69"/>
    <w:rsid w:val="00A90158"/>
    <w:rsid w:val="00A91B60"/>
    <w:rsid w:val="00A92A51"/>
    <w:rsid w:val="00A9620C"/>
    <w:rsid w:val="00A963C4"/>
    <w:rsid w:val="00A96976"/>
    <w:rsid w:val="00A97F4A"/>
    <w:rsid w:val="00AA4C0D"/>
    <w:rsid w:val="00AB2145"/>
    <w:rsid w:val="00AB4C69"/>
    <w:rsid w:val="00AB5ED3"/>
    <w:rsid w:val="00AB7D55"/>
    <w:rsid w:val="00AC0744"/>
    <w:rsid w:val="00AC16E3"/>
    <w:rsid w:val="00AC2267"/>
    <w:rsid w:val="00AC3AC2"/>
    <w:rsid w:val="00AC3DD4"/>
    <w:rsid w:val="00AC4B1E"/>
    <w:rsid w:val="00AC50B2"/>
    <w:rsid w:val="00AC6718"/>
    <w:rsid w:val="00AD300C"/>
    <w:rsid w:val="00AD62AA"/>
    <w:rsid w:val="00AE2244"/>
    <w:rsid w:val="00AE36C0"/>
    <w:rsid w:val="00AE3F7B"/>
    <w:rsid w:val="00AE4E60"/>
    <w:rsid w:val="00AF0BB2"/>
    <w:rsid w:val="00AF1053"/>
    <w:rsid w:val="00AF19C3"/>
    <w:rsid w:val="00AF3994"/>
    <w:rsid w:val="00AF4176"/>
    <w:rsid w:val="00AF51A1"/>
    <w:rsid w:val="00AF6CD4"/>
    <w:rsid w:val="00B029F2"/>
    <w:rsid w:val="00B02B5C"/>
    <w:rsid w:val="00B0484E"/>
    <w:rsid w:val="00B06899"/>
    <w:rsid w:val="00B072C8"/>
    <w:rsid w:val="00B0771F"/>
    <w:rsid w:val="00B10EC5"/>
    <w:rsid w:val="00B1167F"/>
    <w:rsid w:val="00B120C7"/>
    <w:rsid w:val="00B13229"/>
    <w:rsid w:val="00B155F7"/>
    <w:rsid w:val="00B15F93"/>
    <w:rsid w:val="00B17079"/>
    <w:rsid w:val="00B170B9"/>
    <w:rsid w:val="00B219D8"/>
    <w:rsid w:val="00B2220A"/>
    <w:rsid w:val="00B30260"/>
    <w:rsid w:val="00B303F6"/>
    <w:rsid w:val="00B30E7E"/>
    <w:rsid w:val="00B3200E"/>
    <w:rsid w:val="00B33ACF"/>
    <w:rsid w:val="00B33BBC"/>
    <w:rsid w:val="00B34355"/>
    <w:rsid w:val="00B35CBF"/>
    <w:rsid w:val="00B367FA"/>
    <w:rsid w:val="00B41F0E"/>
    <w:rsid w:val="00B43611"/>
    <w:rsid w:val="00B43E28"/>
    <w:rsid w:val="00B45493"/>
    <w:rsid w:val="00B479AC"/>
    <w:rsid w:val="00B52F7D"/>
    <w:rsid w:val="00B54144"/>
    <w:rsid w:val="00B54AEB"/>
    <w:rsid w:val="00B56910"/>
    <w:rsid w:val="00B56D07"/>
    <w:rsid w:val="00B56D4E"/>
    <w:rsid w:val="00B575DF"/>
    <w:rsid w:val="00B57F43"/>
    <w:rsid w:val="00B61B82"/>
    <w:rsid w:val="00B63782"/>
    <w:rsid w:val="00B63F0E"/>
    <w:rsid w:val="00B66E41"/>
    <w:rsid w:val="00B676F6"/>
    <w:rsid w:val="00B71676"/>
    <w:rsid w:val="00B72EF1"/>
    <w:rsid w:val="00B7457E"/>
    <w:rsid w:val="00B77FB8"/>
    <w:rsid w:val="00B80156"/>
    <w:rsid w:val="00B825AE"/>
    <w:rsid w:val="00B83990"/>
    <w:rsid w:val="00B90806"/>
    <w:rsid w:val="00B911A8"/>
    <w:rsid w:val="00B9492D"/>
    <w:rsid w:val="00B94B0D"/>
    <w:rsid w:val="00B95007"/>
    <w:rsid w:val="00B9656B"/>
    <w:rsid w:val="00B976F6"/>
    <w:rsid w:val="00BA084E"/>
    <w:rsid w:val="00BA092E"/>
    <w:rsid w:val="00BA1C17"/>
    <w:rsid w:val="00BA3046"/>
    <w:rsid w:val="00BA4A38"/>
    <w:rsid w:val="00BA592B"/>
    <w:rsid w:val="00BA61ED"/>
    <w:rsid w:val="00BA6A2E"/>
    <w:rsid w:val="00BB15E4"/>
    <w:rsid w:val="00BB177E"/>
    <w:rsid w:val="00BB27CB"/>
    <w:rsid w:val="00BB458F"/>
    <w:rsid w:val="00BB580F"/>
    <w:rsid w:val="00BC08D9"/>
    <w:rsid w:val="00BC1DFC"/>
    <w:rsid w:val="00BC238A"/>
    <w:rsid w:val="00BC2CE1"/>
    <w:rsid w:val="00BC7AD6"/>
    <w:rsid w:val="00BD014E"/>
    <w:rsid w:val="00BD108E"/>
    <w:rsid w:val="00BD2EF9"/>
    <w:rsid w:val="00BD7874"/>
    <w:rsid w:val="00BE340C"/>
    <w:rsid w:val="00BE3AB4"/>
    <w:rsid w:val="00BE4346"/>
    <w:rsid w:val="00BE488A"/>
    <w:rsid w:val="00BE5274"/>
    <w:rsid w:val="00BF057C"/>
    <w:rsid w:val="00BF151C"/>
    <w:rsid w:val="00BF1840"/>
    <w:rsid w:val="00BF19A9"/>
    <w:rsid w:val="00BF204A"/>
    <w:rsid w:val="00BF3AFB"/>
    <w:rsid w:val="00BF7123"/>
    <w:rsid w:val="00C01F7B"/>
    <w:rsid w:val="00C02F3A"/>
    <w:rsid w:val="00C03982"/>
    <w:rsid w:val="00C06033"/>
    <w:rsid w:val="00C0616C"/>
    <w:rsid w:val="00C10310"/>
    <w:rsid w:val="00C111AF"/>
    <w:rsid w:val="00C1195F"/>
    <w:rsid w:val="00C121C5"/>
    <w:rsid w:val="00C1249A"/>
    <w:rsid w:val="00C12E99"/>
    <w:rsid w:val="00C13D3F"/>
    <w:rsid w:val="00C15083"/>
    <w:rsid w:val="00C15496"/>
    <w:rsid w:val="00C15A36"/>
    <w:rsid w:val="00C202B8"/>
    <w:rsid w:val="00C246DE"/>
    <w:rsid w:val="00C2689E"/>
    <w:rsid w:val="00C27D48"/>
    <w:rsid w:val="00C31DEC"/>
    <w:rsid w:val="00C31F54"/>
    <w:rsid w:val="00C323A7"/>
    <w:rsid w:val="00C3339B"/>
    <w:rsid w:val="00C34514"/>
    <w:rsid w:val="00C35B13"/>
    <w:rsid w:val="00C368FE"/>
    <w:rsid w:val="00C42E3D"/>
    <w:rsid w:val="00C4362F"/>
    <w:rsid w:val="00C45C06"/>
    <w:rsid w:val="00C46F57"/>
    <w:rsid w:val="00C50778"/>
    <w:rsid w:val="00C51530"/>
    <w:rsid w:val="00C56749"/>
    <w:rsid w:val="00C60A0B"/>
    <w:rsid w:val="00C60AC1"/>
    <w:rsid w:val="00C60B15"/>
    <w:rsid w:val="00C60CF9"/>
    <w:rsid w:val="00C61451"/>
    <w:rsid w:val="00C61C1F"/>
    <w:rsid w:val="00C63C91"/>
    <w:rsid w:val="00C644D2"/>
    <w:rsid w:val="00C657E6"/>
    <w:rsid w:val="00C65A11"/>
    <w:rsid w:val="00C67016"/>
    <w:rsid w:val="00C679A1"/>
    <w:rsid w:val="00C726D8"/>
    <w:rsid w:val="00C7300A"/>
    <w:rsid w:val="00C732DB"/>
    <w:rsid w:val="00C75580"/>
    <w:rsid w:val="00C76B0D"/>
    <w:rsid w:val="00C77789"/>
    <w:rsid w:val="00C77EF9"/>
    <w:rsid w:val="00C80F38"/>
    <w:rsid w:val="00C81D5D"/>
    <w:rsid w:val="00C83A22"/>
    <w:rsid w:val="00C84179"/>
    <w:rsid w:val="00C85C3C"/>
    <w:rsid w:val="00C86F1D"/>
    <w:rsid w:val="00C87D32"/>
    <w:rsid w:val="00C90295"/>
    <w:rsid w:val="00C92692"/>
    <w:rsid w:val="00C92CAF"/>
    <w:rsid w:val="00C930B7"/>
    <w:rsid w:val="00C93E4C"/>
    <w:rsid w:val="00C94E33"/>
    <w:rsid w:val="00C95EA1"/>
    <w:rsid w:val="00C96037"/>
    <w:rsid w:val="00C97259"/>
    <w:rsid w:val="00C975E2"/>
    <w:rsid w:val="00C97C12"/>
    <w:rsid w:val="00CA4039"/>
    <w:rsid w:val="00CB1A09"/>
    <w:rsid w:val="00CB3CA3"/>
    <w:rsid w:val="00CB41A9"/>
    <w:rsid w:val="00CB41C3"/>
    <w:rsid w:val="00CB50EB"/>
    <w:rsid w:val="00CB7266"/>
    <w:rsid w:val="00CB73B4"/>
    <w:rsid w:val="00CC0D73"/>
    <w:rsid w:val="00CC2F43"/>
    <w:rsid w:val="00CC3A05"/>
    <w:rsid w:val="00CC77BD"/>
    <w:rsid w:val="00CC7D67"/>
    <w:rsid w:val="00CD033F"/>
    <w:rsid w:val="00CD2581"/>
    <w:rsid w:val="00CD2FCE"/>
    <w:rsid w:val="00CD3208"/>
    <w:rsid w:val="00CE28DE"/>
    <w:rsid w:val="00CE39A5"/>
    <w:rsid w:val="00CE4082"/>
    <w:rsid w:val="00CE64C2"/>
    <w:rsid w:val="00CE7060"/>
    <w:rsid w:val="00CE7549"/>
    <w:rsid w:val="00CE7C6D"/>
    <w:rsid w:val="00CF279B"/>
    <w:rsid w:val="00CF55E2"/>
    <w:rsid w:val="00D00324"/>
    <w:rsid w:val="00D00797"/>
    <w:rsid w:val="00D01A85"/>
    <w:rsid w:val="00D01E6F"/>
    <w:rsid w:val="00D032F6"/>
    <w:rsid w:val="00D03EAF"/>
    <w:rsid w:val="00D06141"/>
    <w:rsid w:val="00D10AED"/>
    <w:rsid w:val="00D10CF4"/>
    <w:rsid w:val="00D12074"/>
    <w:rsid w:val="00D16332"/>
    <w:rsid w:val="00D167CF"/>
    <w:rsid w:val="00D248A3"/>
    <w:rsid w:val="00D329DC"/>
    <w:rsid w:val="00D36008"/>
    <w:rsid w:val="00D400A0"/>
    <w:rsid w:val="00D432C0"/>
    <w:rsid w:val="00D45426"/>
    <w:rsid w:val="00D45D03"/>
    <w:rsid w:val="00D46312"/>
    <w:rsid w:val="00D46851"/>
    <w:rsid w:val="00D50C63"/>
    <w:rsid w:val="00D5147A"/>
    <w:rsid w:val="00D514B9"/>
    <w:rsid w:val="00D53117"/>
    <w:rsid w:val="00D56549"/>
    <w:rsid w:val="00D56C27"/>
    <w:rsid w:val="00D56EBE"/>
    <w:rsid w:val="00D570C8"/>
    <w:rsid w:val="00D57969"/>
    <w:rsid w:val="00D603C5"/>
    <w:rsid w:val="00D60B15"/>
    <w:rsid w:val="00D64B20"/>
    <w:rsid w:val="00D64B9B"/>
    <w:rsid w:val="00D64F6E"/>
    <w:rsid w:val="00D653E2"/>
    <w:rsid w:val="00D65896"/>
    <w:rsid w:val="00D65EB6"/>
    <w:rsid w:val="00D667F2"/>
    <w:rsid w:val="00D67364"/>
    <w:rsid w:val="00D678E2"/>
    <w:rsid w:val="00D70F77"/>
    <w:rsid w:val="00D7111B"/>
    <w:rsid w:val="00D720C7"/>
    <w:rsid w:val="00D73438"/>
    <w:rsid w:val="00D76913"/>
    <w:rsid w:val="00D774EB"/>
    <w:rsid w:val="00D80626"/>
    <w:rsid w:val="00D80E3C"/>
    <w:rsid w:val="00D84FC5"/>
    <w:rsid w:val="00D87B0B"/>
    <w:rsid w:val="00D906AF"/>
    <w:rsid w:val="00D92A13"/>
    <w:rsid w:val="00D96D3E"/>
    <w:rsid w:val="00DA01D5"/>
    <w:rsid w:val="00DA095A"/>
    <w:rsid w:val="00DA3D1B"/>
    <w:rsid w:val="00DA4FE5"/>
    <w:rsid w:val="00DB0AD6"/>
    <w:rsid w:val="00DB41CC"/>
    <w:rsid w:val="00DB41E7"/>
    <w:rsid w:val="00DB4B8B"/>
    <w:rsid w:val="00DB6137"/>
    <w:rsid w:val="00DB78FD"/>
    <w:rsid w:val="00DC19A1"/>
    <w:rsid w:val="00DC3A7C"/>
    <w:rsid w:val="00DC4F4A"/>
    <w:rsid w:val="00DC57A9"/>
    <w:rsid w:val="00DC6CC7"/>
    <w:rsid w:val="00DD0F55"/>
    <w:rsid w:val="00DD29C7"/>
    <w:rsid w:val="00DD2D1C"/>
    <w:rsid w:val="00DD5854"/>
    <w:rsid w:val="00DD5E60"/>
    <w:rsid w:val="00DD65BD"/>
    <w:rsid w:val="00DD79ED"/>
    <w:rsid w:val="00DD7CC0"/>
    <w:rsid w:val="00DE19B4"/>
    <w:rsid w:val="00DE21EF"/>
    <w:rsid w:val="00DE293B"/>
    <w:rsid w:val="00DE3DB5"/>
    <w:rsid w:val="00DE635E"/>
    <w:rsid w:val="00DF12BF"/>
    <w:rsid w:val="00DF1342"/>
    <w:rsid w:val="00DF1D2D"/>
    <w:rsid w:val="00DF24F7"/>
    <w:rsid w:val="00DF3136"/>
    <w:rsid w:val="00DF353E"/>
    <w:rsid w:val="00DF5C27"/>
    <w:rsid w:val="00E00083"/>
    <w:rsid w:val="00E007EA"/>
    <w:rsid w:val="00E02266"/>
    <w:rsid w:val="00E048BE"/>
    <w:rsid w:val="00E04936"/>
    <w:rsid w:val="00E10EB0"/>
    <w:rsid w:val="00E1283F"/>
    <w:rsid w:val="00E13D3E"/>
    <w:rsid w:val="00E144B6"/>
    <w:rsid w:val="00E14D7E"/>
    <w:rsid w:val="00E16EC3"/>
    <w:rsid w:val="00E20063"/>
    <w:rsid w:val="00E202BB"/>
    <w:rsid w:val="00E20904"/>
    <w:rsid w:val="00E20B1A"/>
    <w:rsid w:val="00E2121E"/>
    <w:rsid w:val="00E22037"/>
    <w:rsid w:val="00E23F9A"/>
    <w:rsid w:val="00E245D8"/>
    <w:rsid w:val="00E2581D"/>
    <w:rsid w:val="00E25AC6"/>
    <w:rsid w:val="00E31304"/>
    <w:rsid w:val="00E32830"/>
    <w:rsid w:val="00E3389B"/>
    <w:rsid w:val="00E340C3"/>
    <w:rsid w:val="00E40ECD"/>
    <w:rsid w:val="00E41240"/>
    <w:rsid w:val="00E415C8"/>
    <w:rsid w:val="00E4230E"/>
    <w:rsid w:val="00E44123"/>
    <w:rsid w:val="00E44129"/>
    <w:rsid w:val="00E45928"/>
    <w:rsid w:val="00E462C5"/>
    <w:rsid w:val="00E47618"/>
    <w:rsid w:val="00E518F9"/>
    <w:rsid w:val="00E5274C"/>
    <w:rsid w:val="00E52C27"/>
    <w:rsid w:val="00E5332E"/>
    <w:rsid w:val="00E53F2A"/>
    <w:rsid w:val="00E555D2"/>
    <w:rsid w:val="00E561D9"/>
    <w:rsid w:val="00E56D2D"/>
    <w:rsid w:val="00E56E2E"/>
    <w:rsid w:val="00E60518"/>
    <w:rsid w:val="00E64652"/>
    <w:rsid w:val="00E65A96"/>
    <w:rsid w:val="00E661F0"/>
    <w:rsid w:val="00E7039D"/>
    <w:rsid w:val="00E71822"/>
    <w:rsid w:val="00E7285B"/>
    <w:rsid w:val="00E72F6A"/>
    <w:rsid w:val="00E74E79"/>
    <w:rsid w:val="00E75714"/>
    <w:rsid w:val="00E75792"/>
    <w:rsid w:val="00E76200"/>
    <w:rsid w:val="00E7628D"/>
    <w:rsid w:val="00E804BA"/>
    <w:rsid w:val="00E818E3"/>
    <w:rsid w:val="00E81E9C"/>
    <w:rsid w:val="00E837A3"/>
    <w:rsid w:val="00E84401"/>
    <w:rsid w:val="00E879D8"/>
    <w:rsid w:val="00E90FD3"/>
    <w:rsid w:val="00E924F8"/>
    <w:rsid w:val="00E92628"/>
    <w:rsid w:val="00E927C9"/>
    <w:rsid w:val="00E93243"/>
    <w:rsid w:val="00E95368"/>
    <w:rsid w:val="00EA290C"/>
    <w:rsid w:val="00EA35D7"/>
    <w:rsid w:val="00EA6434"/>
    <w:rsid w:val="00EA7393"/>
    <w:rsid w:val="00EA7963"/>
    <w:rsid w:val="00EB0921"/>
    <w:rsid w:val="00EB2834"/>
    <w:rsid w:val="00EB285F"/>
    <w:rsid w:val="00EB2D8C"/>
    <w:rsid w:val="00EB2F60"/>
    <w:rsid w:val="00EB404B"/>
    <w:rsid w:val="00EB6651"/>
    <w:rsid w:val="00EB6F71"/>
    <w:rsid w:val="00EC1F13"/>
    <w:rsid w:val="00EC2669"/>
    <w:rsid w:val="00EC7C72"/>
    <w:rsid w:val="00ED1D47"/>
    <w:rsid w:val="00ED2791"/>
    <w:rsid w:val="00ED2E45"/>
    <w:rsid w:val="00ED2F55"/>
    <w:rsid w:val="00ED4BA0"/>
    <w:rsid w:val="00ED5FF6"/>
    <w:rsid w:val="00EE206F"/>
    <w:rsid w:val="00EE303B"/>
    <w:rsid w:val="00EE304C"/>
    <w:rsid w:val="00EF07E9"/>
    <w:rsid w:val="00EF6EDD"/>
    <w:rsid w:val="00F00752"/>
    <w:rsid w:val="00F073D5"/>
    <w:rsid w:val="00F10804"/>
    <w:rsid w:val="00F125C7"/>
    <w:rsid w:val="00F12AF4"/>
    <w:rsid w:val="00F145A0"/>
    <w:rsid w:val="00F146AD"/>
    <w:rsid w:val="00F15504"/>
    <w:rsid w:val="00F15C45"/>
    <w:rsid w:val="00F20C58"/>
    <w:rsid w:val="00F221AE"/>
    <w:rsid w:val="00F2268B"/>
    <w:rsid w:val="00F2286D"/>
    <w:rsid w:val="00F234C2"/>
    <w:rsid w:val="00F23C13"/>
    <w:rsid w:val="00F240DC"/>
    <w:rsid w:val="00F245D6"/>
    <w:rsid w:val="00F27745"/>
    <w:rsid w:val="00F30CAD"/>
    <w:rsid w:val="00F314AE"/>
    <w:rsid w:val="00F3150C"/>
    <w:rsid w:val="00F3164F"/>
    <w:rsid w:val="00F34244"/>
    <w:rsid w:val="00F35992"/>
    <w:rsid w:val="00F3722F"/>
    <w:rsid w:val="00F40B98"/>
    <w:rsid w:val="00F412E7"/>
    <w:rsid w:val="00F44A7C"/>
    <w:rsid w:val="00F457A0"/>
    <w:rsid w:val="00F46F80"/>
    <w:rsid w:val="00F47695"/>
    <w:rsid w:val="00F5008C"/>
    <w:rsid w:val="00F50CA3"/>
    <w:rsid w:val="00F51BF6"/>
    <w:rsid w:val="00F5214A"/>
    <w:rsid w:val="00F52935"/>
    <w:rsid w:val="00F52AD5"/>
    <w:rsid w:val="00F57E6F"/>
    <w:rsid w:val="00F61144"/>
    <w:rsid w:val="00F652F5"/>
    <w:rsid w:val="00F65DEC"/>
    <w:rsid w:val="00F66824"/>
    <w:rsid w:val="00F66919"/>
    <w:rsid w:val="00F6737C"/>
    <w:rsid w:val="00F67471"/>
    <w:rsid w:val="00F71537"/>
    <w:rsid w:val="00F71BFD"/>
    <w:rsid w:val="00F71F79"/>
    <w:rsid w:val="00F72B92"/>
    <w:rsid w:val="00F73535"/>
    <w:rsid w:val="00F75360"/>
    <w:rsid w:val="00F75C2C"/>
    <w:rsid w:val="00F75F15"/>
    <w:rsid w:val="00F81282"/>
    <w:rsid w:val="00F830B5"/>
    <w:rsid w:val="00F83466"/>
    <w:rsid w:val="00F8466D"/>
    <w:rsid w:val="00F86A1D"/>
    <w:rsid w:val="00F879EB"/>
    <w:rsid w:val="00F90C32"/>
    <w:rsid w:val="00F92F9E"/>
    <w:rsid w:val="00F93211"/>
    <w:rsid w:val="00F949CC"/>
    <w:rsid w:val="00FA0A01"/>
    <w:rsid w:val="00FA0DFD"/>
    <w:rsid w:val="00FA1D80"/>
    <w:rsid w:val="00FA2B33"/>
    <w:rsid w:val="00FA2F69"/>
    <w:rsid w:val="00FA301B"/>
    <w:rsid w:val="00FA71B0"/>
    <w:rsid w:val="00FB0780"/>
    <w:rsid w:val="00FB0C0F"/>
    <w:rsid w:val="00FB1560"/>
    <w:rsid w:val="00FB223C"/>
    <w:rsid w:val="00FB28E5"/>
    <w:rsid w:val="00FB480C"/>
    <w:rsid w:val="00FB643C"/>
    <w:rsid w:val="00FC75B6"/>
    <w:rsid w:val="00FD1A07"/>
    <w:rsid w:val="00FD2BE8"/>
    <w:rsid w:val="00FD40DA"/>
    <w:rsid w:val="00FD5A07"/>
    <w:rsid w:val="00FD6635"/>
    <w:rsid w:val="00FD6CE2"/>
    <w:rsid w:val="00FD6F8C"/>
    <w:rsid w:val="00FE1710"/>
    <w:rsid w:val="00FE2279"/>
    <w:rsid w:val="00FE3572"/>
    <w:rsid w:val="00FE5474"/>
    <w:rsid w:val="00FE55C6"/>
    <w:rsid w:val="00FE6065"/>
    <w:rsid w:val="00FF02D8"/>
    <w:rsid w:val="00FF1D9D"/>
    <w:rsid w:val="00FF2761"/>
    <w:rsid w:val="00FF32AE"/>
    <w:rsid w:val="00FF3EDC"/>
    <w:rsid w:val="00FF4D1C"/>
    <w:rsid w:val="00FF598F"/>
    <w:rsid w:val="00FF5F36"/>
    <w:rsid w:val="00FF6E4B"/>
    <w:rsid w:val="00FF7C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05614B-AB25-4BF3-A2A1-FB41C28A2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20BCC"/>
    <w:pPr>
      <w:numPr>
        <w:numId w:val="1"/>
      </w:numPr>
      <w:spacing w:after="0" w:line="252" w:lineRule="auto"/>
      <w:jc w:val="both"/>
      <w:outlineLvl w:val="0"/>
    </w:pPr>
    <w:rPr>
      <w:rFonts w:ascii="Segoe UI" w:eastAsia="Times New Roman" w:hAnsi="Segoe UI" w:cs="Times New Roman"/>
      <w:b/>
      <w:bCs/>
      <w:kern w:val="36"/>
      <w:szCs w:val="48"/>
      <w:lang w:val="en-US" w:eastAsia="es-CL"/>
    </w:rPr>
  </w:style>
  <w:style w:type="paragraph" w:styleId="Heading2">
    <w:name w:val="heading 2"/>
    <w:basedOn w:val="Normal"/>
    <w:next w:val="Normal"/>
    <w:link w:val="Heading2Char"/>
    <w:uiPriority w:val="9"/>
    <w:unhideWhenUsed/>
    <w:qFormat/>
    <w:rsid w:val="00720BCC"/>
    <w:pPr>
      <w:keepNext/>
      <w:keepLines/>
      <w:numPr>
        <w:ilvl w:val="1"/>
        <w:numId w:val="1"/>
      </w:numPr>
      <w:spacing w:before="40" w:after="0" w:line="252" w:lineRule="auto"/>
      <w:jc w:val="both"/>
      <w:outlineLvl w:val="1"/>
    </w:pPr>
    <w:rPr>
      <w:rFonts w:ascii="Segoe UI" w:eastAsiaTheme="majorEastAsia" w:hAnsi="Segoe UI" w:cstheme="majorBidi"/>
      <w:b/>
      <w:color w:val="000000" w:themeColor="text1"/>
      <w:sz w:val="20"/>
      <w:szCs w:val="26"/>
      <w:lang w:val="en-US" w:eastAsia="es-CL"/>
    </w:rPr>
  </w:style>
  <w:style w:type="paragraph" w:styleId="Heading3">
    <w:name w:val="heading 3"/>
    <w:basedOn w:val="Normal"/>
    <w:next w:val="Normal"/>
    <w:link w:val="Heading3Char"/>
    <w:uiPriority w:val="9"/>
    <w:unhideWhenUsed/>
    <w:qFormat/>
    <w:rsid w:val="00720BCC"/>
    <w:pPr>
      <w:keepNext/>
      <w:keepLines/>
      <w:numPr>
        <w:ilvl w:val="2"/>
        <w:numId w:val="1"/>
      </w:numPr>
      <w:spacing w:after="0" w:line="252" w:lineRule="auto"/>
      <w:jc w:val="both"/>
      <w:outlineLvl w:val="2"/>
    </w:pPr>
    <w:rPr>
      <w:rFonts w:ascii="Segoe UI" w:eastAsiaTheme="majorEastAsia" w:hAnsi="Segoe UI" w:cstheme="majorBidi"/>
      <w:color w:val="000000" w:themeColor="text1"/>
      <w:sz w:val="20"/>
      <w:szCs w:val="24"/>
      <w:lang w:val="en-US" w:eastAsia="es-CL"/>
    </w:rPr>
  </w:style>
  <w:style w:type="paragraph" w:styleId="Heading4">
    <w:name w:val="heading 4"/>
    <w:basedOn w:val="Normal"/>
    <w:next w:val="Normal"/>
    <w:link w:val="Heading4Char"/>
    <w:uiPriority w:val="9"/>
    <w:unhideWhenUsed/>
    <w:qFormat/>
    <w:rsid w:val="00720BCC"/>
    <w:pPr>
      <w:keepNext/>
      <w:keepLines/>
      <w:numPr>
        <w:ilvl w:val="3"/>
        <w:numId w:val="1"/>
      </w:numPr>
      <w:spacing w:after="0" w:line="252" w:lineRule="auto"/>
      <w:jc w:val="both"/>
      <w:outlineLvl w:val="3"/>
    </w:pPr>
    <w:rPr>
      <w:rFonts w:ascii="Segoe UI" w:eastAsiaTheme="majorEastAsia" w:hAnsi="Segoe UI" w:cstheme="majorBidi"/>
      <w:bCs/>
      <w:i/>
      <w:iCs/>
      <w:color w:val="000000" w:themeColor="text1"/>
      <w:sz w:val="20"/>
      <w:lang w:val="en-US" w:eastAsia="es-CL"/>
    </w:rPr>
  </w:style>
  <w:style w:type="paragraph" w:styleId="Heading5">
    <w:name w:val="heading 5"/>
    <w:basedOn w:val="Normal"/>
    <w:next w:val="Normal"/>
    <w:link w:val="Heading5Char"/>
    <w:uiPriority w:val="9"/>
    <w:semiHidden/>
    <w:unhideWhenUsed/>
    <w:qFormat/>
    <w:rsid w:val="00720BCC"/>
    <w:pPr>
      <w:keepNext/>
      <w:keepLines/>
      <w:numPr>
        <w:ilvl w:val="4"/>
        <w:numId w:val="1"/>
      </w:numPr>
      <w:spacing w:before="40" w:after="0" w:line="252" w:lineRule="auto"/>
      <w:jc w:val="both"/>
      <w:outlineLvl w:val="4"/>
    </w:pPr>
    <w:rPr>
      <w:rFonts w:asciiTheme="majorHAnsi" w:eastAsiaTheme="majorEastAsia" w:hAnsiTheme="majorHAnsi" w:cstheme="majorBidi"/>
      <w:color w:val="2E74B5" w:themeColor="accent1" w:themeShade="BF"/>
      <w:sz w:val="20"/>
      <w:lang w:val="en-US" w:eastAsia="es-CL"/>
    </w:rPr>
  </w:style>
  <w:style w:type="paragraph" w:styleId="Heading6">
    <w:name w:val="heading 6"/>
    <w:basedOn w:val="Normal"/>
    <w:next w:val="Normal"/>
    <w:link w:val="Heading6Char"/>
    <w:uiPriority w:val="9"/>
    <w:semiHidden/>
    <w:unhideWhenUsed/>
    <w:qFormat/>
    <w:rsid w:val="00720BCC"/>
    <w:pPr>
      <w:keepNext/>
      <w:keepLines/>
      <w:numPr>
        <w:ilvl w:val="5"/>
        <w:numId w:val="1"/>
      </w:numPr>
      <w:spacing w:before="40" w:after="0" w:line="252" w:lineRule="auto"/>
      <w:jc w:val="both"/>
      <w:outlineLvl w:val="5"/>
    </w:pPr>
    <w:rPr>
      <w:rFonts w:asciiTheme="majorHAnsi" w:eastAsiaTheme="majorEastAsia" w:hAnsiTheme="majorHAnsi" w:cstheme="majorBidi"/>
      <w:color w:val="1F4D78" w:themeColor="accent1" w:themeShade="7F"/>
      <w:sz w:val="20"/>
      <w:lang w:val="en-US" w:eastAsia="es-CL"/>
    </w:rPr>
  </w:style>
  <w:style w:type="paragraph" w:styleId="Heading7">
    <w:name w:val="heading 7"/>
    <w:basedOn w:val="Normal"/>
    <w:next w:val="Normal"/>
    <w:link w:val="Heading7Char"/>
    <w:uiPriority w:val="9"/>
    <w:semiHidden/>
    <w:unhideWhenUsed/>
    <w:qFormat/>
    <w:rsid w:val="00720BCC"/>
    <w:pPr>
      <w:keepNext/>
      <w:keepLines/>
      <w:numPr>
        <w:ilvl w:val="6"/>
        <w:numId w:val="1"/>
      </w:numPr>
      <w:spacing w:before="40" w:after="0" w:line="252" w:lineRule="auto"/>
      <w:jc w:val="both"/>
      <w:outlineLvl w:val="6"/>
    </w:pPr>
    <w:rPr>
      <w:rFonts w:asciiTheme="majorHAnsi" w:eastAsiaTheme="majorEastAsia" w:hAnsiTheme="majorHAnsi" w:cstheme="majorBidi"/>
      <w:i/>
      <w:iCs/>
      <w:color w:val="1F4D78" w:themeColor="accent1" w:themeShade="7F"/>
      <w:sz w:val="20"/>
      <w:lang w:val="en-US" w:eastAsia="es-CL"/>
    </w:rPr>
  </w:style>
  <w:style w:type="paragraph" w:styleId="Heading8">
    <w:name w:val="heading 8"/>
    <w:basedOn w:val="Normal"/>
    <w:next w:val="Normal"/>
    <w:link w:val="Heading8Char"/>
    <w:uiPriority w:val="9"/>
    <w:semiHidden/>
    <w:unhideWhenUsed/>
    <w:qFormat/>
    <w:rsid w:val="00720BCC"/>
    <w:pPr>
      <w:keepNext/>
      <w:keepLines/>
      <w:numPr>
        <w:ilvl w:val="7"/>
        <w:numId w:val="1"/>
      </w:numPr>
      <w:spacing w:before="40" w:after="0" w:line="252" w:lineRule="auto"/>
      <w:jc w:val="both"/>
      <w:outlineLvl w:val="7"/>
    </w:pPr>
    <w:rPr>
      <w:rFonts w:asciiTheme="majorHAnsi" w:eastAsiaTheme="majorEastAsia" w:hAnsiTheme="majorHAnsi" w:cstheme="majorBidi"/>
      <w:color w:val="272727" w:themeColor="text1" w:themeTint="D8"/>
      <w:sz w:val="21"/>
      <w:szCs w:val="21"/>
      <w:lang w:val="en-US" w:eastAsia="es-CL"/>
    </w:rPr>
  </w:style>
  <w:style w:type="paragraph" w:styleId="Heading9">
    <w:name w:val="heading 9"/>
    <w:basedOn w:val="Normal"/>
    <w:next w:val="Normal"/>
    <w:link w:val="Heading9Char"/>
    <w:uiPriority w:val="9"/>
    <w:semiHidden/>
    <w:unhideWhenUsed/>
    <w:qFormat/>
    <w:rsid w:val="00720BCC"/>
    <w:pPr>
      <w:keepNext/>
      <w:keepLines/>
      <w:numPr>
        <w:ilvl w:val="8"/>
        <w:numId w:val="1"/>
      </w:numPr>
      <w:spacing w:before="40" w:after="0" w:line="252" w:lineRule="auto"/>
      <w:jc w:val="both"/>
      <w:outlineLvl w:val="8"/>
    </w:pPr>
    <w:rPr>
      <w:rFonts w:asciiTheme="majorHAnsi" w:eastAsiaTheme="majorEastAsia" w:hAnsiTheme="majorHAnsi" w:cstheme="majorBidi"/>
      <w:i/>
      <w:iCs/>
      <w:color w:val="272727" w:themeColor="text1" w:themeTint="D8"/>
      <w:sz w:val="21"/>
      <w:szCs w:val="21"/>
      <w:lang w:val="en-US" w:eastAsia="es-C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BCC"/>
    <w:rPr>
      <w:rFonts w:ascii="Segoe UI" w:eastAsia="Times New Roman" w:hAnsi="Segoe UI" w:cs="Times New Roman"/>
      <w:b/>
      <w:bCs/>
      <w:kern w:val="36"/>
      <w:szCs w:val="48"/>
      <w:lang w:val="en-US" w:eastAsia="es-CL"/>
    </w:rPr>
  </w:style>
  <w:style w:type="character" w:customStyle="1" w:styleId="Heading2Char">
    <w:name w:val="Heading 2 Char"/>
    <w:basedOn w:val="DefaultParagraphFont"/>
    <w:link w:val="Heading2"/>
    <w:uiPriority w:val="9"/>
    <w:rsid w:val="00720BCC"/>
    <w:rPr>
      <w:rFonts w:ascii="Segoe UI" w:eastAsiaTheme="majorEastAsia" w:hAnsi="Segoe UI" w:cstheme="majorBidi"/>
      <w:b/>
      <w:color w:val="000000" w:themeColor="text1"/>
      <w:sz w:val="20"/>
      <w:szCs w:val="26"/>
      <w:lang w:val="en-US" w:eastAsia="es-CL"/>
    </w:rPr>
  </w:style>
  <w:style w:type="character" w:customStyle="1" w:styleId="Heading3Char">
    <w:name w:val="Heading 3 Char"/>
    <w:basedOn w:val="DefaultParagraphFont"/>
    <w:link w:val="Heading3"/>
    <w:uiPriority w:val="9"/>
    <w:rsid w:val="00720BCC"/>
    <w:rPr>
      <w:rFonts w:ascii="Segoe UI" w:eastAsiaTheme="majorEastAsia" w:hAnsi="Segoe UI" w:cstheme="majorBidi"/>
      <w:color w:val="000000" w:themeColor="text1"/>
      <w:sz w:val="20"/>
      <w:szCs w:val="24"/>
      <w:lang w:val="en-US" w:eastAsia="es-CL"/>
    </w:rPr>
  </w:style>
  <w:style w:type="character" w:customStyle="1" w:styleId="Heading4Char">
    <w:name w:val="Heading 4 Char"/>
    <w:basedOn w:val="DefaultParagraphFont"/>
    <w:link w:val="Heading4"/>
    <w:uiPriority w:val="9"/>
    <w:rsid w:val="00720BCC"/>
    <w:rPr>
      <w:rFonts w:ascii="Segoe UI" w:eastAsiaTheme="majorEastAsia" w:hAnsi="Segoe UI" w:cstheme="majorBidi"/>
      <w:bCs/>
      <w:i/>
      <w:iCs/>
      <w:color w:val="000000" w:themeColor="text1"/>
      <w:sz w:val="20"/>
      <w:lang w:val="en-US" w:eastAsia="es-CL"/>
    </w:rPr>
  </w:style>
  <w:style w:type="character" w:customStyle="1" w:styleId="Heading5Char">
    <w:name w:val="Heading 5 Char"/>
    <w:basedOn w:val="DefaultParagraphFont"/>
    <w:link w:val="Heading5"/>
    <w:uiPriority w:val="9"/>
    <w:semiHidden/>
    <w:rsid w:val="00720BCC"/>
    <w:rPr>
      <w:rFonts w:asciiTheme="majorHAnsi" w:eastAsiaTheme="majorEastAsia" w:hAnsiTheme="majorHAnsi" w:cstheme="majorBidi"/>
      <w:color w:val="2E74B5" w:themeColor="accent1" w:themeShade="BF"/>
      <w:sz w:val="20"/>
      <w:lang w:val="en-US" w:eastAsia="es-CL"/>
    </w:rPr>
  </w:style>
  <w:style w:type="character" w:customStyle="1" w:styleId="Heading6Char">
    <w:name w:val="Heading 6 Char"/>
    <w:basedOn w:val="DefaultParagraphFont"/>
    <w:link w:val="Heading6"/>
    <w:uiPriority w:val="9"/>
    <w:semiHidden/>
    <w:rsid w:val="00720BCC"/>
    <w:rPr>
      <w:rFonts w:asciiTheme="majorHAnsi" w:eastAsiaTheme="majorEastAsia" w:hAnsiTheme="majorHAnsi" w:cstheme="majorBidi"/>
      <w:color w:val="1F4D78" w:themeColor="accent1" w:themeShade="7F"/>
      <w:sz w:val="20"/>
      <w:lang w:val="en-US" w:eastAsia="es-CL"/>
    </w:rPr>
  </w:style>
  <w:style w:type="character" w:customStyle="1" w:styleId="Heading7Char">
    <w:name w:val="Heading 7 Char"/>
    <w:basedOn w:val="DefaultParagraphFont"/>
    <w:link w:val="Heading7"/>
    <w:uiPriority w:val="9"/>
    <w:semiHidden/>
    <w:rsid w:val="00720BCC"/>
    <w:rPr>
      <w:rFonts w:asciiTheme="majorHAnsi" w:eastAsiaTheme="majorEastAsia" w:hAnsiTheme="majorHAnsi" w:cstheme="majorBidi"/>
      <w:i/>
      <w:iCs/>
      <w:color w:val="1F4D78" w:themeColor="accent1" w:themeShade="7F"/>
      <w:sz w:val="20"/>
      <w:lang w:val="en-US" w:eastAsia="es-CL"/>
    </w:rPr>
  </w:style>
  <w:style w:type="character" w:customStyle="1" w:styleId="Heading8Char">
    <w:name w:val="Heading 8 Char"/>
    <w:basedOn w:val="DefaultParagraphFont"/>
    <w:link w:val="Heading8"/>
    <w:uiPriority w:val="9"/>
    <w:semiHidden/>
    <w:rsid w:val="00720BCC"/>
    <w:rPr>
      <w:rFonts w:asciiTheme="majorHAnsi" w:eastAsiaTheme="majorEastAsia" w:hAnsiTheme="majorHAnsi" w:cstheme="majorBidi"/>
      <w:color w:val="272727" w:themeColor="text1" w:themeTint="D8"/>
      <w:sz w:val="21"/>
      <w:szCs w:val="21"/>
      <w:lang w:val="en-US" w:eastAsia="es-CL"/>
    </w:rPr>
  </w:style>
  <w:style w:type="character" w:customStyle="1" w:styleId="Heading9Char">
    <w:name w:val="Heading 9 Char"/>
    <w:basedOn w:val="DefaultParagraphFont"/>
    <w:link w:val="Heading9"/>
    <w:uiPriority w:val="9"/>
    <w:semiHidden/>
    <w:rsid w:val="00720BCC"/>
    <w:rPr>
      <w:rFonts w:asciiTheme="majorHAnsi" w:eastAsiaTheme="majorEastAsia" w:hAnsiTheme="majorHAnsi" w:cstheme="majorBidi"/>
      <w:i/>
      <w:iCs/>
      <w:color w:val="272727" w:themeColor="text1" w:themeTint="D8"/>
      <w:sz w:val="21"/>
      <w:szCs w:val="21"/>
      <w:lang w:val="en-US" w:eastAsia="es-CL"/>
    </w:rPr>
  </w:style>
  <w:style w:type="table" w:customStyle="1" w:styleId="TableNormal1">
    <w:name w:val="Table Normal1"/>
    <w:rsid w:val="00720BCC"/>
    <w:pPr>
      <w:spacing w:after="0" w:line="288" w:lineRule="auto"/>
      <w:jc w:val="both"/>
    </w:pPr>
    <w:rPr>
      <w:rFonts w:ascii="Calibri Light" w:eastAsia="Calibri Light" w:hAnsi="Calibri Light" w:cs="Calibri Light"/>
      <w:lang w:val="en-US" w:eastAsia="es-CL"/>
    </w:rPr>
    <w:tblPr>
      <w:tblCellMar>
        <w:top w:w="0" w:type="dxa"/>
        <w:left w:w="0" w:type="dxa"/>
        <w:bottom w:w="0" w:type="dxa"/>
        <w:right w:w="0" w:type="dxa"/>
      </w:tblCellMar>
    </w:tblPr>
  </w:style>
  <w:style w:type="paragraph" w:styleId="Title">
    <w:name w:val="Title"/>
    <w:basedOn w:val="Normal"/>
    <w:next w:val="Normal"/>
    <w:link w:val="TitleChar"/>
    <w:uiPriority w:val="10"/>
    <w:qFormat/>
    <w:rsid w:val="00720BCC"/>
    <w:pPr>
      <w:keepNext/>
      <w:keepLines/>
      <w:spacing w:before="480" w:after="120" w:line="252" w:lineRule="auto"/>
      <w:jc w:val="both"/>
    </w:pPr>
    <w:rPr>
      <w:rFonts w:ascii="Segoe UI" w:eastAsia="Calibri" w:hAnsi="Segoe UI" w:cs="Arial"/>
      <w:b/>
      <w:sz w:val="72"/>
      <w:szCs w:val="72"/>
      <w:lang w:val="en-US" w:eastAsia="es-CL"/>
    </w:rPr>
  </w:style>
  <w:style w:type="character" w:customStyle="1" w:styleId="TitleChar">
    <w:name w:val="Title Char"/>
    <w:basedOn w:val="DefaultParagraphFont"/>
    <w:link w:val="Title"/>
    <w:uiPriority w:val="10"/>
    <w:rsid w:val="00720BCC"/>
    <w:rPr>
      <w:rFonts w:ascii="Segoe UI" w:eastAsia="Calibri" w:hAnsi="Segoe UI" w:cs="Arial"/>
      <w:b/>
      <w:sz w:val="72"/>
      <w:szCs w:val="72"/>
      <w:lang w:val="en-US" w:eastAsia="es-CL"/>
    </w:rPr>
  </w:style>
  <w:style w:type="table" w:customStyle="1" w:styleId="TableNormal11">
    <w:name w:val="Table Normal11"/>
    <w:rsid w:val="00720BCC"/>
    <w:pPr>
      <w:spacing w:after="0" w:line="288" w:lineRule="auto"/>
      <w:jc w:val="both"/>
    </w:pPr>
    <w:rPr>
      <w:rFonts w:ascii="Calibri Light" w:eastAsia="Calibri Light" w:hAnsi="Calibri Light" w:cs="Calibri Light"/>
      <w:lang w:val="en-US" w:eastAsia="es-CL"/>
    </w:rPr>
    <w:tblPr>
      <w:tblCellMar>
        <w:top w:w="0" w:type="dxa"/>
        <w:left w:w="0" w:type="dxa"/>
        <w:bottom w:w="0" w:type="dxa"/>
        <w:right w:w="0" w:type="dxa"/>
      </w:tblCellMar>
    </w:tblPr>
  </w:style>
  <w:style w:type="character" w:styleId="Hyperlink">
    <w:name w:val="Hyperlink"/>
    <w:basedOn w:val="DefaultParagraphFont"/>
    <w:uiPriority w:val="99"/>
    <w:unhideWhenUsed/>
    <w:rsid w:val="00720BCC"/>
    <w:rPr>
      <w:color w:val="0563C1" w:themeColor="hyperlink"/>
      <w:u w:val="single"/>
    </w:rPr>
  </w:style>
  <w:style w:type="character" w:styleId="CommentReference">
    <w:name w:val="annotation reference"/>
    <w:basedOn w:val="DefaultParagraphFont"/>
    <w:uiPriority w:val="99"/>
    <w:semiHidden/>
    <w:unhideWhenUsed/>
    <w:rsid w:val="00720BCC"/>
    <w:rPr>
      <w:sz w:val="16"/>
      <w:szCs w:val="16"/>
    </w:rPr>
  </w:style>
  <w:style w:type="paragraph" w:styleId="CommentText">
    <w:name w:val="annotation text"/>
    <w:basedOn w:val="Normal"/>
    <w:link w:val="CommentTextChar"/>
    <w:uiPriority w:val="99"/>
    <w:unhideWhenUsed/>
    <w:rsid w:val="00720BCC"/>
    <w:pPr>
      <w:spacing w:after="0" w:line="252" w:lineRule="auto"/>
      <w:jc w:val="both"/>
    </w:pPr>
    <w:rPr>
      <w:rFonts w:ascii="Segoe UI" w:eastAsia="Calibri" w:hAnsi="Segoe UI" w:cs="Arial"/>
      <w:sz w:val="20"/>
      <w:lang w:val="en-US" w:eastAsia="es-CL"/>
    </w:rPr>
  </w:style>
  <w:style w:type="character" w:customStyle="1" w:styleId="CommentTextChar">
    <w:name w:val="Comment Text Char"/>
    <w:basedOn w:val="DefaultParagraphFont"/>
    <w:link w:val="CommentText"/>
    <w:uiPriority w:val="99"/>
    <w:rsid w:val="00720BCC"/>
    <w:rPr>
      <w:rFonts w:ascii="Segoe UI" w:eastAsia="Calibri" w:hAnsi="Segoe UI" w:cs="Arial"/>
      <w:sz w:val="20"/>
      <w:lang w:val="en-US" w:eastAsia="es-CL"/>
    </w:rPr>
  </w:style>
  <w:style w:type="paragraph" w:styleId="CommentSubject">
    <w:name w:val="annotation subject"/>
    <w:basedOn w:val="CommentText"/>
    <w:next w:val="CommentText"/>
    <w:link w:val="CommentSubjectChar"/>
    <w:uiPriority w:val="99"/>
    <w:semiHidden/>
    <w:unhideWhenUsed/>
    <w:rsid w:val="00720BCC"/>
    <w:rPr>
      <w:b/>
      <w:bCs/>
    </w:rPr>
  </w:style>
  <w:style w:type="character" w:customStyle="1" w:styleId="CommentSubjectChar">
    <w:name w:val="Comment Subject Char"/>
    <w:basedOn w:val="CommentTextChar"/>
    <w:link w:val="CommentSubject"/>
    <w:uiPriority w:val="99"/>
    <w:semiHidden/>
    <w:rsid w:val="00720BCC"/>
    <w:rPr>
      <w:rFonts w:ascii="Segoe UI" w:eastAsia="Calibri" w:hAnsi="Segoe UI" w:cs="Arial"/>
      <w:b/>
      <w:bCs/>
      <w:sz w:val="20"/>
      <w:lang w:val="en-US" w:eastAsia="es-CL"/>
    </w:rPr>
  </w:style>
  <w:style w:type="paragraph" w:styleId="BalloonText">
    <w:name w:val="Balloon Text"/>
    <w:basedOn w:val="Normal"/>
    <w:link w:val="BalloonTextChar"/>
    <w:uiPriority w:val="99"/>
    <w:semiHidden/>
    <w:unhideWhenUsed/>
    <w:rsid w:val="00720BCC"/>
    <w:pPr>
      <w:spacing w:after="0" w:line="252" w:lineRule="auto"/>
      <w:jc w:val="both"/>
    </w:pPr>
    <w:rPr>
      <w:rFonts w:ascii="Tahoma" w:eastAsia="Calibri" w:hAnsi="Tahoma" w:cs="Tahoma"/>
      <w:sz w:val="16"/>
      <w:szCs w:val="16"/>
      <w:lang w:val="en-US" w:eastAsia="es-CL"/>
    </w:rPr>
  </w:style>
  <w:style w:type="character" w:customStyle="1" w:styleId="BalloonTextChar">
    <w:name w:val="Balloon Text Char"/>
    <w:basedOn w:val="DefaultParagraphFont"/>
    <w:link w:val="BalloonText"/>
    <w:uiPriority w:val="99"/>
    <w:semiHidden/>
    <w:rsid w:val="00720BCC"/>
    <w:rPr>
      <w:rFonts w:ascii="Tahoma" w:eastAsia="Calibri" w:hAnsi="Tahoma" w:cs="Tahoma"/>
      <w:sz w:val="16"/>
      <w:szCs w:val="16"/>
      <w:lang w:val="en-US" w:eastAsia="es-CL"/>
    </w:rPr>
  </w:style>
  <w:style w:type="character" w:styleId="Strong">
    <w:name w:val="Strong"/>
    <w:basedOn w:val="DefaultParagraphFont"/>
    <w:uiPriority w:val="22"/>
    <w:qFormat/>
    <w:rsid w:val="00720BCC"/>
    <w:rPr>
      <w:b/>
      <w:bCs/>
    </w:rPr>
  </w:style>
  <w:style w:type="paragraph" w:styleId="NormalWeb">
    <w:name w:val="Normal (Web)"/>
    <w:basedOn w:val="Normal"/>
    <w:uiPriority w:val="99"/>
    <w:semiHidden/>
    <w:unhideWhenUsed/>
    <w:rsid w:val="00720BCC"/>
    <w:pPr>
      <w:spacing w:before="100" w:beforeAutospacing="1" w:after="100" w:afterAutospacing="1" w:line="252" w:lineRule="auto"/>
      <w:jc w:val="both"/>
    </w:pPr>
    <w:rPr>
      <w:rFonts w:ascii="Times New Roman" w:eastAsia="Times New Roman" w:hAnsi="Times New Roman" w:cs="Times New Roman"/>
      <w:sz w:val="24"/>
      <w:szCs w:val="24"/>
      <w:lang w:val="en-US" w:eastAsia="es-CL"/>
    </w:rPr>
  </w:style>
  <w:style w:type="paragraph" w:styleId="FootnoteText">
    <w:name w:val="footnote text"/>
    <w:basedOn w:val="Normal"/>
    <w:link w:val="FootnoteTextChar"/>
    <w:uiPriority w:val="99"/>
    <w:unhideWhenUsed/>
    <w:rsid w:val="00720BCC"/>
    <w:pPr>
      <w:spacing w:after="0" w:line="252" w:lineRule="auto"/>
      <w:jc w:val="both"/>
    </w:pPr>
    <w:rPr>
      <w:rFonts w:ascii="Times New Roman" w:eastAsia="Times New Roman" w:hAnsi="Times New Roman" w:cs="Times New Roman"/>
      <w:sz w:val="20"/>
      <w:lang w:val="es-ES" w:eastAsia="es-ES"/>
    </w:rPr>
  </w:style>
  <w:style w:type="character" w:customStyle="1" w:styleId="FootnoteTextChar">
    <w:name w:val="Footnote Text Char"/>
    <w:basedOn w:val="DefaultParagraphFont"/>
    <w:link w:val="FootnoteText"/>
    <w:uiPriority w:val="99"/>
    <w:rsid w:val="00720BCC"/>
    <w:rPr>
      <w:rFonts w:ascii="Times New Roman" w:eastAsia="Times New Roman" w:hAnsi="Times New Roman" w:cs="Times New Roman"/>
      <w:sz w:val="20"/>
      <w:lang w:val="es-ES" w:eastAsia="es-ES"/>
    </w:rPr>
  </w:style>
  <w:style w:type="paragraph" w:styleId="Header">
    <w:name w:val="header"/>
    <w:basedOn w:val="Normal"/>
    <w:link w:val="HeaderChar"/>
    <w:uiPriority w:val="99"/>
    <w:unhideWhenUsed/>
    <w:rsid w:val="00720BCC"/>
    <w:pPr>
      <w:tabs>
        <w:tab w:val="center" w:pos="4419"/>
        <w:tab w:val="right" w:pos="8838"/>
      </w:tabs>
      <w:spacing w:after="0" w:line="252" w:lineRule="auto"/>
      <w:jc w:val="both"/>
    </w:pPr>
    <w:rPr>
      <w:rFonts w:ascii="Segoe UI" w:eastAsia="Calibri" w:hAnsi="Segoe UI" w:cs="Arial"/>
      <w:sz w:val="20"/>
      <w:lang w:val="en-US" w:eastAsia="es-CL"/>
    </w:rPr>
  </w:style>
  <w:style w:type="character" w:customStyle="1" w:styleId="HeaderChar">
    <w:name w:val="Header Char"/>
    <w:basedOn w:val="DefaultParagraphFont"/>
    <w:link w:val="Header"/>
    <w:uiPriority w:val="99"/>
    <w:rsid w:val="00720BCC"/>
    <w:rPr>
      <w:rFonts w:ascii="Segoe UI" w:eastAsia="Calibri" w:hAnsi="Segoe UI" w:cs="Arial"/>
      <w:sz w:val="20"/>
      <w:lang w:val="en-US" w:eastAsia="es-CL"/>
    </w:rPr>
  </w:style>
  <w:style w:type="paragraph" w:styleId="Footer">
    <w:name w:val="footer"/>
    <w:basedOn w:val="Normal"/>
    <w:link w:val="FooterChar"/>
    <w:uiPriority w:val="99"/>
    <w:unhideWhenUsed/>
    <w:rsid w:val="00720BCC"/>
    <w:pPr>
      <w:tabs>
        <w:tab w:val="center" w:pos="4419"/>
        <w:tab w:val="right" w:pos="8838"/>
      </w:tabs>
      <w:spacing w:after="0" w:line="252" w:lineRule="auto"/>
      <w:jc w:val="both"/>
    </w:pPr>
    <w:rPr>
      <w:rFonts w:ascii="Segoe UI" w:eastAsia="Calibri" w:hAnsi="Segoe UI" w:cs="Arial"/>
      <w:sz w:val="20"/>
      <w:lang w:val="en-US" w:eastAsia="es-CL"/>
    </w:rPr>
  </w:style>
  <w:style w:type="character" w:customStyle="1" w:styleId="FooterChar">
    <w:name w:val="Footer Char"/>
    <w:basedOn w:val="DefaultParagraphFont"/>
    <w:link w:val="Footer"/>
    <w:uiPriority w:val="99"/>
    <w:rsid w:val="00720BCC"/>
    <w:rPr>
      <w:rFonts w:ascii="Segoe UI" w:eastAsia="Calibri" w:hAnsi="Segoe UI" w:cs="Arial"/>
      <w:sz w:val="20"/>
      <w:lang w:val="en-US" w:eastAsia="es-CL"/>
    </w:rPr>
  </w:style>
  <w:style w:type="character" w:customStyle="1" w:styleId="pv-branch">
    <w:name w:val="pv-branch"/>
    <w:basedOn w:val="DefaultParagraphFont"/>
    <w:rsid w:val="00720BCC"/>
  </w:style>
  <w:style w:type="paragraph" w:styleId="Caption">
    <w:name w:val="caption"/>
    <w:basedOn w:val="Normal"/>
    <w:next w:val="Normal"/>
    <w:uiPriority w:val="35"/>
    <w:unhideWhenUsed/>
    <w:qFormat/>
    <w:rsid w:val="00720BCC"/>
    <w:pPr>
      <w:spacing w:after="0" w:line="252" w:lineRule="auto"/>
      <w:jc w:val="both"/>
    </w:pPr>
    <w:rPr>
      <w:rFonts w:ascii="Segoe UI" w:eastAsia="Calibri" w:hAnsi="Segoe UI" w:cs="Arial"/>
      <w:b/>
      <w:bCs/>
      <w:color w:val="5B9BD5" w:themeColor="accent1"/>
      <w:sz w:val="18"/>
      <w:szCs w:val="18"/>
      <w:lang w:val="en-US" w:eastAsia="es-CL"/>
    </w:rPr>
  </w:style>
  <w:style w:type="paragraph" w:styleId="ListParagraph">
    <w:name w:val="List Paragraph"/>
    <w:basedOn w:val="Normal"/>
    <w:uiPriority w:val="34"/>
    <w:qFormat/>
    <w:rsid w:val="00720BCC"/>
    <w:pPr>
      <w:spacing w:after="0" w:line="252" w:lineRule="auto"/>
      <w:ind w:left="720"/>
      <w:contextualSpacing/>
      <w:jc w:val="both"/>
    </w:pPr>
    <w:rPr>
      <w:rFonts w:ascii="Segoe UI" w:eastAsia="Calibri" w:hAnsi="Segoe UI" w:cs="Arial"/>
      <w:sz w:val="20"/>
      <w:lang w:val="en-US" w:eastAsia="es-CL"/>
    </w:rPr>
  </w:style>
  <w:style w:type="paragraph" w:styleId="TOCHeading">
    <w:name w:val="TOC Heading"/>
    <w:basedOn w:val="Heading1"/>
    <w:next w:val="Normal"/>
    <w:uiPriority w:val="39"/>
    <w:unhideWhenUsed/>
    <w:qFormat/>
    <w:rsid w:val="00720BCC"/>
    <w:pPr>
      <w:keepNext/>
      <w:keepLines/>
      <w:numPr>
        <w:numId w:val="0"/>
      </w:numPr>
      <w:spacing w:before="240" w:line="259" w:lineRule="auto"/>
      <w:outlineLvl w:val="9"/>
    </w:pPr>
    <w:rPr>
      <w:rFonts w:asciiTheme="majorHAnsi" w:eastAsiaTheme="majorEastAsia" w:hAnsiTheme="majorHAnsi" w:cstheme="majorBidi"/>
      <w:b w:val="0"/>
      <w:bCs w:val="0"/>
      <w:color w:val="2E74B5" w:themeColor="accent1" w:themeShade="BF"/>
      <w:kern w:val="0"/>
      <w:sz w:val="32"/>
      <w:szCs w:val="32"/>
      <w:lang w:eastAsia="en-US"/>
    </w:rPr>
  </w:style>
  <w:style w:type="paragraph" w:styleId="TOC1">
    <w:name w:val="toc 1"/>
    <w:basedOn w:val="Normal"/>
    <w:next w:val="Normal"/>
    <w:autoRedefine/>
    <w:uiPriority w:val="39"/>
    <w:unhideWhenUsed/>
    <w:rsid w:val="00720BCC"/>
    <w:pPr>
      <w:spacing w:after="100" w:line="252" w:lineRule="auto"/>
      <w:jc w:val="both"/>
    </w:pPr>
    <w:rPr>
      <w:rFonts w:ascii="Segoe UI" w:eastAsia="Calibri" w:hAnsi="Segoe UI" w:cs="Arial"/>
      <w:sz w:val="20"/>
      <w:lang w:val="en-US" w:eastAsia="es-CL"/>
    </w:rPr>
  </w:style>
  <w:style w:type="paragraph" w:styleId="TOC2">
    <w:name w:val="toc 2"/>
    <w:basedOn w:val="Normal"/>
    <w:next w:val="Normal"/>
    <w:autoRedefine/>
    <w:uiPriority w:val="39"/>
    <w:unhideWhenUsed/>
    <w:rsid w:val="00720BCC"/>
    <w:pPr>
      <w:tabs>
        <w:tab w:val="left" w:pos="880"/>
        <w:tab w:val="right" w:leader="dot" w:pos="8828"/>
      </w:tabs>
      <w:spacing w:after="0" w:line="252" w:lineRule="auto"/>
      <w:ind w:left="202"/>
      <w:jc w:val="both"/>
    </w:pPr>
    <w:rPr>
      <w:rFonts w:ascii="Segoe UI" w:eastAsia="Calibri" w:hAnsi="Segoe UI" w:cs="Arial"/>
      <w:sz w:val="20"/>
      <w:lang w:val="en-US" w:eastAsia="es-CL"/>
    </w:rPr>
  </w:style>
  <w:style w:type="paragraph" w:styleId="TOC3">
    <w:name w:val="toc 3"/>
    <w:basedOn w:val="Normal"/>
    <w:next w:val="Normal"/>
    <w:autoRedefine/>
    <w:uiPriority w:val="39"/>
    <w:unhideWhenUsed/>
    <w:rsid w:val="00720BCC"/>
    <w:pPr>
      <w:tabs>
        <w:tab w:val="left" w:pos="1320"/>
        <w:tab w:val="right" w:leader="dot" w:pos="8828"/>
      </w:tabs>
      <w:spacing w:after="0" w:line="252" w:lineRule="auto"/>
      <w:ind w:left="403"/>
      <w:jc w:val="both"/>
    </w:pPr>
    <w:rPr>
      <w:rFonts w:ascii="Segoe UI" w:eastAsia="Calibri" w:hAnsi="Segoe UI" w:cs="Arial"/>
      <w:noProof/>
      <w:sz w:val="16"/>
      <w:lang w:val="en-US" w:eastAsia="es-CL"/>
    </w:rPr>
  </w:style>
  <w:style w:type="table" w:styleId="TableGrid">
    <w:name w:val="Table Grid"/>
    <w:basedOn w:val="TableNormal"/>
    <w:uiPriority w:val="39"/>
    <w:rsid w:val="00720BCC"/>
    <w:pPr>
      <w:spacing w:after="0" w:line="240" w:lineRule="auto"/>
      <w:jc w:val="both"/>
    </w:pPr>
    <w:rPr>
      <w:rFonts w:ascii="Calibri Light" w:eastAsia="Calibri Light" w:hAnsi="Calibri Light" w:cs="Calibri Light"/>
      <w:lang w:val="en-U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0BCC"/>
    <w:pPr>
      <w:autoSpaceDE w:val="0"/>
      <w:autoSpaceDN w:val="0"/>
      <w:adjustRightInd w:val="0"/>
      <w:spacing w:after="0" w:line="240" w:lineRule="auto"/>
      <w:jc w:val="both"/>
    </w:pPr>
    <w:rPr>
      <w:rFonts w:ascii="Calibri" w:eastAsia="Calibri Light" w:hAnsi="Calibri" w:cs="Calibri"/>
      <w:color w:val="000000"/>
      <w:sz w:val="24"/>
      <w:szCs w:val="24"/>
      <w:lang w:val="en-US" w:eastAsia="es-CL"/>
    </w:rPr>
  </w:style>
  <w:style w:type="character" w:styleId="FootnoteReference">
    <w:name w:val="footnote reference"/>
    <w:uiPriority w:val="99"/>
    <w:semiHidden/>
    <w:unhideWhenUsed/>
    <w:rsid w:val="00720BCC"/>
    <w:rPr>
      <w:vertAlign w:val="superscript"/>
    </w:rPr>
  </w:style>
  <w:style w:type="paragraph" w:styleId="HTMLPreformatted">
    <w:name w:val="HTML Preformatted"/>
    <w:basedOn w:val="Normal"/>
    <w:link w:val="HTMLPreformattedChar"/>
    <w:uiPriority w:val="99"/>
    <w:semiHidden/>
    <w:unhideWhenUsed/>
    <w:rsid w:val="00720B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pPr>
    <w:rPr>
      <w:rFonts w:ascii="Courier New" w:eastAsia="Times New Roman" w:hAnsi="Courier New" w:cs="Courier New"/>
      <w:sz w:val="20"/>
      <w:lang w:val="en-US"/>
    </w:rPr>
  </w:style>
  <w:style w:type="character" w:customStyle="1" w:styleId="HTMLPreformattedChar">
    <w:name w:val="HTML Preformatted Char"/>
    <w:basedOn w:val="DefaultParagraphFont"/>
    <w:link w:val="HTMLPreformatted"/>
    <w:uiPriority w:val="99"/>
    <w:semiHidden/>
    <w:rsid w:val="00720BCC"/>
    <w:rPr>
      <w:rFonts w:ascii="Courier New" w:eastAsia="Times New Roman" w:hAnsi="Courier New" w:cs="Courier New"/>
      <w:sz w:val="20"/>
      <w:lang w:val="en-US"/>
    </w:rPr>
  </w:style>
  <w:style w:type="character" w:styleId="Emphasis">
    <w:name w:val="Emphasis"/>
    <w:basedOn w:val="DefaultParagraphFont"/>
    <w:uiPriority w:val="20"/>
    <w:qFormat/>
    <w:rsid w:val="00720BCC"/>
    <w:rPr>
      <w:i/>
      <w:iCs/>
    </w:rPr>
  </w:style>
  <w:style w:type="character" w:customStyle="1" w:styleId="A11">
    <w:name w:val="A1+1"/>
    <w:uiPriority w:val="99"/>
    <w:rsid w:val="00720BCC"/>
    <w:rPr>
      <w:color w:val="000000"/>
      <w:sz w:val="16"/>
      <w:szCs w:val="16"/>
    </w:rPr>
  </w:style>
  <w:style w:type="character" w:styleId="FollowedHyperlink">
    <w:name w:val="FollowedHyperlink"/>
    <w:basedOn w:val="DefaultParagraphFont"/>
    <w:uiPriority w:val="99"/>
    <w:semiHidden/>
    <w:unhideWhenUsed/>
    <w:rsid w:val="00720BCC"/>
    <w:rPr>
      <w:color w:val="954F72" w:themeColor="followedHyperlink"/>
      <w:u w:val="single"/>
    </w:rPr>
  </w:style>
  <w:style w:type="character" w:styleId="LineNumber">
    <w:name w:val="line number"/>
    <w:basedOn w:val="DefaultParagraphFont"/>
    <w:uiPriority w:val="99"/>
    <w:semiHidden/>
    <w:unhideWhenUsed/>
    <w:rsid w:val="00720BCC"/>
  </w:style>
  <w:style w:type="paragraph" w:styleId="Subtitle">
    <w:name w:val="Subtitle"/>
    <w:basedOn w:val="Normal"/>
    <w:next w:val="Normal"/>
    <w:link w:val="SubtitleChar"/>
    <w:uiPriority w:val="11"/>
    <w:qFormat/>
    <w:rsid w:val="00720BCC"/>
    <w:pPr>
      <w:keepNext/>
      <w:keepLines/>
      <w:spacing w:before="360" w:after="80" w:line="252" w:lineRule="auto"/>
      <w:jc w:val="both"/>
    </w:pPr>
    <w:rPr>
      <w:rFonts w:ascii="Georgia" w:eastAsia="Georgia" w:hAnsi="Georgia" w:cs="Georgia"/>
      <w:i/>
      <w:color w:val="666666"/>
      <w:sz w:val="48"/>
      <w:szCs w:val="48"/>
      <w:lang w:val="en-US" w:eastAsia="es-CL"/>
    </w:rPr>
  </w:style>
  <w:style w:type="character" w:customStyle="1" w:styleId="SubtitleChar">
    <w:name w:val="Subtitle Char"/>
    <w:basedOn w:val="DefaultParagraphFont"/>
    <w:link w:val="Subtitle"/>
    <w:uiPriority w:val="11"/>
    <w:rsid w:val="00720BCC"/>
    <w:rPr>
      <w:rFonts w:ascii="Georgia" w:eastAsia="Georgia" w:hAnsi="Georgia" w:cs="Georgia"/>
      <w:i/>
      <w:color w:val="666666"/>
      <w:sz w:val="48"/>
      <w:szCs w:val="48"/>
      <w:lang w:val="en-US" w:eastAsia="es-CL"/>
    </w:rPr>
  </w:style>
  <w:style w:type="table" w:customStyle="1" w:styleId="9">
    <w:name w:val="9"/>
    <w:basedOn w:val="TableNormal11"/>
    <w:rsid w:val="00720BCC"/>
    <w:pPr>
      <w:spacing w:line="240" w:lineRule="auto"/>
    </w:pPr>
    <w:tblPr>
      <w:tblStyleRowBandSize w:val="1"/>
      <w:tblStyleColBandSize w:val="1"/>
      <w:tblCellMar>
        <w:left w:w="108" w:type="dxa"/>
        <w:right w:w="108" w:type="dxa"/>
      </w:tblCellMar>
    </w:tblPr>
  </w:style>
  <w:style w:type="paragraph" w:customStyle="1" w:styleId="Pa6">
    <w:name w:val="Pa6"/>
    <w:basedOn w:val="Default"/>
    <w:next w:val="Default"/>
    <w:uiPriority w:val="99"/>
    <w:rsid w:val="00720BCC"/>
    <w:pPr>
      <w:spacing w:line="241" w:lineRule="atLeast"/>
      <w:jc w:val="left"/>
    </w:pPr>
    <w:rPr>
      <w:rFonts w:ascii="Times New Roman" w:hAnsi="Times New Roman" w:cs="Times New Roman"/>
      <w:color w:val="auto"/>
    </w:rPr>
  </w:style>
  <w:style w:type="paragraph" w:styleId="Revision">
    <w:name w:val="Revision"/>
    <w:hidden/>
    <w:uiPriority w:val="99"/>
    <w:semiHidden/>
    <w:rsid w:val="00720BCC"/>
    <w:pPr>
      <w:spacing w:after="0" w:line="240" w:lineRule="auto"/>
    </w:pPr>
    <w:rPr>
      <w:rFonts w:ascii="Calibri Light" w:eastAsia="Calibri" w:hAnsi="Calibri Light" w:cs="Arial"/>
      <w:lang w:val="en-US" w:eastAsia="es-CL"/>
    </w:rPr>
  </w:style>
  <w:style w:type="table" w:customStyle="1" w:styleId="8">
    <w:name w:val="8"/>
    <w:basedOn w:val="TableNormal1"/>
    <w:rsid w:val="00720BCC"/>
    <w:pPr>
      <w:spacing w:line="240" w:lineRule="auto"/>
    </w:pPr>
    <w:tblPr>
      <w:tblStyleRowBandSize w:val="1"/>
      <w:tblStyleColBandSize w:val="1"/>
      <w:tblCellMar>
        <w:left w:w="108" w:type="dxa"/>
        <w:right w:w="108" w:type="dxa"/>
      </w:tblCellMar>
    </w:tblPr>
  </w:style>
  <w:style w:type="table" w:customStyle="1" w:styleId="7">
    <w:name w:val="7"/>
    <w:basedOn w:val="TableNormal1"/>
    <w:rsid w:val="00720BCC"/>
    <w:pPr>
      <w:spacing w:line="240" w:lineRule="auto"/>
    </w:pPr>
    <w:tblPr>
      <w:tblStyleRowBandSize w:val="1"/>
      <w:tblStyleColBandSize w:val="1"/>
      <w:tblCellMar>
        <w:left w:w="108" w:type="dxa"/>
        <w:right w:w="108" w:type="dxa"/>
      </w:tblCellMar>
    </w:tblPr>
  </w:style>
  <w:style w:type="table" w:customStyle="1" w:styleId="6">
    <w:name w:val="6"/>
    <w:basedOn w:val="TableNormal1"/>
    <w:rsid w:val="00720BCC"/>
    <w:pPr>
      <w:spacing w:line="240" w:lineRule="auto"/>
    </w:pPr>
    <w:tblPr>
      <w:tblStyleRowBandSize w:val="1"/>
      <w:tblStyleColBandSize w:val="1"/>
      <w:tblCellMar>
        <w:left w:w="108" w:type="dxa"/>
        <w:right w:w="108" w:type="dxa"/>
      </w:tblCellMar>
    </w:tblPr>
  </w:style>
  <w:style w:type="table" w:customStyle="1" w:styleId="5">
    <w:name w:val="5"/>
    <w:basedOn w:val="TableNormal1"/>
    <w:rsid w:val="00720BCC"/>
    <w:pPr>
      <w:spacing w:line="240" w:lineRule="auto"/>
    </w:pPr>
    <w:tblPr>
      <w:tblStyleRowBandSize w:val="1"/>
      <w:tblStyleColBandSize w:val="1"/>
      <w:tblCellMar>
        <w:left w:w="108" w:type="dxa"/>
        <w:right w:w="108" w:type="dxa"/>
      </w:tblCellMar>
    </w:tblPr>
  </w:style>
  <w:style w:type="table" w:customStyle="1" w:styleId="4">
    <w:name w:val="4"/>
    <w:basedOn w:val="TableNormal1"/>
    <w:rsid w:val="00720BCC"/>
    <w:pPr>
      <w:spacing w:line="240" w:lineRule="auto"/>
    </w:pPr>
    <w:tblPr>
      <w:tblStyleRowBandSize w:val="1"/>
      <w:tblStyleColBandSize w:val="1"/>
      <w:tblCellMar>
        <w:left w:w="108" w:type="dxa"/>
        <w:right w:w="108" w:type="dxa"/>
      </w:tblCellMar>
    </w:tblPr>
  </w:style>
  <w:style w:type="table" w:customStyle="1" w:styleId="3">
    <w:name w:val="3"/>
    <w:basedOn w:val="TableNormal1"/>
    <w:rsid w:val="00720BCC"/>
    <w:pPr>
      <w:spacing w:line="240" w:lineRule="auto"/>
    </w:pPr>
    <w:tblPr>
      <w:tblStyleRowBandSize w:val="1"/>
      <w:tblStyleColBandSize w:val="1"/>
      <w:tblCellMar>
        <w:left w:w="108" w:type="dxa"/>
        <w:right w:w="108" w:type="dxa"/>
      </w:tblCellMar>
    </w:tblPr>
  </w:style>
  <w:style w:type="table" w:customStyle="1" w:styleId="2">
    <w:name w:val="2"/>
    <w:basedOn w:val="TableNormal1"/>
    <w:rsid w:val="00720BCC"/>
    <w:pPr>
      <w:spacing w:line="240" w:lineRule="auto"/>
    </w:pPr>
    <w:tblPr>
      <w:tblStyleRowBandSize w:val="1"/>
      <w:tblStyleColBandSize w:val="1"/>
      <w:tblCellMar>
        <w:left w:w="108" w:type="dxa"/>
        <w:right w:w="108" w:type="dxa"/>
      </w:tblCellMar>
    </w:tblPr>
  </w:style>
  <w:style w:type="table" w:customStyle="1" w:styleId="1">
    <w:name w:val="1"/>
    <w:basedOn w:val="TableNormal1"/>
    <w:rsid w:val="00720BCC"/>
    <w:pPr>
      <w:spacing w:line="240" w:lineRule="auto"/>
    </w:pPr>
    <w:tblPr>
      <w:tblStyleRowBandSize w:val="1"/>
      <w:tblStyleColBandSize w:val="1"/>
      <w:tblCellMar>
        <w:left w:w="108" w:type="dxa"/>
        <w:right w:w="108" w:type="dxa"/>
      </w:tblCellMar>
    </w:tblPr>
  </w:style>
  <w:style w:type="paragraph" w:styleId="NoSpacing">
    <w:name w:val="No Spacing"/>
    <w:uiPriority w:val="1"/>
    <w:qFormat/>
    <w:rsid w:val="00720BCC"/>
    <w:pPr>
      <w:spacing w:after="0" w:line="240" w:lineRule="auto"/>
      <w:jc w:val="both"/>
    </w:pPr>
    <w:rPr>
      <w:rFonts w:ascii="Segoe UI" w:eastAsia="Calibri" w:hAnsi="Segoe UI" w:cs="Arial"/>
      <w:sz w:val="20"/>
      <w:lang w:val="en-US" w:eastAsia="es-CL"/>
    </w:rPr>
  </w:style>
  <w:style w:type="character" w:customStyle="1" w:styleId="cf01">
    <w:name w:val="cf01"/>
    <w:basedOn w:val="DefaultParagraphFont"/>
    <w:rsid w:val="00720BCC"/>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720BCC"/>
    <w:rPr>
      <w:color w:val="605E5C"/>
      <w:shd w:val="clear" w:color="auto" w:fill="E1DFDD"/>
    </w:rPr>
  </w:style>
  <w:style w:type="character" w:styleId="PlaceholderText">
    <w:name w:val="Placeholder Text"/>
    <w:basedOn w:val="DefaultParagraphFont"/>
    <w:uiPriority w:val="99"/>
    <w:semiHidden/>
    <w:rsid w:val="00720BCC"/>
    <w:rPr>
      <w:color w:val="808080"/>
    </w:rPr>
  </w:style>
  <w:style w:type="paragraph" w:customStyle="1" w:styleId="msonormal0">
    <w:name w:val="msonormal"/>
    <w:basedOn w:val="Normal"/>
    <w:rsid w:val="00720BC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720BCC"/>
    <w:pPr>
      <w:spacing w:before="100" w:beforeAutospacing="1" w:after="100" w:afterAutospacing="1" w:line="240" w:lineRule="auto"/>
    </w:pPr>
    <w:rPr>
      <w:rFonts w:ascii="Tahoma" w:eastAsia="Times New Roman" w:hAnsi="Tahoma" w:cs="Tahoma"/>
      <w:color w:val="000000"/>
      <w:sz w:val="18"/>
      <w:szCs w:val="18"/>
      <w:lang w:val="en-US"/>
    </w:rPr>
  </w:style>
  <w:style w:type="paragraph" w:customStyle="1" w:styleId="font6">
    <w:name w:val="font6"/>
    <w:basedOn w:val="Normal"/>
    <w:rsid w:val="00720BC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5">
    <w:name w:val="xl65"/>
    <w:basedOn w:val="Normal"/>
    <w:rsid w:val="00720BCC"/>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66">
    <w:name w:val="xl66"/>
    <w:basedOn w:val="Normal"/>
    <w:rsid w:val="00720BCC"/>
    <w:pPr>
      <w:pBdr>
        <w:top w:val="single" w:sz="4" w:space="0" w:color="auto"/>
        <w:left w:val="single" w:sz="4" w:space="0" w:color="auto"/>
        <w:bottom w:val="single" w:sz="4" w:space="0" w:color="auto"/>
        <w:right w:val="single" w:sz="4" w:space="0" w:color="auto"/>
      </w:pBdr>
      <w:shd w:val="clear" w:color="000000" w:fill="1F4E78"/>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67">
    <w:name w:val="xl67"/>
    <w:basedOn w:val="Normal"/>
    <w:rsid w:val="00720BCC"/>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68">
    <w:name w:val="xl68"/>
    <w:basedOn w:val="Normal"/>
    <w:rsid w:val="00720BCC"/>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69">
    <w:name w:val="xl69"/>
    <w:basedOn w:val="Normal"/>
    <w:rsid w:val="00720BCC"/>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70">
    <w:name w:val="xl70"/>
    <w:basedOn w:val="Normal"/>
    <w:rsid w:val="00720BCC"/>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71">
    <w:name w:val="xl71"/>
    <w:basedOn w:val="Normal"/>
    <w:rsid w:val="00720BCC"/>
    <w:pPr>
      <w:pBdr>
        <w:top w:val="single" w:sz="4" w:space="0" w:color="auto"/>
        <w:left w:val="single" w:sz="4" w:space="0" w:color="auto"/>
        <w:bottom w:val="single" w:sz="4" w:space="0" w:color="auto"/>
        <w:right w:val="single" w:sz="4" w:space="0" w:color="auto"/>
      </w:pBdr>
      <w:shd w:val="clear" w:color="000000" w:fill="CC00FF"/>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72">
    <w:name w:val="xl72"/>
    <w:basedOn w:val="Normal"/>
    <w:rsid w:val="00720BC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73">
    <w:name w:val="xl73"/>
    <w:basedOn w:val="Normal"/>
    <w:rsid w:val="00720BCC"/>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74">
    <w:name w:val="xl74"/>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5">
    <w:name w:val="xl75"/>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en-US"/>
    </w:rPr>
  </w:style>
  <w:style w:type="paragraph" w:customStyle="1" w:styleId="xl76">
    <w:name w:val="xl76"/>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7">
    <w:name w:val="xl77"/>
    <w:basedOn w:val="Normal"/>
    <w:rsid w:val="00720B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8">
    <w:name w:val="xl78"/>
    <w:basedOn w:val="Normal"/>
    <w:rsid w:val="00720BCC"/>
    <w:pPr>
      <w:pBdr>
        <w:left w:val="single" w:sz="4" w:space="0" w:color="auto"/>
        <w:right w:val="single" w:sz="4" w:space="0" w:color="auto"/>
      </w:pBdr>
      <w:shd w:val="clear" w:color="000000" w:fill="FF000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79">
    <w:name w:val="xl79"/>
    <w:basedOn w:val="Normal"/>
    <w:rsid w:val="00720BCC"/>
    <w:pPr>
      <w:pBdr>
        <w:left w:val="single" w:sz="4" w:space="0" w:color="auto"/>
      </w:pBdr>
      <w:shd w:val="clear" w:color="000000" w:fill="FF0000"/>
      <w:spacing w:before="100" w:beforeAutospacing="1" w:after="100" w:afterAutospacing="1" w:line="240" w:lineRule="auto"/>
      <w:jc w:val="center"/>
      <w:textAlignment w:val="top"/>
    </w:pPr>
    <w:rPr>
      <w:rFonts w:ascii="Segoe UI" w:eastAsia="Times New Roman" w:hAnsi="Segoe UI" w:cs="Segoe UI"/>
      <w:b/>
      <w:bCs/>
      <w:color w:val="FFFFFF"/>
      <w:sz w:val="20"/>
      <w:szCs w:val="20"/>
      <w:lang w:val="en-US"/>
    </w:rPr>
  </w:style>
  <w:style w:type="paragraph" w:customStyle="1" w:styleId="xl80">
    <w:name w:val="xl80"/>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720BCC"/>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720BCC"/>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3">
    <w:name w:val="xl83"/>
    <w:basedOn w:val="Normal"/>
    <w:rsid w:val="00720BCC"/>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4">
    <w:name w:val="xl84"/>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5">
    <w:name w:val="xl85"/>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6">
    <w:name w:val="xl86"/>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7">
    <w:name w:val="xl87"/>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8">
    <w:name w:val="xl88"/>
    <w:basedOn w:val="Normal"/>
    <w:rsid w:val="00720BCC"/>
    <w:pPr>
      <w:shd w:val="clear" w:color="000000" w:fill="FFC00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9">
    <w:name w:val="xl89"/>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FF0000"/>
      <w:sz w:val="24"/>
      <w:szCs w:val="24"/>
      <w:lang w:val="en-US"/>
    </w:rPr>
  </w:style>
  <w:style w:type="paragraph" w:customStyle="1" w:styleId="xl90">
    <w:name w:val="xl90"/>
    <w:basedOn w:val="Normal"/>
    <w:rsid w:val="00720B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1">
    <w:name w:val="xl91"/>
    <w:basedOn w:val="Normal"/>
    <w:rsid w:val="00720B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2">
    <w:name w:val="xl92"/>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3">
    <w:name w:val="xl93"/>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4">
    <w:name w:val="xl94"/>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5">
    <w:name w:val="xl95"/>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table" w:styleId="PlainTable1">
    <w:name w:val="Plain Table 1"/>
    <w:basedOn w:val="TableNormal"/>
    <w:uiPriority w:val="41"/>
    <w:rsid w:val="00720BCC"/>
    <w:pPr>
      <w:spacing w:after="0" w:line="240" w:lineRule="auto"/>
      <w:jc w:val="both"/>
    </w:pPr>
    <w:rPr>
      <w:rFonts w:ascii="Calibri Light" w:eastAsia="Calibri Light" w:hAnsi="Calibri Light" w:cs="Calibri Light"/>
      <w:lang w:val="en-US" w:eastAsia="es-C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ont7">
    <w:name w:val="font7"/>
    <w:basedOn w:val="Normal"/>
    <w:rsid w:val="00720BCC"/>
    <w:pPr>
      <w:spacing w:before="100" w:beforeAutospacing="1" w:after="100" w:afterAutospacing="1" w:line="240" w:lineRule="auto"/>
    </w:pPr>
    <w:rPr>
      <w:rFonts w:ascii="Arial Narrow" w:eastAsia="Times New Roman" w:hAnsi="Arial Narrow" w:cs="Times New Roman"/>
      <w:b/>
      <w:bCs/>
      <w:color w:val="FFFFFF"/>
      <w:sz w:val="20"/>
      <w:szCs w:val="20"/>
      <w:lang w:val="en-US"/>
    </w:rPr>
  </w:style>
  <w:style w:type="paragraph" w:customStyle="1" w:styleId="xl97">
    <w:name w:val="xl97"/>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98">
    <w:name w:val="xl98"/>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99">
    <w:name w:val="xl99"/>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00">
    <w:name w:val="xl100"/>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01">
    <w:name w:val="xl101"/>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02">
    <w:name w:val="xl102"/>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03">
    <w:name w:val="xl103"/>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04">
    <w:name w:val="xl104"/>
    <w:basedOn w:val="Normal"/>
    <w:rsid w:val="00720BCC"/>
    <w:pP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05">
    <w:name w:val="xl105"/>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FF0000"/>
      <w:sz w:val="24"/>
      <w:szCs w:val="24"/>
      <w:lang w:val="en-US"/>
    </w:rPr>
  </w:style>
  <w:style w:type="paragraph" w:customStyle="1" w:styleId="xl106">
    <w:name w:val="xl106"/>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color w:val="FF0000"/>
      <w:sz w:val="24"/>
      <w:szCs w:val="24"/>
      <w:lang w:val="en-US"/>
    </w:rPr>
  </w:style>
  <w:style w:type="paragraph" w:customStyle="1" w:styleId="xl107">
    <w:name w:val="xl107"/>
    <w:basedOn w:val="Normal"/>
    <w:rsid w:val="00720BCC"/>
    <w:pPr>
      <w:shd w:val="clear" w:color="000000" w:fill="FFFFFF"/>
      <w:spacing w:before="100" w:beforeAutospacing="1" w:after="100" w:afterAutospacing="1" w:line="240" w:lineRule="auto"/>
    </w:pPr>
    <w:rPr>
      <w:rFonts w:ascii="Arial Narrow" w:eastAsia="Times New Roman" w:hAnsi="Arial Narrow" w:cs="Times New Roman"/>
      <w:color w:val="FF0000"/>
      <w:sz w:val="24"/>
      <w:szCs w:val="24"/>
      <w:lang w:val="en-US"/>
    </w:rPr>
  </w:style>
  <w:style w:type="paragraph" w:customStyle="1" w:styleId="xl108">
    <w:name w:val="xl108"/>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09">
    <w:name w:val="xl109"/>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10">
    <w:name w:val="xl110"/>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color w:val="FF0000"/>
      <w:sz w:val="24"/>
      <w:szCs w:val="24"/>
      <w:lang w:val="en-US"/>
    </w:rPr>
  </w:style>
  <w:style w:type="paragraph" w:customStyle="1" w:styleId="xl111">
    <w:name w:val="xl111"/>
    <w:basedOn w:val="Normal"/>
    <w:rsid w:val="00720BC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12">
    <w:name w:val="xl112"/>
    <w:basedOn w:val="Normal"/>
    <w:rsid w:val="00720B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13">
    <w:name w:val="xl113"/>
    <w:basedOn w:val="Normal"/>
    <w:rsid w:val="00720B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14">
    <w:name w:val="xl114"/>
    <w:basedOn w:val="Normal"/>
    <w:rsid w:val="00720BCC"/>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15">
    <w:name w:val="xl115"/>
    <w:basedOn w:val="Normal"/>
    <w:rsid w:val="00720BCC"/>
    <w:pPr>
      <w:shd w:val="clear" w:color="000000" w:fill="FFC000"/>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16">
    <w:name w:val="xl116"/>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val="en-US"/>
    </w:rPr>
  </w:style>
  <w:style w:type="paragraph" w:customStyle="1" w:styleId="xl117">
    <w:name w:val="xl117"/>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24"/>
      <w:szCs w:val="24"/>
      <w:lang w:val="en-US"/>
    </w:rPr>
  </w:style>
  <w:style w:type="paragraph" w:customStyle="1" w:styleId="xl118">
    <w:name w:val="xl118"/>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19">
    <w:name w:val="xl119"/>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20">
    <w:name w:val="xl120"/>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24"/>
      <w:szCs w:val="24"/>
      <w:lang w:val="en-US"/>
    </w:rPr>
  </w:style>
  <w:style w:type="paragraph" w:customStyle="1" w:styleId="xl121">
    <w:name w:val="xl121"/>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22">
    <w:name w:val="xl122"/>
    <w:basedOn w:val="Normal"/>
    <w:rsid w:val="00720BCC"/>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line="240" w:lineRule="auto"/>
      <w:textAlignment w:val="top"/>
    </w:pPr>
    <w:rPr>
      <w:rFonts w:ascii="Arial Narrow" w:eastAsia="Times New Roman" w:hAnsi="Arial Narrow" w:cs="Times New Roman"/>
      <w:b/>
      <w:bCs/>
      <w:color w:val="FFFFFF"/>
      <w:sz w:val="20"/>
      <w:szCs w:val="20"/>
      <w:lang w:val="en-US"/>
    </w:rPr>
  </w:style>
  <w:style w:type="paragraph" w:customStyle="1" w:styleId="xl123">
    <w:name w:val="xl123"/>
    <w:basedOn w:val="Normal"/>
    <w:rsid w:val="00720BC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color w:val="FF0000"/>
      <w:sz w:val="24"/>
      <w:szCs w:val="24"/>
      <w:lang w:val="en-US"/>
    </w:rPr>
  </w:style>
  <w:style w:type="paragraph" w:customStyle="1" w:styleId="xl124">
    <w:name w:val="xl124"/>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25">
    <w:name w:val="xl125"/>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26">
    <w:name w:val="xl126"/>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val="en-US"/>
    </w:rPr>
  </w:style>
  <w:style w:type="paragraph" w:customStyle="1" w:styleId="xl127">
    <w:name w:val="xl127"/>
    <w:basedOn w:val="Normal"/>
    <w:rsid w:val="00720B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val="en-US"/>
    </w:rPr>
  </w:style>
  <w:style w:type="paragraph" w:customStyle="1" w:styleId="xl128">
    <w:name w:val="xl128"/>
    <w:basedOn w:val="Normal"/>
    <w:rsid w:val="00720BCC"/>
    <w:pPr>
      <w:shd w:val="clear" w:color="000000" w:fill="FFFFFF"/>
      <w:spacing w:before="100" w:beforeAutospacing="1" w:after="100" w:afterAutospacing="1" w:line="240" w:lineRule="auto"/>
    </w:pPr>
    <w:rPr>
      <w:rFonts w:ascii="Arial Narrow" w:eastAsia="Times New Roman" w:hAnsi="Arial Narrow"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gdc.noaa.gov/nndc/struts/form?t=101650&amp;s=167&amp;d=16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tsun.sscc.ru/tsulab/tsu_catalogs.htm" TargetMode="External"/><Relationship Id="rId4" Type="http://schemas.openxmlformats.org/officeDocument/2006/relationships/webSettings" Target="webSettings.xml"/><Relationship Id="rId9" Type="http://schemas.openxmlformats.org/officeDocument/2006/relationships/hyperlink" Target="http://itic.ioc-unesco.org/index.php?option=com_content&amp;view=article&amp;id=1502:225&amp;catid=1333&amp;Itemid=1333"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youtu.be/bJEY4Nr7Aoc?si=t1OI_Ms21bpEUm0w" TargetMode="External"/><Relationship Id="rId2" Type="http://schemas.openxmlformats.org/officeDocument/2006/relationships/hyperlink" Target="https://youtu.be/5NtmYuBY-CM" TargetMode="External"/><Relationship Id="rId1" Type="http://schemas.openxmlformats.org/officeDocument/2006/relationships/hyperlink" Target="https://youtu.be/1vhsB36Xqkc" TargetMode="External"/><Relationship Id="rId6" Type="http://schemas.openxmlformats.org/officeDocument/2006/relationships/hyperlink" Target="https://youtu.be/wPgX0oWjHPs?si=F2e2ec7xA7rAXfO2" TargetMode="External"/><Relationship Id="rId5" Type="http://schemas.openxmlformats.org/officeDocument/2006/relationships/hyperlink" Target="https://youtu.be/dZ1ucMh_cGs?si=Q-iWpNuNrxDJKbHO" TargetMode="External"/><Relationship Id="rId4" Type="http://schemas.openxmlformats.org/officeDocument/2006/relationships/hyperlink" Target="https://youtu.be/Ha4Bf_xH7nI?si=HDTSfKPjI8-sN3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6807</Words>
  <Characters>38802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45518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Adhilakshmi D</dc:creator>
  <cp:keywords/>
  <dc:description/>
  <cp:lastModifiedBy>Adhilakshmi D</cp:lastModifiedBy>
  <cp:revision>2</cp:revision>
  <dcterms:created xsi:type="dcterms:W3CDTF">2026-08-05T06:11:00Z</dcterms:created>
  <dcterms:modified xsi:type="dcterms:W3CDTF">2026-08-05T06:14:00Z</dcterms:modified>
</cp:coreProperties>
</file>