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63" w:rsidRPr="00125D50" w:rsidRDefault="00B26B63" w:rsidP="00B26B63">
      <w:pPr>
        <w:rPr>
          <w:b/>
          <w:i/>
        </w:rPr>
      </w:pPr>
      <w:proofErr w:type="gramStart"/>
      <w:r w:rsidRPr="00125D50">
        <w:rPr>
          <w:b/>
          <w:i/>
        </w:rPr>
        <w:t xml:space="preserve">Comparison of methods of </w:t>
      </w:r>
      <w:proofErr w:type="spellStart"/>
      <w:r w:rsidRPr="00125D50">
        <w:rPr>
          <w:b/>
          <w:i/>
        </w:rPr>
        <w:t>cfDNA</w:t>
      </w:r>
      <w:proofErr w:type="spellEnd"/>
      <w:r w:rsidRPr="00125D50">
        <w:rPr>
          <w:b/>
          <w:i/>
        </w:rPr>
        <w:t xml:space="preserve"> quantification.</w:t>
      </w:r>
      <w:proofErr w:type="gramEnd"/>
      <w:r w:rsidRPr="00125D50">
        <w:rPr>
          <w:b/>
          <w:i/>
        </w:rPr>
        <w:t xml:space="preserve"> </w:t>
      </w:r>
    </w:p>
    <w:p w:rsidR="00B26B63" w:rsidRPr="00125D50" w:rsidRDefault="00B26B63" w:rsidP="00B26B63">
      <w:pPr>
        <w:rPr>
          <w:b/>
          <w:i/>
        </w:rPr>
      </w:pPr>
    </w:p>
    <w:p w:rsidR="00B26B63" w:rsidRPr="0054086E" w:rsidRDefault="00B26B63" w:rsidP="00B26B63">
      <w:pPr>
        <w:pStyle w:val="NormalWeb"/>
      </w:pPr>
      <w:r w:rsidRPr="00125D50">
        <w:rPr>
          <w:color w:val="000000" w:themeColor="text1"/>
        </w:rPr>
        <w:t xml:space="preserve">We analysed three septic non-survivor samples using both the method described in the main manuscript and with qPCR. </w:t>
      </w:r>
      <w:r w:rsidRPr="0054086E">
        <w:rPr>
          <w:iCs/>
          <w:color w:val="000000" w:themeColor="text1"/>
        </w:rPr>
        <w:t xml:space="preserve">QPCR was performed using cell-free DNA isolated from Septic plasma from survivors and non-survivors. </w:t>
      </w:r>
      <w:r w:rsidRPr="00125D50">
        <w:rPr>
          <w:iCs/>
          <w:color w:val="000000" w:themeColor="text1"/>
        </w:rPr>
        <w:t xml:space="preserve">Primers were </w:t>
      </w:r>
      <w:proofErr w:type="gramStart"/>
      <w:r w:rsidRPr="00125D50">
        <w:rPr>
          <w:iCs/>
          <w:color w:val="000000" w:themeColor="text1"/>
        </w:rPr>
        <w:t>those</w:t>
      </w:r>
      <w:proofErr w:type="gramEnd"/>
      <w:r w:rsidRPr="00125D50">
        <w:rPr>
          <w:iCs/>
          <w:color w:val="000000" w:themeColor="text1"/>
        </w:rPr>
        <w:t xml:space="preserve"> </w:t>
      </w:r>
      <w:r w:rsidRPr="00125D50">
        <w:t xml:space="preserve">Beta-globinY354F: 5’-GTG CAC CTG ACT CCT GAG </w:t>
      </w:r>
      <w:proofErr w:type="spellStart"/>
      <w:r w:rsidRPr="00125D50">
        <w:t>GAG</w:t>
      </w:r>
      <w:proofErr w:type="spellEnd"/>
      <w:r w:rsidRPr="00125D50">
        <w:t xml:space="preserve"> A-3’, Beta-globinY455R: 5’-CCT TGA TAC CAA CCT GCC CAG-3’. </w:t>
      </w:r>
      <w:r w:rsidRPr="0054086E">
        <w:rPr>
          <w:iCs/>
          <w:color w:val="000000" w:themeColor="text1"/>
        </w:rPr>
        <w:t>The samples were probed for beta-globin using SYBR-gree</w:t>
      </w:r>
      <w:r w:rsidRPr="00125D50">
        <w:rPr>
          <w:iCs/>
          <w:color w:val="000000" w:themeColor="text1"/>
        </w:rPr>
        <w:t xml:space="preserve">n. From the QPCR results we calculated the Genome equivalents (GE). The GE values were then converted to </w:t>
      </w:r>
      <w:proofErr w:type="spellStart"/>
      <w:r w:rsidRPr="00125D50">
        <w:rPr>
          <w:iCs/>
          <w:color w:val="000000" w:themeColor="text1"/>
        </w:rPr>
        <w:t>ug</w:t>
      </w:r>
      <w:proofErr w:type="spellEnd"/>
      <w:r w:rsidRPr="00125D50">
        <w:rPr>
          <w:iCs/>
          <w:color w:val="000000" w:themeColor="text1"/>
        </w:rPr>
        <w:t>/</w:t>
      </w:r>
      <w:proofErr w:type="spellStart"/>
      <w:r w:rsidRPr="00125D50">
        <w:rPr>
          <w:iCs/>
          <w:color w:val="000000" w:themeColor="text1"/>
        </w:rPr>
        <w:t>mL</w:t>
      </w:r>
      <w:r w:rsidRPr="00125D50">
        <w:rPr>
          <w:color w:val="000000" w:themeColor="text1"/>
        </w:rPr>
        <w:t>.</w:t>
      </w:r>
      <w:proofErr w:type="spellEnd"/>
      <w:r w:rsidRPr="00125D50">
        <w:rPr>
          <w:color w:val="000000" w:themeColor="text1"/>
        </w:rPr>
        <w:t xml:space="preserve"> </w:t>
      </w:r>
      <w:r w:rsidRPr="00125D50">
        <w:rPr>
          <w:iCs/>
          <w:color w:val="000000" w:themeColor="text1"/>
        </w:rPr>
        <w:t xml:space="preserve">The results in Supplemental Table 2 </w:t>
      </w:r>
      <w:r>
        <w:rPr>
          <w:iCs/>
          <w:color w:val="000000" w:themeColor="text1"/>
        </w:rPr>
        <w:t>demonstrate</w:t>
      </w:r>
      <w:r w:rsidRPr="00125D50">
        <w:rPr>
          <w:iCs/>
          <w:color w:val="000000" w:themeColor="text1"/>
        </w:rPr>
        <w:t xml:space="preserve"> that the</w:t>
      </w:r>
      <w:r w:rsidRPr="0054086E">
        <w:rPr>
          <w:iCs/>
          <w:color w:val="000000" w:themeColor="text1"/>
        </w:rPr>
        <w:t xml:space="preserve"> </w:t>
      </w:r>
      <w:r>
        <w:rPr>
          <w:iCs/>
          <w:color w:val="000000" w:themeColor="text1"/>
        </w:rPr>
        <w:t>q</w:t>
      </w:r>
      <w:r w:rsidRPr="0054086E">
        <w:rPr>
          <w:iCs/>
          <w:color w:val="000000" w:themeColor="text1"/>
        </w:rPr>
        <w:t xml:space="preserve">PCR is </w:t>
      </w:r>
      <w:r>
        <w:rPr>
          <w:iCs/>
          <w:color w:val="000000" w:themeColor="text1"/>
        </w:rPr>
        <w:t xml:space="preserve">less </w:t>
      </w:r>
      <w:r w:rsidRPr="0054086E">
        <w:rPr>
          <w:iCs/>
          <w:color w:val="000000" w:themeColor="text1"/>
        </w:rPr>
        <w:t>sensitive method for measuring cell-free DNA levels</w:t>
      </w:r>
      <w:r w:rsidRPr="00125D50">
        <w:rPr>
          <w:iCs/>
          <w:color w:val="000000" w:themeColor="text1"/>
        </w:rPr>
        <w:t xml:space="preserve">. </w:t>
      </w:r>
      <w:r w:rsidRPr="00125D50">
        <w:rPr>
          <w:color w:val="000000" w:themeColor="text1"/>
          <w:shd w:val="clear" w:color="auto" w:fill="FFFFFF"/>
        </w:rPr>
        <w:t>T</w:t>
      </w:r>
      <w:r w:rsidRPr="00772D44">
        <w:rPr>
          <w:color w:val="000000" w:themeColor="text1"/>
          <w:shd w:val="clear" w:color="auto" w:fill="FFFFFF"/>
        </w:rPr>
        <w:t>he amount of DNA quantified using the spectrophotometer is substantially higher than that quantified by PCR.</w:t>
      </w:r>
    </w:p>
    <w:p w:rsidR="00B26B63" w:rsidRPr="0054086E" w:rsidRDefault="00B26B63" w:rsidP="00B26B63">
      <w:pPr>
        <w:shd w:val="clear" w:color="auto" w:fill="FFFFFF"/>
        <w:rPr>
          <w:color w:val="222222"/>
        </w:rPr>
      </w:pPr>
    </w:p>
    <w:p w:rsidR="00B26B63" w:rsidRPr="00125D50" w:rsidRDefault="00B26B63" w:rsidP="00B26B63">
      <w:r>
        <w:rPr>
          <w:b/>
          <w:color w:val="000000" w:themeColor="text1"/>
          <w:lang w:eastAsia="en-CA"/>
        </w:rPr>
        <w:t>Additional file 2:</w:t>
      </w:r>
      <w:r w:rsidRPr="00125D50">
        <w:rPr>
          <w:b/>
          <w:color w:val="000000" w:themeColor="text1"/>
          <w:lang w:eastAsia="en-CA"/>
        </w:rPr>
        <w:t xml:space="preserve"> </w:t>
      </w:r>
      <w:r w:rsidRPr="00B82281">
        <w:rPr>
          <w:b/>
        </w:rPr>
        <w:t xml:space="preserve">Table </w:t>
      </w:r>
      <w:r>
        <w:rPr>
          <w:b/>
        </w:rPr>
        <w:t>S</w:t>
      </w:r>
      <w:r w:rsidRPr="00B82281">
        <w:rPr>
          <w:b/>
        </w:rPr>
        <w:t>2.</w:t>
      </w:r>
      <w:r w:rsidRPr="00125D50">
        <w:rPr>
          <w:i/>
        </w:rPr>
        <w:t xml:space="preserve"> </w:t>
      </w:r>
      <w:r w:rsidRPr="00125D50">
        <w:t xml:space="preserve">Comparison of methods of </w:t>
      </w:r>
      <w:proofErr w:type="spellStart"/>
      <w:r w:rsidRPr="00125D50">
        <w:t>cfDNA</w:t>
      </w:r>
      <w:proofErr w:type="spellEnd"/>
      <w:r w:rsidRPr="00125D50">
        <w:t xml:space="preserve"> quantification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26B63" w:rsidRPr="00125D50" w:rsidTr="009024F3">
        <w:tc>
          <w:tcPr>
            <w:tcW w:w="3116" w:type="dxa"/>
          </w:tcPr>
          <w:p w:rsidR="00B26B63" w:rsidRPr="00125D50" w:rsidRDefault="00B26B63" w:rsidP="009024F3"/>
        </w:tc>
        <w:tc>
          <w:tcPr>
            <w:tcW w:w="3117" w:type="dxa"/>
          </w:tcPr>
          <w:p w:rsidR="00B26B63" w:rsidRPr="00125D50" w:rsidRDefault="00B26B63" w:rsidP="009024F3">
            <w:r w:rsidRPr="0054086E">
              <w:rPr>
                <w:i/>
                <w:iCs/>
              </w:rPr>
              <w:t>Spectrophotometer (</w:t>
            </w:r>
            <w:proofErr w:type="spellStart"/>
            <w:r w:rsidRPr="0054086E">
              <w:rPr>
                <w:i/>
                <w:iCs/>
              </w:rPr>
              <w:t>ug</w:t>
            </w:r>
            <w:proofErr w:type="spellEnd"/>
            <w:r w:rsidRPr="0054086E">
              <w:rPr>
                <w:i/>
                <w:iCs/>
              </w:rPr>
              <w:t>/mL)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54086E">
              <w:rPr>
                <w:i/>
                <w:iCs/>
              </w:rPr>
              <w:t>QPCR (</w:t>
            </w:r>
            <w:proofErr w:type="spellStart"/>
            <w:r w:rsidRPr="0054086E">
              <w:rPr>
                <w:i/>
                <w:iCs/>
              </w:rPr>
              <w:t>ug</w:t>
            </w:r>
            <w:proofErr w:type="spellEnd"/>
            <w:r w:rsidRPr="0054086E">
              <w:rPr>
                <w:i/>
                <w:iCs/>
              </w:rPr>
              <w:t>/mL)</w:t>
            </w:r>
          </w:p>
        </w:tc>
      </w:tr>
      <w:tr w:rsidR="00B26B63" w:rsidRPr="00125D50" w:rsidTr="009024F3">
        <w:tc>
          <w:tcPr>
            <w:tcW w:w="3116" w:type="dxa"/>
          </w:tcPr>
          <w:p w:rsidR="00B26B63" w:rsidRPr="00125D50" w:rsidRDefault="00B26B63" w:rsidP="009024F3">
            <w:r w:rsidRPr="0054086E">
              <w:rPr>
                <w:i/>
                <w:iCs/>
              </w:rPr>
              <w:t>Non-survivor 1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125D50">
              <w:t>5.65</w:t>
            </w:r>
          </w:p>
        </w:tc>
        <w:tc>
          <w:tcPr>
            <w:tcW w:w="3117" w:type="dxa"/>
          </w:tcPr>
          <w:p w:rsidR="00B26B63" w:rsidRPr="00125D50" w:rsidRDefault="00B26B63" w:rsidP="009024F3">
            <w:r>
              <w:t>0</w:t>
            </w:r>
            <w:r w:rsidRPr="00125D50">
              <w:t>.05</w:t>
            </w:r>
          </w:p>
        </w:tc>
      </w:tr>
      <w:tr w:rsidR="00B26B63" w:rsidRPr="00125D50" w:rsidTr="009024F3">
        <w:tc>
          <w:tcPr>
            <w:tcW w:w="3116" w:type="dxa"/>
          </w:tcPr>
          <w:p w:rsidR="00B26B63" w:rsidRPr="00125D50" w:rsidRDefault="00B26B63" w:rsidP="009024F3">
            <w:r w:rsidRPr="0054086E">
              <w:rPr>
                <w:i/>
                <w:iCs/>
              </w:rPr>
              <w:t xml:space="preserve">Non-survivor </w:t>
            </w:r>
            <w:r w:rsidRPr="00125D50">
              <w:rPr>
                <w:i/>
                <w:iCs/>
              </w:rPr>
              <w:t>2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125D50">
              <w:t>11.40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125D50">
              <w:t>0.37</w:t>
            </w:r>
          </w:p>
        </w:tc>
      </w:tr>
      <w:tr w:rsidR="00B26B63" w:rsidRPr="00125D50" w:rsidTr="009024F3">
        <w:tc>
          <w:tcPr>
            <w:tcW w:w="3116" w:type="dxa"/>
          </w:tcPr>
          <w:p w:rsidR="00B26B63" w:rsidRPr="00125D50" w:rsidRDefault="00B26B63" w:rsidP="009024F3">
            <w:r w:rsidRPr="0054086E">
              <w:rPr>
                <w:i/>
                <w:iCs/>
              </w:rPr>
              <w:t xml:space="preserve">Non-survivor </w:t>
            </w:r>
            <w:r w:rsidRPr="00125D50">
              <w:rPr>
                <w:i/>
                <w:iCs/>
              </w:rPr>
              <w:t>3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125D50">
              <w:t>58.50</w:t>
            </w:r>
          </w:p>
        </w:tc>
        <w:tc>
          <w:tcPr>
            <w:tcW w:w="3117" w:type="dxa"/>
          </w:tcPr>
          <w:p w:rsidR="00B26B63" w:rsidRPr="00125D50" w:rsidRDefault="00B26B63" w:rsidP="009024F3">
            <w:r w:rsidRPr="00125D50">
              <w:t>0.22</w:t>
            </w:r>
          </w:p>
        </w:tc>
      </w:tr>
    </w:tbl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  <w:highlight w:val="yellow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</w:rPr>
      </w:pPr>
    </w:p>
    <w:p w:rsidR="00B26B63" w:rsidRPr="00125D50" w:rsidRDefault="00B26B63" w:rsidP="00B26B63">
      <w:pPr>
        <w:widowControl w:val="0"/>
        <w:autoSpaceDE w:val="0"/>
        <w:autoSpaceDN w:val="0"/>
        <w:adjustRightInd w:val="0"/>
        <w:spacing w:line="360" w:lineRule="auto"/>
        <w:contextualSpacing/>
        <w:rPr>
          <w:color w:val="000000" w:themeColor="text1"/>
        </w:rPr>
      </w:pPr>
    </w:p>
    <w:p w:rsidR="00B26B63" w:rsidRPr="00125D50" w:rsidRDefault="00B26B63" w:rsidP="00B26B63"/>
    <w:p w:rsidR="00072D7F" w:rsidRDefault="00072D7F">
      <w:bookmarkStart w:id="0" w:name="_GoBack"/>
      <w:bookmarkEnd w:id="0"/>
    </w:p>
    <w:sectPr w:rsidR="00072D7F" w:rsidSect="00951B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B63"/>
    <w:rsid w:val="00072D7F"/>
    <w:rsid w:val="001E6474"/>
    <w:rsid w:val="00B26B63"/>
    <w:rsid w:val="00CC2184"/>
    <w:rsid w:val="00C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74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4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4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4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4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4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4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4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4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4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4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474"/>
    <w:rPr>
      <w:rFonts w:asciiTheme="majorHAnsi" w:eastAsiaTheme="majorEastAsia" w:hAnsiTheme="majorHAnsi" w:cstheme="majorBidi"/>
      <w:b/>
      <w:bCs/>
      <w:color w:val="4472C4" w:themeColor="accent1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474"/>
    <w:rPr>
      <w:rFonts w:asciiTheme="majorHAnsi" w:eastAsiaTheme="majorEastAsia" w:hAnsiTheme="majorHAnsi" w:cstheme="majorBidi"/>
      <w:b/>
      <w:bCs/>
      <w:i/>
      <w:iCs/>
      <w:color w:val="4472C4" w:themeColor="accent1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474"/>
    <w:rPr>
      <w:rFonts w:asciiTheme="majorHAnsi" w:eastAsiaTheme="majorEastAsia" w:hAnsiTheme="majorHAnsi" w:cstheme="majorBidi"/>
      <w:color w:val="1F3763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474"/>
    <w:rPr>
      <w:rFonts w:asciiTheme="majorHAnsi" w:eastAsiaTheme="majorEastAsia" w:hAnsiTheme="majorHAnsi" w:cstheme="majorBidi"/>
      <w:i/>
      <w:iCs/>
      <w:color w:val="1F3763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474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4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4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6474"/>
    <w:pPr>
      <w:spacing w:after="200"/>
    </w:pPr>
    <w:rPr>
      <w:rFonts w:eastAsia="Times New Roman" w:cs="Times New Roman"/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E647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6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47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6474"/>
    <w:rPr>
      <w:rFonts w:asciiTheme="majorHAnsi" w:eastAsiaTheme="majorEastAsia" w:hAnsiTheme="majorHAnsi" w:cstheme="majorBidi"/>
      <w:i/>
      <w:iCs/>
      <w:color w:val="4472C4" w:themeColor="accent1"/>
      <w:spacing w:val="15"/>
      <w:lang w:val="en-CA"/>
    </w:rPr>
  </w:style>
  <w:style w:type="character" w:styleId="Strong">
    <w:name w:val="Strong"/>
    <w:basedOn w:val="DefaultParagraphFont"/>
    <w:uiPriority w:val="22"/>
    <w:qFormat/>
    <w:rsid w:val="001E6474"/>
    <w:rPr>
      <w:b/>
      <w:bCs/>
    </w:rPr>
  </w:style>
  <w:style w:type="character" w:styleId="Emphasis">
    <w:name w:val="Emphasis"/>
    <w:basedOn w:val="DefaultParagraphFont"/>
    <w:uiPriority w:val="20"/>
    <w:qFormat/>
    <w:rsid w:val="001E6474"/>
    <w:rPr>
      <w:i/>
      <w:iCs/>
    </w:rPr>
  </w:style>
  <w:style w:type="paragraph" w:styleId="NoSpacing">
    <w:name w:val="No Spacing"/>
    <w:uiPriority w:val="1"/>
    <w:qFormat/>
    <w:rsid w:val="001E6474"/>
    <w:rPr>
      <w:rFonts w:ascii="Times New Roman" w:eastAsia="Times New Roman" w:hAnsi="Times New Roman" w:cs="Times New Roman"/>
      <w:lang w:val="en-CA"/>
    </w:rPr>
  </w:style>
  <w:style w:type="paragraph" w:styleId="ListParagraph">
    <w:name w:val="List Paragraph"/>
    <w:basedOn w:val="Normal"/>
    <w:uiPriority w:val="34"/>
    <w:qFormat/>
    <w:rsid w:val="001E6474"/>
    <w:pPr>
      <w:ind w:left="720"/>
      <w:contextualSpacing/>
    </w:pPr>
    <w:rPr>
      <w:rFonts w:cs="Times New Roman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E6474"/>
    <w:rPr>
      <w:rFonts w:eastAsia="Times New Roman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6474"/>
    <w:rPr>
      <w:rFonts w:ascii="Times New Roman" w:eastAsia="Times New Roman" w:hAnsi="Times New Roman" w:cs="Times New Roman"/>
      <w:i/>
      <w:iCs/>
      <w:color w:val="000000" w:themeColor="text1"/>
      <w:lang w:val="en-C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474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474"/>
    <w:rPr>
      <w:rFonts w:ascii="Times New Roman" w:eastAsia="Times New Roman" w:hAnsi="Times New Roman" w:cs="Times New Roman"/>
      <w:b/>
      <w:bCs/>
      <w:i/>
      <w:iCs/>
      <w:color w:val="4472C4" w:themeColor="accent1"/>
      <w:lang w:val="en-CA"/>
    </w:rPr>
  </w:style>
  <w:style w:type="character" w:styleId="SubtleEmphasis">
    <w:name w:val="Subtle Emphasis"/>
    <w:basedOn w:val="DefaultParagraphFont"/>
    <w:uiPriority w:val="19"/>
    <w:qFormat/>
    <w:rsid w:val="001E64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E647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E647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E647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E64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6474"/>
    <w:pPr>
      <w:outlineLvl w:val="9"/>
    </w:pPr>
  </w:style>
  <w:style w:type="table" w:styleId="TableGrid">
    <w:name w:val="Table Grid"/>
    <w:basedOn w:val="TableNormal"/>
    <w:uiPriority w:val="39"/>
    <w:rsid w:val="00B2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26B63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474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64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4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4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4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4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4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4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4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4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4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4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474"/>
    <w:rPr>
      <w:rFonts w:asciiTheme="majorHAnsi" w:eastAsiaTheme="majorEastAsia" w:hAnsiTheme="majorHAnsi" w:cstheme="majorBidi"/>
      <w:b/>
      <w:bCs/>
      <w:color w:val="4472C4" w:themeColor="accent1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474"/>
    <w:rPr>
      <w:rFonts w:asciiTheme="majorHAnsi" w:eastAsiaTheme="majorEastAsia" w:hAnsiTheme="majorHAnsi" w:cstheme="majorBidi"/>
      <w:b/>
      <w:bCs/>
      <w:i/>
      <w:iCs/>
      <w:color w:val="4472C4" w:themeColor="accent1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474"/>
    <w:rPr>
      <w:rFonts w:asciiTheme="majorHAnsi" w:eastAsiaTheme="majorEastAsia" w:hAnsiTheme="majorHAnsi" w:cstheme="majorBidi"/>
      <w:color w:val="1F3763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474"/>
    <w:rPr>
      <w:rFonts w:asciiTheme="majorHAnsi" w:eastAsiaTheme="majorEastAsia" w:hAnsiTheme="majorHAnsi" w:cstheme="majorBidi"/>
      <w:i/>
      <w:iCs/>
      <w:color w:val="1F3763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474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474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4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E6474"/>
    <w:pPr>
      <w:spacing w:after="200"/>
    </w:pPr>
    <w:rPr>
      <w:rFonts w:eastAsia="Times New Roman" w:cs="Times New Roman"/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E647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E647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47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E6474"/>
    <w:rPr>
      <w:rFonts w:asciiTheme="majorHAnsi" w:eastAsiaTheme="majorEastAsia" w:hAnsiTheme="majorHAnsi" w:cstheme="majorBidi"/>
      <w:i/>
      <w:iCs/>
      <w:color w:val="4472C4" w:themeColor="accent1"/>
      <w:spacing w:val="15"/>
      <w:lang w:val="en-CA"/>
    </w:rPr>
  </w:style>
  <w:style w:type="character" w:styleId="Strong">
    <w:name w:val="Strong"/>
    <w:basedOn w:val="DefaultParagraphFont"/>
    <w:uiPriority w:val="22"/>
    <w:qFormat/>
    <w:rsid w:val="001E6474"/>
    <w:rPr>
      <w:b/>
      <w:bCs/>
    </w:rPr>
  </w:style>
  <w:style w:type="character" w:styleId="Emphasis">
    <w:name w:val="Emphasis"/>
    <w:basedOn w:val="DefaultParagraphFont"/>
    <w:uiPriority w:val="20"/>
    <w:qFormat/>
    <w:rsid w:val="001E6474"/>
    <w:rPr>
      <w:i/>
      <w:iCs/>
    </w:rPr>
  </w:style>
  <w:style w:type="paragraph" w:styleId="NoSpacing">
    <w:name w:val="No Spacing"/>
    <w:uiPriority w:val="1"/>
    <w:qFormat/>
    <w:rsid w:val="001E6474"/>
    <w:rPr>
      <w:rFonts w:ascii="Times New Roman" w:eastAsia="Times New Roman" w:hAnsi="Times New Roman" w:cs="Times New Roman"/>
      <w:lang w:val="en-CA"/>
    </w:rPr>
  </w:style>
  <w:style w:type="paragraph" w:styleId="ListParagraph">
    <w:name w:val="List Paragraph"/>
    <w:basedOn w:val="Normal"/>
    <w:uiPriority w:val="34"/>
    <w:qFormat/>
    <w:rsid w:val="001E6474"/>
    <w:pPr>
      <w:ind w:left="720"/>
      <w:contextualSpacing/>
    </w:pPr>
    <w:rPr>
      <w:rFonts w:cs="Times New Roman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1E6474"/>
    <w:rPr>
      <w:rFonts w:eastAsia="Times New Roman"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E6474"/>
    <w:rPr>
      <w:rFonts w:ascii="Times New Roman" w:eastAsia="Times New Roman" w:hAnsi="Times New Roman" w:cs="Times New Roman"/>
      <w:i/>
      <w:iCs/>
      <w:color w:val="000000" w:themeColor="text1"/>
      <w:lang w:val="en-C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474"/>
    <w:pPr>
      <w:pBdr>
        <w:bottom w:val="single" w:sz="4" w:space="4" w:color="4472C4" w:themeColor="accent1"/>
      </w:pBdr>
      <w:spacing w:before="200" w:after="280"/>
      <w:ind w:left="936" w:right="936"/>
    </w:pPr>
    <w:rPr>
      <w:rFonts w:eastAsia="Times New Roman" w:cs="Times New Roman"/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474"/>
    <w:rPr>
      <w:rFonts w:ascii="Times New Roman" w:eastAsia="Times New Roman" w:hAnsi="Times New Roman" w:cs="Times New Roman"/>
      <w:b/>
      <w:bCs/>
      <w:i/>
      <w:iCs/>
      <w:color w:val="4472C4" w:themeColor="accent1"/>
      <w:lang w:val="en-CA"/>
    </w:rPr>
  </w:style>
  <w:style w:type="character" w:styleId="SubtleEmphasis">
    <w:name w:val="Subtle Emphasis"/>
    <w:basedOn w:val="DefaultParagraphFont"/>
    <w:uiPriority w:val="19"/>
    <w:qFormat/>
    <w:rsid w:val="001E647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E6474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1E647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E647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E647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E6474"/>
    <w:pPr>
      <w:outlineLvl w:val="9"/>
    </w:pPr>
  </w:style>
  <w:style w:type="table" w:styleId="TableGrid">
    <w:name w:val="Table Grid"/>
    <w:basedOn w:val="TableNormal"/>
    <w:uiPriority w:val="39"/>
    <w:rsid w:val="00B2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26B63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845</Characters>
  <Application>Microsoft Office Word</Application>
  <DocSecurity>0</DocSecurity>
  <Lines>46</Lines>
  <Paragraphs>31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2019-05-07T10:41:00Z</dcterms:created>
  <dcterms:modified xsi:type="dcterms:W3CDTF">2019-05-07T10:42:00Z</dcterms:modified>
</cp:coreProperties>
</file>