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09B" w:rsidRDefault="0043709B" w:rsidP="0043709B">
      <w:pPr>
        <w:spacing w:line="480" w:lineRule="auto"/>
        <w:jc w:val="center"/>
        <w:rPr>
          <w:rFonts w:ascii="Arial" w:hAnsi="Arial" w:cs="Arial"/>
          <w:b/>
          <w:sz w:val="32"/>
          <w:szCs w:val="20"/>
          <w:lang w:val="en-US"/>
        </w:rPr>
      </w:pPr>
      <w:r>
        <w:rPr>
          <w:rFonts w:ascii="Arial" w:hAnsi="Arial" w:cs="Arial"/>
          <w:b/>
          <w:sz w:val="32"/>
          <w:szCs w:val="20"/>
          <w:lang w:val="en-US"/>
        </w:rPr>
        <w:t xml:space="preserve">The effect of targeting Tie2 on </w:t>
      </w:r>
      <w:r w:rsidRPr="00EE3B69">
        <w:rPr>
          <w:rFonts w:ascii="Arial" w:hAnsi="Arial" w:cs="Arial"/>
          <w:b/>
          <w:sz w:val="32"/>
          <w:szCs w:val="20"/>
          <w:lang w:val="en-US"/>
        </w:rPr>
        <w:t>hemorrhagic shock-induced renal perfusion disturbances</w:t>
      </w:r>
      <w:r>
        <w:rPr>
          <w:rFonts w:ascii="Arial" w:hAnsi="Arial" w:cs="Arial"/>
          <w:b/>
          <w:sz w:val="32"/>
          <w:szCs w:val="20"/>
          <w:lang w:val="en-US"/>
        </w:rPr>
        <w:t xml:space="preserve"> in rats</w:t>
      </w:r>
    </w:p>
    <w:p w:rsidR="0043709B" w:rsidRPr="0043709B" w:rsidRDefault="0043709B" w:rsidP="0043709B">
      <w:pPr>
        <w:pStyle w:val="Kop1"/>
        <w:shd w:val="clear" w:color="auto" w:fill="FFFFFF"/>
        <w:spacing w:before="120" w:beforeAutospacing="0" w:after="120" w:afterAutospacing="0" w:line="480" w:lineRule="auto"/>
        <w:jc w:val="center"/>
        <w:rPr>
          <w:rFonts w:ascii="Arial" w:hAnsi="Arial" w:cs="Arial"/>
          <w:color w:val="000000"/>
          <w:sz w:val="22"/>
          <w:szCs w:val="20"/>
        </w:rPr>
      </w:pPr>
      <w:r w:rsidRPr="0043709B">
        <w:rPr>
          <w:rFonts w:ascii="Arial" w:hAnsi="Arial" w:cs="Arial"/>
          <w:color w:val="000000"/>
          <w:sz w:val="22"/>
          <w:szCs w:val="20"/>
        </w:rPr>
        <w:t>Supplemental Digital Content</w:t>
      </w:r>
    </w:p>
    <w:p w:rsidR="0043709B" w:rsidRPr="0043709B" w:rsidRDefault="0043709B" w:rsidP="0043709B">
      <w:pPr>
        <w:spacing w:line="480" w:lineRule="auto"/>
        <w:jc w:val="center"/>
        <w:rPr>
          <w:rFonts w:ascii="Arial" w:hAnsi="Arial" w:cs="Arial"/>
          <w:b/>
          <w:sz w:val="32"/>
          <w:szCs w:val="20"/>
        </w:rPr>
      </w:pPr>
    </w:p>
    <w:p w:rsidR="0043709B" w:rsidRPr="0092263C" w:rsidRDefault="0043709B" w:rsidP="0043709B">
      <w:pPr>
        <w:spacing w:before="0" w:line="480" w:lineRule="auto"/>
        <w:jc w:val="both"/>
        <w:rPr>
          <w:rFonts w:ascii="Arial" w:hAnsi="Arial" w:cs="Arial"/>
          <w:szCs w:val="20"/>
        </w:rPr>
      </w:pPr>
      <w:r w:rsidRPr="0092263C">
        <w:rPr>
          <w:rFonts w:ascii="Arial" w:hAnsi="Arial" w:cs="Arial"/>
          <w:szCs w:val="20"/>
        </w:rPr>
        <w:t>Anoek L.I. van Leeuwen</w:t>
      </w:r>
      <w:r w:rsidRPr="0092263C">
        <w:rPr>
          <w:rFonts w:ascii="Arial" w:hAnsi="Arial" w:cs="Arial"/>
          <w:szCs w:val="20"/>
          <w:vertAlign w:val="superscript"/>
        </w:rPr>
        <w:t>1,2,3</w:t>
      </w:r>
      <w:r w:rsidRPr="0092263C">
        <w:rPr>
          <w:rFonts w:ascii="Arial" w:hAnsi="Arial" w:cs="Arial"/>
          <w:szCs w:val="20"/>
        </w:rPr>
        <w:t>, Nicole A.M. Dekker</w:t>
      </w:r>
      <w:r w:rsidRPr="0092263C">
        <w:rPr>
          <w:rFonts w:ascii="Arial" w:hAnsi="Arial" w:cs="Arial"/>
          <w:szCs w:val="20"/>
          <w:vertAlign w:val="superscript"/>
        </w:rPr>
        <w:t>1,2,3</w:t>
      </w:r>
      <w:r w:rsidRPr="0092263C">
        <w:rPr>
          <w:rFonts w:ascii="Arial" w:hAnsi="Arial" w:cs="Arial"/>
          <w:szCs w:val="20"/>
        </w:rPr>
        <w:t>, Paul Van Slyke</w:t>
      </w:r>
      <w:r w:rsidRPr="0092263C">
        <w:rPr>
          <w:rFonts w:ascii="Arial" w:hAnsi="Arial" w:cs="Arial"/>
          <w:szCs w:val="20"/>
          <w:vertAlign w:val="superscript"/>
        </w:rPr>
        <w:t>4</w:t>
      </w:r>
      <w:r w:rsidRPr="0092263C">
        <w:rPr>
          <w:rFonts w:ascii="Arial" w:hAnsi="Arial" w:cs="Arial"/>
          <w:szCs w:val="20"/>
        </w:rPr>
        <w:t>, Esther de Groot</w:t>
      </w:r>
      <w:r w:rsidRPr="0092263C">
        <w:rPr>
          <w:rFonts w:ascii="Arial" w:hAnsi="Arial" w:cs="Arial"/>
          <w:szCs w:val="20"/>
          <w:vertAlign w:val="superscript"/>
        </w:rPr>
        <w:t>1</w:t>
      </w:r>
      <w:r w:rsidRPr="0092263C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>Marc G. Vervloet</w:t>
      </w:r>
      <w:r>
        <w:rPr>
          <w:rFonts w:ascii="Arial" w:hAnsi="Arial" w:cs="Arial"/>
          <w:szCs w:val="20"/>
          <w:vertAlign w:val="superscript"/>
        </w:rPr>
        <w:t>5</w:t>
      </w:r>
      <w:r>
        <w:rPr>
          <w:rFonts w:ascii="Arial" w:hAnsi="Arial" w:cs="Arial"/>
          <w:szCs w:val="20"/>
        </w:rPr>
        <w:t>, Joris J.T.H. Roelofs</w:t>
      </w:r>
      <w:r>
        <w:rPr>
          <w:rFonts w:ascii="Arial" w:hAnsi="Arial" w:cs="Arial"/>
          <w:szCs w:val="20"/>
          <w:vertAlign w:val="superscript"/>
        </w:rPr>
        <w:t>6</w:t>
      </w:r>
      <w:r>
        <w:rPr>
          <w:rFonts w:ascii="Arial" w:hAnsi="Arial" w:cs="Arial"/>
          <w:szCs w:val="20"/>
        </w:rPr>
        <w:t xml:space="preserve">, </w:t>
      </w:r>
      <w:proofErr w:type="spellStart"/>
      <w:r w:rsidRPr="0092263C">
        <w:rPr>
          <w:rFonts w:ascii="Arial" w:hAnsi="Arial" w:cs="Arial"/>
          <w:szCs w:val="20"/>
        </w:rPr>
        <w:t>Matijs</w:t>
      </w:r>
      <w:proofErr w:type="spellEnd"/>
      <w:r w:rsidRPr="0092263C">
        <w:rPr>
          <w:rFonts w:ascii="Arial" w:hAnsi="Arial" w:cs="Arial"/>
          <w:szCs w:val="20"/>
        </w:rPr>
        <w:t xml:space="preserve"> van Meurs</w:t>
      </w:r>
      <w:r>
        <w:rPr>
          <w:rFonts w:ascii="Arial" w:hAnsi="Arial" w:cs="Arial"/>
          <w:szCs w:val="20"/>
          <w:vertAlign w:val="superscript"/>
        </w:rPr>
        <w:t>7,8</w:t>
      </w:r>
      <w:r w:rsidRPr="0092263C">
        <w:rPr>
          <w:rFonts w:ascii="Arial" w:hAnsi="Arial" w:cs="Arial"/>
          <w:szCs w:val="20"/>
        </w:rPr>
        <w:t>, Charissa E. van den Brom</w:t>
      </w:r>
      <w:r w:rsidRPr="0092263C">
        <w:rPr>
          <w:rFonts w:ascii="Arial" w:hAnsi="Arial" w:cs="Arial"/>
          <w:szCs w:val="20"/>
          <w:vertAlign w:val="superscript"/>
        </w:rPr>
        <w:t>1,2</w:t>
      </w:r>
      <w:r w:rsidRPr="0092263C">
        <w:rPr>
          <w:rFonts w:ascii="Arial" w:hAnsi="Arial" w:cs="Arial"/>
          <w:szCs w:val="20"/>
        </w:rPr>
        <w:t xml:space="preserve"> </w:t>
      </w:r>
    </w:p>
    <w:p w:rsidR="00A0540A" w:rsidRPr="00A0540A" w:rsidRDefault="00A0540A" w:rsidP="00A0540A">
      <w:pPr>
        <w:spacing w:before="0" w:line="480" w:lineRule="auto"/>
        <w:jc w:val="both"/>
        <w:rPr>
          <w:rFonts w:ascii="Arial" w:hAnsi="Arial" w:cs="Arial"/>
          <w:color w:val="000000" w:themeColor="text1"/>
          <w:sz w:val="16"/>
          <w:szCs w:val="20"/>
          <w:lang w:val="en-US"/>
        </w:rPr>
      </w:pPr>
      <w:r w:rsidRPr="00A0540A">
        <w:rPr>
          <w:rFonts w:ascii="Arial" w:hAnsi="Arial" w:cs="Arial"/>
          <w:color w:val="000000" w:themeColor="text1"/>
          <w:sz w:val="16"/>
          <w:szCs w:val="20"/>
          <w:vertAlign w:val="superscript"/>
          <w:lang w:val="en-US"/>
        </w:rPr>
        <w:t>1</w:t>
      </w:r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Department of Anesthesiology, Experimental Laboratory for Vital Signs, Amsterdam Cardiovascular Sciences, Amsterdam UMC, </w:t>
      </w:r>
      <w:proofErr w:type="spellStart"/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>Vrije</w:t>
      </w:r>
      <w:proofErr w:type="spellEnd"/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 </w:t>
      </w:r>
      <w:proofErr w:type="spellStart"/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>Universiteit</w:t>
      </w:r>
      <w:proofErr w:type="spellEnd"/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>, Amsterdam, The Netherlands;</w:t>
      </w:r>
    </w:p>
    <w:p w:rsidR="00A0540A" w:rsidRPr="00A0540A" w:rsidRDefault="00A0540A" w:rsidP="00A0540A">
      <w:pPr>
        <w:spacing w:before="0" w:line="480" w:lineRule="auto"/>
        <w:jc w:val="both"/>
        <w:rPr>
          <w:rFonts w:ascii="Arial" w:hAnsi="Arial" w:cs="Arial"/>
          <w:color w:val="000000" w:themeColor="text1"/>
          <w:sz w:val="16"/>
          <w:szCs w:val="20"/>
          <w:vertAlign w:val="superscript"/>
          <w:lang w:val="en-US"/>
        </w:rPr>
      </w:pPr>
      <w:r w:rsidRPr="00A0540A">
        <w:rPr>
          <w:rFonts w:ascii="Arial" w:hAnsi="Arial" w:cs="Arial"/>
          <w:color w:val="000000" w:themeColor="text1"/>
          <w:sz w:val="16"/>
          <w:szCs w:val="20"/>
          <w:vertAlign w:val="superscript"/>
          <w:lang w:val="en-US"/>
        </w:rPr>
        <w:t>2</w:t>
      </w:r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>Department of Physiology,</w:t>
      </w:r>
      <w:r w:rsidRPr="00A0540A">
        <w:rPr>
          <w:rFonts w:ascii="Arial" w:hAnsi="Arial" w:cs="Arial"/>
          <w:color w:val="000000" w:themeColor="text1"/>
          <w:sz w:val="16"/>
          <w:szCs w:val="20"/>
          <w:vertAlign w:val="superscript"/>
          <w:lang w:val="en-US"/>
        </w:rPr>
        <w:t xml:space="preserve"> </w:t>
      </w:r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Amsterdam Cardiovascular Sciences, Amsterdam UMC, </w:t>
      </w:r>
      <w:proofErr w:type="spellStart"/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>Vrije</w:t>
      </w:r>
      <w:proofErr w:type="spellEnd"/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 </w:t>
      </w:r>
      <w:proofErr w:type="spellStart"/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>Universiteit</w:t>
      </w:r>
      <w:proofErr w:type="spellEnd"/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>, Amsterdam, The Netherlands;</w:t>
      </w:r>
    </w:p>
    <w:p w:rsidR="00A0540A" w:rsidRPr="00A0540A" w:rsidRDefault="00A0540A" w:rsidP="00A0540A">
      <w:pPr>
        <w:spacing w:before="0" w:line="480" w:lineRule="auto"/>
        <w:jc w:val="both"/>
        <w:rPr>
          <w:rFonts w:ascii="Arial" w:hAnsi="Arial" w:cs="Arial"/>
          <w:color w:val="000000" w:themeColor="text1"/>
          <w:sz w:val="16"/>
          <w:szCs w:val="20"/>
          <w:lang w:val="en-US"/>
        </w:rPr>
      </w:pPr>
      <w:r w:rsidRPr="00A0540A">
        <w:rPr>
          <w:rFonts w:ascii="Arial" w:hAnsi="Arial" w:cs="Arial"/>
          <w:color w:val="000000" w:themeColor="text1"/>
          <w:sz w:val="16"/>
          <w:szCs w:val="20"/>
          <w:vertAlign w:val="superscript"/>
          <w:lang w:val="en-US"/>
        </w:rPr>
        <w:t>3</w:t>
      </w:r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Department of Cardiothoracic Surgery, Amsterdam Cardiovascular Sciences, Amsterdam UMC, </w:t>
      </w:r>
      <w:proofErr w:type="spellStart"/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>Vrije</w:t>
      </w:r>
      <w:proofErr w:type="spellEnd"/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 </w:t>
      </w:r>
      <w:proofErr w:type="spellStart"/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>Universiteit</w:t>
      </w:r>
      <w:proofErr w:type="spellEnd"/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, Amsterdam, The Netherlands; </w:t>
      </w:r>
    </w:p>
    <w:p w:rsidR="00A0540A" w:rsidRPr="00A0540A" w:rsidRDefault="00A0540A" w:rsidP="00A0540A">
      <w:pPr>
        <w:spacing w:before="0" w:line="480" w:lineRule="auto"/>
        <w:jc w:val="both"/>
        <w:rPr>
          <w:rFonts w:ascii="Arial" w:hAnsi="Arial" w:cs="Arial"/>
          <w:color w:val="000000" w:themeColor="text1"/>
          <w:sz w:val="16"/>
          <w:szCs w:val="20"/>
          <w:lang w:val="en-US"/>
        </w:rPr>
      </w:pPr>
      <w:r w:rsidRPr="00A0540A">
        <w:rPr>
          <w:rFonts w:ascii="Arial" w:hAnsi="Arial" w:cs="Arial"/>
          <w:sz w:val="16"/>
          <w:szCs w:val="20"/>
          <w:vertAlign w:val="superscript"/>
          <w:lang w:val="en-US"/>
        </w:rPr>
        <w:t>4</w:t>
      </w:r>
      <w:r w:rsidRPr="00A0540A">
        <w:rPr>
          <w:rFonts w:ascii="Arial" w:hAnsi="Arial" w:cs="Arial"/>
          <w:sz w:val="16"/>
          <w:szCs w:val="20"/>
          <w:lang w:val="en-US"/>
        </w:rPr>
        <w:t>Vasomune Therapeutics, Toronto, Canada</w:t>
      </w:r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; </w:t>
      </w:r>
    </w:p>
    <w:p w:rsidR="00A0540A" w:rsidRPr="00A0540A" w:rsidRDefault="00A0540A" w:rsidP="00A0540A">
      <w:pPr>
        <w:spacing w:before="0" w:line="480" w:lineRule="auto"/>
        <w:jc w:val="both"/>
        <w:rPr>
          <w:rFonts w:ascii="Arial" w:hAnsi="Arial" w:cs="Arial"/>
          <w:color w:val="000000" w:themeColor="text1"/>
          <w:sz w:val="16"/>
          <w:szCs w:val="20"/>
          <w:lang w:val="en-US"/>
        </w:rPr>
      </w:pPr>
      <w:r w:rsidRPr="00A0540A">
        <w:rPr>
          <w:rFonts w:ascii="Arial" w:hAnsi="Arial" w:cs="Arial"/>
          <w:color w:val="000000" w:themeColor="text1"/>
          <w:sz w:val="16"/>
          <w:szCs w:val="20"/>
          <w:vertAlign w:val="superscript"/>
          <w:lang w:val="en-US"/>
        </w:rPr>
        <w:t>5</w:t>
      </w:r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>Department of Nephrology, Amsterdam Cardiovascular Sciences, VU University Medical Center, Amsterdam, the Netherlands;</w:t>
      </w:r>
    </w:p>
    <w:p w:rsidR="00A0540A" w:rsidRPr="00A0540A" w:rsidRDefault="00A0540A" w:rsidP="00A0540A">
      <w:pPr>
        <w:spacing w:before="0" w:line="480" w:lineRule="auto"/>
        <w:jc w:val="both"/>
        <w:rPr>
          <w:rFonts w:ascii="Arial" w:hAnsi="Arial" w:cs="Arial"/>
          <w:color w:val="000000" w:themeColor="text1"/>
          <w:sz w:val="16"/>
          <w:szCs w:val="20"/>
          <w:lang w:val="en-US"/>
        </w:rPr>
      </w:pPr>
      <w:r w:rsidRPr="00A0540A">
        <w:rPr>
          <w:rFonts w:ascii="Arial" w:hAnsi="Arial" w:cs="Arial"/>
          <w:color w:val="000000" w:themeColor="text1"/>
          <w:sz w:val="16"/>
          <w:szCs w:val="20"/>
          <w:vertAlign w:val="superscript"/>
          <w:lang w:val="en-US"/>
        </w:rPr>
        <w:t>6</w:t>
      </w:r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>Department of Pathology, Amsterdam Cardiovascular Sciences , Academic Medical Center, University of Amsterdam, Amsterdam, Netherlands;</w:t>
      </w:r>
    </w:p>
    <w:p w:rsidR="00A0540A" w:rsidRPr="00A0540A" w:rsidRDefault="00A0540A" w:rsidP="00A0540A">
      <w:pPr>
        <w:spacing w:before="0" w:line="480" w:lineRule="auto"/>
        <w:jc w:val="both"/>
        <w:rPr>
          <w:rFonts w:ascii="Arial" w:hAnsi="Arial" w:cs="Arial"/>
          <w:color w:val="000000" w:themeColor="text1"/>
          <w:sz w:val="16"/>
          <w:szCs w:val="20"/>
          <w:lang w:val="en-US"/>
        </w:rPr>
      </w:pPr>
      <w:r w:rsidRPr="00A0540A">
        <w:rPr>
          <w:rFonts w:ascii="Arial" w:hAnsi="Arial" w:cs="Arial"/>
          <w:color w:val="000000" w:themeColor="text1"/>
          <w:sz w:val="16"/>
          <w:szCs w:val="20"/>
          <w:vertAlign w:val="superscript"/>
          <w:lang w:val="en-US"/>
        </w:rPr>
        <w:t>7</w:t>
      </w:r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>Department of Pathology and Medical Biology, Medical Biology section, University Medical Center Groningen, Groningen, The Netherlands;</w:t>
      </w:r>
    </w:p>
    <w:p w:rsidR="00A0540A" w:rsidRPr="00A0540A" w:rsidRDefault="00A0540A" w:rsidP="00A0540A">
      <w:pPr>
        <w:spacing w:before="0" w:line="480" w:lineRule="auto"/>
        <w:jc w:val="both"/>
        <w:rPr>
          <w:rFonts w:ascii="Arial" w:hAnsi="Arial" w:cs="Arial"/>
          <w:color w:val="000000" w:themeColor="text1"/>
          <w:sz w:val="16"/>
          <w:szCs w:val="20"/>
          <w:lang w:val="en-US"/>
        </w:rPr>
      </w:pPr>
      <w:r w:rsidRPr="00A0540A">
        <w:rPr>
          <w:rFonts w:ascii="Arial" w:hAnsi="Arial" w:cs="Arial"/>
          <w:color w:val="000000" w:themeColor="text1"/>
          <w:sz w:val="16"/>
          <w:szCs w:val="20"/>
          <w:vertAlign w:val="superscript"/>
          <w:lang w:val="en-US"/>
        </w:rPr>
        <w:t>8</w:t>
      </w:r>
      <w:r w:rsidRPr="00A0540A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Department of Critical Care Medicine, University Medical Center Groningen, Groningen, The Netherlands; </w:t>
      </w:r>
    </w:p>
    <w:p w:rsidR="00A0540A" w:rsidRPr="00A0540A" w:rsidRDefault="00A0540A" w:rsidP="00A0540A">
      <w:pPr>
        <w:spacing w:before="0" w:line="480" w:lineRule="auto"/>
        <w:jc w:val="both"/>
        <w:rPr>
          <w:rFonts w:ascii="Arial" w:hAnsi="Arial" w:cs="Arial"/>
          <w:color w:val="000000" w:themeColor="text1"/>
          <w:sz w:val="16"/>
          <w:szCs w:val="20"/>
          <w:lang w:val="en-GB"/>
        </w:rPr>
      </w:pPr>
      <w:r w:rsidRPr="00A0540A">
        <w:rPr>
          <w:rFonts w:ascii="Arial" w:hAnsi="Arial" w:cs="Arial"/>
          <w:color w:val="000000" w:themeColor="text1"/>
          <w:sz w:val="16"/>
          <w:szCs w:val="20"/>
          <w:vertAlign w:val="superscript"/>
          <w:lang w:val="en-US"/>
        </w:rPr>
        <w:t>9</w:t>
      </w:r>
      <w:r w:rsidRPr="00A0540A">
        <w:rPr>
          <w:rFonts w:ascii="Arial" w:hAnsi="Arial" w:cs="Arial"/>
          <w:color w:val="000000" w:themeColor="text1"/>
          <w:sz w:val="16"/>
          <w:szCs w:val="20"/>
          <w:lang w:val="en-GB"/>
        </w:rPr>
        <w:t xml:space="preserve">Department of Intensive Care, Amsterdam UMC, University of Amsterdam, Amsterdam, the Netherlands </w:t>
      </w:r>
    </w:p>
    <w:p w:rsidR="0043709B" w:rsidRPr="00A0540A" w:rsidRDefault="0043709B" w:rsidP="0043709B">
      <w:pPr>
        <w:pStyle w:val="Kop1"/>
        <w:shd w:val="clear" w:color="auto" w:fill="FFFFFF"/>
        <w:spacing w:before="120" w:beforeAutospacing="0" w:after="120" w:afterAutospacing="0" w:line="480" w:lineRule="auto"/>
        <w:jc w:val="both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907ED1" w:rsidRDefault="00907ED1" w:rsidP="00907ED1">
      <w:pPr>
        <w:spacing w:before="0" w:line="48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szCs w:val="20"/>
          <w:lang w:val="en-US"/>
        </w:rPr>
        <w:t xml:space="preserve">SUPPLEMENTAL </w:t>
      </w:r>
      <w:r w:rsidRPr="00907ED1">
        <w:rPr>
          <w:rFonts w:ascii="Arial" w:hAnsi="Arial" w:cs="Arial"/>
          <w:b/>
          <w:szCs w:val="20"/>
          <w:lang w:val="en-US"/>
        </w:rPr>
        <w:t>FIGURE 1</w:t>
      </w:r>
      <w:r w:rsidRPr="00907ED1">
        <w:rPr>
          <w:rFonts w:ascii="Arial" w:hAnsi="Arial" w:cs="Arial"/>
          <w:szCs w:val="20"/>
          <w:lang w:val="en-US"/>
        </w:rPr>
        <w:t>:</w:t>
      </w:r>
      <w:r w:rsidRPr="00907ED1">
        <w:rPr>
          <w:rFonts w:ascii="Arial" w:hAnsi="Arial" w:cs="Arial"/>
          <w:b/>
          <w:szCs w:val="20"/>
          <w:lang w:val="en-US"/>
        </w:rPr>
        <w:t xml:space="preserve"> </w:t>
      </w:r>
      <w:r w:rsidRPr="00907ED1">
        <w:rPr>
          <w:rFonts w:ascii="Arial" w:hAnsi="Arial" w:cs="Arial"/>
          <w:szCs w:val="20"/>
          <w:lang w:val="en-US"/>
        </w:rPr>
        <w:t>Vasculotide dose-dependent efficiency on cremaster perfusion in s</w:t>
      </w:r>
      <w:r>
        <w:rPr>
          <w:rFonts w:ascii="Arial" w:hAnsi="Arial" w:cs="Arial"/>
          <w:szCs w:val="20"/>
          <w:lang w:val="en-US"/>
        </w:rPr>
        <w:t>ham and hemorrhagic shock rats.</w:t>
      </w:r>
    </w:p>
    <w:p w:rsidR="00907ED1" w:rsidRDefault="00907ED1" w:rsidP="00907ED1">
      <w:pPr>
        <w:pStyle w:val="Geenafstand"/>
        <w:spacing w:line="480" w:lineRule="auto"/>
        <w:jc w:val="both"/>
        <w:rPr>
          <w:rFonts w:ascii="Arial" w:hAnsi="Arial" w:cs="Arial"/>
          <w:color w:val="000000"/>
          <w:szCs w:val="20"/>
          <w:lang w:val="en-US"/>
        </w:rPr>
      </w:pPr>
      <w:r>
        <w:rPr>
          <w:rFonts w:ascii="Arial" w:hAnsi="Arial" w:cs="Arial"/>
          <w:b/>
          <w:color w:val="000000"/>
          <w:szCs w:val="20"/>
          <w:lang w:val="en-US"/>
        </w:rPr>
        <w:t>SUPPLEMENTAL FIGURE</w:t>
      </w:r>
      <w:r>
        <w:rPr>
          <w:rFonts w:ascii="Arial" w:hAnsi="Arial" w:cs="Arial"/>
          <w:color w:val="000000"/>
          <w:szCs w:val="20"/>
          <w:lang w:val="en-US"/>
        </w:rPr>
        <w:t xml:space="preserve"> </w:t>
      </w:r>
      <w:r>
        <w:rPr>
          <w:rFonts w:ascii="Arial" w:hAnsi="Arial" w:cs="Arial"/>
          <w:b/>
          <w:color w:val="000000"/>
          <w:szCs w:val="20"/>
          <w:lang w:val="en-US"/>
        </w:rPr>
        <w:t>2</w:t>
      </w:r>
      <w:r>
        <w:rPr>
          <w:rFonts w:ascii="Arial" w:hAnsi="Arial" w:cs="Arial"/>
          <w:color w:val="000000"/>
          <w:szCs w:val="20"/>
          <w:lang w:val="en-US"/>
        </w:rPr>
        <w:t xml:space="preserve">: Raw data of western blot analysis. </w:t>
      </w:r>
    </w:p>
    <w:p w:rsidR="0043709B" w:rsidRDefault="0043709B" w:rsidP="00907ED1">
      <w:pPr>
        <w:spacing w:before="0" w:line="480" w:lineRule="auto"/>
        <w:jc w:val="both"/>
        <w:rPr>
          <w:rFonts w:ascii="Arial" w:hAnsi="Arial" w:cs="Arial"/>
          <w:b/>
          <w:color w:val="000000"/>
          <w:szCs w:val="20"/>
          <w:lang w:val="en-US"/>
        </w:rPr>
      </w:pPr>
      <w:r w:rsidRPr="0062296F">
        <w:rPr>
          <w:rFonts w:ascii="Arial" w:hAnsi="Arial" w:cs="Arial"/>
          <w:b/>
          <w:lang w:val="en-US"/>
        </w:rPr>
        <w:t xml:space="preserve">SUPPLEMENTAL </w:t>
      </w:r>
      <w:r w:rsidR="00907ED1">
        <w:rPr>
          <w:rFonts w:ascii="Arial" w:hAnsi="Arial" w:cs="Arial"/>
          <w:b/>
          <w:lang w:val="en-US"/>
        </w:rPr>
        <w:t>FIGURE 3</w:t>
      </w:r>
      <w:r>
        <w:rPr>
          <w:rFonts w:ascii="Arial" w:hAnsi="Arial" w:cs="Arial"/>
          <w:lang w:val="en-US"/>
        </w:rPr>
        <w:t xml:space="preserve">: Expression levels of markers reflecting endothelial barrier function. </w:t>
      </w:r>
    </w:p>
    <w:p w:rsidR="0043709B" w:rsidRDefault="0043709B" w:rsidP="00907ED1">
      <w:pPr>
        <w:pStyle w:val="Geenafstand"/>
        <w:spacing w:line="480" w:lineRule="auto"/>
        <w:jc w:val="both"/>
        <w:rPr>
          <w:rFonts w:ascii="Arial" w:hAnsi="Arial" w:cs="Arial"/>
          <w:b/>
          <w:color w:val="000000"/>
          <w:szCs w:val="20"/>
          <w:lang w:val="en-US"/>
        </w:rPr>
      </w:pPr>
      <w:r>
        <w:rPr>
          <w:rFonts w:ascii="Arial" w:hAnsi="Arial" w:cs="Arial"/>
          <w:b/>
          <w:color w:val="000000"/>
          <w:szCs w:val="20"/>
          <w:lang w:val="en-US"/>
        </w:rPr>
        <w:t>SUPPLEMENTAL FIGURE</w:t>
      </w:r>
      <w:r>
        <w:rPr>
          <w:rFonts w:ascii="Arial" w:hAnsi="Arial" w:cs="Arial"/>
          <w:color w:val="000000"/>
          <w:szCs w:val="20"/>
          <w:lang w:val="en-US"/>
        </w:rPr>
        <w:t xml:space="preserve"> </w:t>
      </w:r>
      <w:r w:rsidR="00907ED1">
        <w:rPr>
          <w:rFonts w:ascii="Arial" w:hAnsi="Arial" w:cs="Arial"/>
          <w:b/>
          <w:color w:val="000000"/>
          <w:szCs w:val="20"/>
          <w:lang w:val="en-US"/>
        </w:rPr>
        <w:t>4</w:t>
      </w:r>
      <w:r>
        <w:rPr>
          <w:rFonts w:ascii="Arial" w:hAnsi="Arial" w:cs="Arial"/>
          <w:color w:val="000000"/>
          <w:szCs w:val="20"/>
          <w:lang w:val="en-US"/>
        </w:rPr>
        <w:t xml:space="preserve">: </w:t>
      </w:r>
      <w:r>
        <w:rPr>
          <w:rFonts w:ascii="Arial" w:hAnsi="Arial" w:cs="Arial"/>
          <w:lang w:val="en-US"/>
        </w:rPr>
        <w:t>Expression levels of c</w:t>
      </w:r>
      <w:r>
        <w:rPr>
          <w:rFonts w:ascii="Arial" w:hAnsi="Arial" w:cs="Arial"/>
          <w:color w:val="000000"/>
          <w:szCs w:val="20"/>
          <w:lang w:val="en-US"/>
        </w:rPr>
        <w:t xml:space="preserve">ell adhesion molecules. </w:t>
      </w:r>
    </w:p>
    <w:p w:rsidR="00907ED1" w:rsidRDefault="00907ED1" w:rsidP="00907ED1">
      <w:pPr>
        <w:pStyle w:val="Geenafstand"/>
        <w:spacing w:line="480" w:lineRule="auto"/>
        <w:jc w:val="both"/>
        <w:rPr>
          <w:rFonts w:ascii="Arial" w:hAnsi="Arial" w:cs="Arial"/>
          <w:color w:val="000000"/>
          <w:szCs w:val="20"/>
          <w:lang w:val="en-US"/>
        </w:rPr>
      </w:pPr>
      <w:r>
        <w:rPr>
          <w:rFonts w:ascii="Arial" w:hAnsi="Arial" w:cs="Arial"/>
          <w:b/>
          <w:color w:val="000000"/>
          <w:szCs w:val="20"/>
          <w:lang w:val="en-US"/>
        </w:rPr>
        <w:t>SUPPLEMENTAL FIGURE 5</w:t>
      </w:r>
      <w:r w:rsidR="0043709B" w:rsidRPr="0062296F">
        <w:rPr>
          <w:rFonts w:ascii="Arial" w:hAnsi="Arial" w:cs="Arial"/>
          <w:color w:val="000000"/>
          <w:szCs w:val="20"/>
          <w:lang w:val="en-US"/>
        </w:rPr>
        <w:t>:</w:t>
      </w:r>
      <w:r w:rsidR="0043709B">
        <w:rPr>
          <w:rFonts w:ascii="Arial" w:hAnsi="Arial" w:cs="Arial"/>
          <w:color w:val="000000"/>
          <w:szCs w:val="20"/>
          <w:lang w:val="en-US"/>
        </w:rPr>
        <w:t xml:space="preserve"> Effect of microbubbles on hemodynamic values, cremaster perfusion and renal wet/dry ratio. </w:t>
      </w:r>
    </w:p>
    <w:p w:rsidR="00907ED1" w:rsidRDefault="00907ED1">
      <w:pPr>
        <w:spacing w:before="0" w:after="200" w:line="276" w:lineRule="auto"/>
        <w:rPr>
          <w:rFonts w:ascii="Arial" w:hAnsi="Arial" w:cs="Arial"/>
          <w:color w:val="000000"/>
          <w:szCs w:val="20"/>
          <w:lang w:val="en-US"/>
        </w:rPr>
      </w:pPr>
      <w:r>
        <w:rPr>
          <w:rFonts w:ascii="Arial" w:hAnsi="Arial" w:cs="Arial"/>
          <w:color w:val="000000"/>
          <w:szCs w:val="20"/>
          <w:lang w:val="en-US"/>
        </w:rPr>
        <w:br w:type="page"/>
      </w:r>
    </w:p>
    <w:p w:rsidR="00907ED1" w:rsidRPr="00475954" w:rsidRDefault="00AB6F74" w:rsidP="00907ED1">
      <w:pPr>
        <w:pStyle w:val="Geenafstand"/>
        <w:spacing w:line="480" w:lineRule="auto"/>
        <w:jc w:val="both"/>
        <w:rPr>
          <w:rFonts w:ascii="Arial" w:hAnsi="Arial" w:cs="Arial"/>
          <w:b/>
          <w:color w:val="FF0000"/>
          <w:szCs w:val="20"/>
          <w:lang w:val="en-US"/>
        </w:rPr>
      </w:pPr>
      <w:r w:rsidRPr="00475954">
        <w:rPr>
          <w:rFonts w:ascii="Arial" w:hAnsi="Arial" w:cs="Arial"/>
          <w:b/>
          <w:noProof/>
          <w:color w:val="FF0000"/>
          <w:szCs w:val="20"/>
        </w:rPr>
        <w:lastRenderedPageBreak/>
        <w:drawing>
          <wp:inline distT="0" distB="0" distL="0" distR="0">
            <wp:extent cx="5760720" cy="3039117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3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ED1" w:rsidRPr="00475954" w:rsidRDefault="00907ED1" w:rsidP="006363DB">
      <w:pPr>
        <w:pStyle w:val="Geenafstand"/>
        <w:spacing w:line="480" w:lineRule="auto"/>
        <w:jc w:val="both"/>
        <w:rPr>
          <w:rFonts w:ascii="Arial" w:hAnsi="Arial" w:cs="Arial"/>
          <w:color w:val="FF0000"/>
          <w:szCs w:val="20"/>
          <w:lang w:val="en-US"/>
        </w:rPr>
      </w:pPr>
      <w:r w:rsidRPr="00475954">
        <w:rPr>
          <w:rFonts w:ascii="Arial" w:hAnsi="Arial" w:cs="Arial"/>
          <w:b/>
          <w:color w:val="FF0000"/>
          <w:szCs w:val="20"/>
          <w:lang w:val="en-US"/>
        </w:rPr>
        <w:t xml:space="preserve">SUPPLEMENTAL FIGURE 1: </w:t>
      </w:r>
      <w:r w:rsidRPr="00475954">
        <w:rPr>
          <w:rFonts w:ascii="Arial" w:hAnsi="Arial" w:cs="Arial"/>
          <w:color w:val="FF0000"/>
          <w:szCs w:val="20"/>
          <w:lang w:val="en-US"/>
        </w:rPr>
        <w:t>Vasculotide dose-dependent efficiency on cremaster perfusion in sham and hemorrhagic shock rats</w:t>
      </w:r>
      <w:r w:rsidR="006363DB" w:rsidRPr="00475954">
        <w:rPr>
          <w:rFonts w:ascii="Arial" w:hAnsi="Arial" w:cs="Arial"/>
          <w:color w:val="FF0000"/>
          <w:szCs w:val="20"/>
          <w:lang w:val="en-US"/>
        </w:rPr>
        <w:t xml:space="preserve">, as performed prior to the study published by Trieu </w:t>
      </w:r>
      <w:r w:rsidR="006363DB" w:rsidRPr="00475954">
        <w:rPr>
          <w:rFonts w:ascii="Arial" w:hAnsi="Arial" w:cs="Arial"/>
          <w:i/>
          <w:color w:val="FF0000"/>
          <w:szCs w:val="20"/>
          <w:lang w:val="en-US"/>
        </w:rPr>
        <w:t>et al</w:t>
      </w:r>
      <w:r w:rsidR="006363DB" w:rsidRPr="00475954">
        <w:rPr>
          <w:rFonts w:ascii="Arial" w:hAnsi="Arial" w:cs="Arial"/>
          <w:color w:val="FF0000"/>
          <w:szCs w:val="20"/>
          <w:lang w:val="en-US"/>
        </w:rPr>
        <w:t>, 2018</w:t>
      </w:r>
      <w:r w:rsidRPr="00475954">
        <w:rPr>
          <w:rFonts w:ascii="Arial" w:hAnsi="Arial" w:cs="Arial"/>
          <w:color w:val="FF0000"/>
          <w:szCs w:val="20"/>
          <w:lang w:val="en-US"/>
        </w:rPr>
        <w:t xml:space="preserve">. </w:t>
      </w:r>
      <w:r w:rsidR="00400042" w:rsidRPr="00475954">
        <w:rPr>
          <w:rFonts w:ascii="Arial" w:hAnsi="Arial" w:cs="Arial"/>
          <w:color w:val="FF0000"/>
          <w:szCs w:val="20"/>
          <w:lang w:val="en-US"/>
        </w:rPr>
        <w:t>Details regarding the experimental set-up have been published previously</w:t>
      </w:r>
      <w:r w:rsidR="00400042" w:rsidRPr="00475954">
        <w:rPr>
          <w:color w:val="FF0000"/>
          <w:lang w:val="en-US"/>
        </w:rPr>
        <w:t xml:space="preserve"> (</w:t>
      </w:r>
      <w:r w:rsidR="00400042" w:rsidRPr="00475954">
        <w:rPr>
          <w:rFonts w:ascii="Arial" w:hAnsi="Arial" w:cs="Arial"/>
          <w:color w:val="FF0000"/>
          <w:lang w:val="en-US"/>
        </w:rPr>
        <w:t xml:space="preserve">Trieu et al, </w:t>
      </w:r>
      <w:r w:rsidR="00400042" w:rsidRPr="00475954">
        <w:rPr>
          <w:rFonts w:ascii="Arial" w:hAnsi="Arial" w:cs="Arial"/>
          <w:color w:val="FF0000"/>
          <w:szCs w:val="20"/>
          <w:lang w:val="en-US"/>
        </w:rPr>
        <w:t>Anesthesiology 2018;128(2):361-374).</w:t>
      </w:r>
      <w:r w:rsidR="00400042" w:rsidRPr="00475954">
        <w:rPr>
          <w:rFonts w:ascii="Arial" w:hAnsi="Arial" w:cs="Arial"/>
          <w:color w:val="FF0000"/>
          <w:szCs w:val="20"/>
          <w:lang w:val="en-US"/>
        </w:rPr>
        <w:t xml:space="preserve"> </w:t>
      </w:r>
      <w:r w:rsidRPr="00475954">
        <w:rPr>
          <w:rFonts w:ascii="Arial" w:hAnsi="Arial" w:cs="Arial"/>
          <w:color w:val="FF0000"/>
          <w:szCs w:val="20"/>
          <w:lang w:val="en-US"/>
        </w:rPr>
        <w:t>The effect of different doses of vasculotide was determined in the cremaster muscle using intravital microscopy</w:t>
      </w:r>
      <w:r w:rsidR="00400042" w:rsidRPr="00475954">
        <w:rPr>
          <w:rFonts w:ascii="Arial" w:hAnsi="Arial" w:cs="Arial"/>
          <w:color w:val="FF0000"/>
          <w:szCs w:val="20"/>
          <w:lang w:val="en-US"/>
        </w:rPr>
        <w:t xml:space="preserve"> (n = 2-3 per group)</w:t>
      </w:r>
      <w:r w:rsidRPr="00475954">
        <w:rPr>
          <w:rFonts w:ascii="Arial" w:hAnsi="Arial" w:cs="Arial"/>
          <w:color w:val="FF0000"/>
          <w:szCs w:val="20"/>
          <w:lang w:val="en-US"/>
        </w:rPr>
        <w:t>. In sham setting, rats received either one of the three different doses (200 ng, 350 ng and 500 ng)</w:t>
      </w:r>
      <w:bookmarkStart w:id="0" w:name="_GoBack"/>
      <w:bookmarkEnd w:id="0"/>
      <w:r w:rsidRPr="00475954">
        <w:rPr>
          <w:rFonts w:ascii="Arial" w:hAnsi="Arial" w:cs="Arial"/>
          <w:color w:val="FF0000"/>
          <w:szCs w:val="20"/>
          <w:lang w:val="en-US"/>
        </w:rPr>
        <w:t xml:space="preserve"> or PBS as placebo.</w:t>
      </w:r>
      <w:r w:rsidRPr="00475954">
        <w:rPr>
          <w:color w:val="FF0000"/>
          <w:sz w:val="22"/>
          <w:lang w:val="en-US"/>
        </w:rPr>
        <w:t xml:space="preserve"> </w:t>
      </w:r>
      <w:r w:rsidRPr="00475954">
        <w:rPr>
          <w:rFonts w:ascii="Arial" w:hAnsi="Arial" w:cs="Arial"/>
          <w:color w:val="FF0000"/>
          <w:szCs w:val="20"/>
          <w:lang w:val="en-US"/>
        </w:rPr>
        <w:t>The 500 ng dose</w:t>
      </w:r>
      <w:r w:rsidR="00400042" w:rsidRPr="00475954">
        <w:rPr>
          <w:rFonts w:ascii="Arial" w:hAnsi="Arial" w:cs="Arial"/>
          <w:color w:val="FF0000"/>
          <w:szCs w:val="20"/>
          <w:lang w:val="en-US"/>
        </w:rPr>
        <w:t xml:space="preserve"> (n=1)</w:t>
      </w:r>
      <w:r w:rsidRPr="00475954">
        <w:rPr>
          <w:rFonts w:ascii="Arial" w:hAnsi="Arial" w:cs="Arial"/>
          <w:color w:val="FF0000"/>
          <w:szCs w:val="20"/>
          <w:lang w:val="en-US"/>
        </w:rPr>
        <w:t xml:space="preserve"> immediately resulted in a severe disturbance of microcirculatory perfusion and was therefore excluded for further assessment. The remaining two doses (200 ng and 350 ng) were tested in a model of hemorrhagic shock and fluid resuscitation (HS+R). </w:t>
      </w:r>
    </w:p>
    <w:p w:rsidR="00907ED1" w:rsidRDefault="00907ED1">
      <w:pPr>
        <w:spacing w:before="0" w:after="200" w:line="276" w:lineRule="auto"/>
        <w:rPr>
          <w:rFonts w:ascii="Arial" w:hAnsi="Arial" w:cs="Arial"/>
          <w:b/>
          <w:color w:val="000000"/>
          <w:szCs w:val="20"/>
          <w:lang w:val="en-US"/>
        </w:rPr>
      </w:pPr>
      <w:r>
        <w:rPr>
          <w:rFonts w:ascii="Arial" w:hAnsi="Arial" w:cs="Arial"/>
          <w:b/>
          <w:color w:val="000000"/>
          <w:szCs w:val="20"/>
          <w:lang w:val="en-US"/>
        </w:rPr>
        <w:br w:type="page"/>
      </w:r>
    </w:p>
    <w:p w:rsidR="00907ED1" w:rsidRDefault="00907ED1" w:rsidP="00907ED1">
      <w:pPr>
        <w:spacing w:before="0" w:after="200" w:line="276" w:lineRule="auto"/>
        <w:rPr>
          <w:rFonts w:ascii="Arial" w:hAnsi="Arial" w:cs="Arial"/>
          <w:bCs/>
          <w:color w:val="000000"/>
          <w:kern w:val="36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25B80028" wp14:editId="1EEAD839">
            <wp:extent cx="3943350" cy="5453489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17189"/>
                    <a:stretch/>
                  </pic:blipFill>
                  <pic:spPr bwMode="auto">
                    <a:xfrm>
                      <a:off x="0" y="0"/>
                      <a:ext cx="3943766" cy="5454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7ED1" w:rsidRDefault="00907ED1" w:rsidP="00907ED1">
      <w:pPr>
        <w:pStyle w:val="Geenafstand"/>
        <w:spacing w:line="480" w:lineRule="auto"/>
        <w:jc w:val="both"/>
        <w:rPr>
          <w:rFonts w:ascii="Arial" w:hAnsi="Arial" w:cs="Arial"/>
          <w:color w:val="000000"/>
          <w:szCs w:val="20"/>
          <w:lang w:val="en-US"/>
        </w:rPr>
      </w:pPr>
      <w:r>
        <w:rPr>
          <w:rFonts w:ascii="Arial" w:hAnsi="Arial" w:cs="Arial"/>
          <w:b/>
          <w:color w:val="000000"/>
          <w:szCs w:val="20"/>
          <w:lang w:val="en-US"/>
        </w:rPr>
        <w:t>SUPPLEMENTAL FIGURE</w:t>
      </w:r>
      <w:r>
        <w:rPr>
          <w:rFonts w:ascii="Arial" w:hAnsi="Arial" w:cs="Arial"/>
          <w:color w:val="000000"/>
          <w:szCs w:val="20"/>
          <w:lang w:val="en-US"/>
        </w:rPr>
        <w:t xml:space="preserve"> </w:t>
      </w:r>
      <w:r>
        <w:rPr>
          <w:rFonts w:ascii="Arial" w:hAnsi="Arial" w:cs="Arial"/>
          <w:b/>
          <w:color w:val="000000"/>
          <w:szCs w:val="20"/>
          <w:lang w:val="en-US"/>
        </w:rPr>
        <w:t>2</w:t>
      </w:r>
      <w:r>
        <w:rPr>
          <w:rFonts w:ascii="Arial" w:hAnsi="Arial" w:cs="Arial"/>
          <w:color w:val="000000"/>
          <w:szCs w:val="20"/>
          <w:lang w:val="en-US"/>
        </w:rPr>
        <w:t xml:space="preserve">: Raw data of western blot analysis. Renal protein expression levels were assessed using antibodies against Tie2, Rac-1, </w:t>
      </w:r>
      <w:proofErr w:type="spellStart"/>
      <w:r>
        <w:rPr>
          <w:rFonts w:ascii="Arial" w:hAnsi="Arial" w:cs="Arial"/>
          <w:color w:val="000000"/>
          <w:szCs w:val="20"/>
          <w:lang w:val="en-US"/>
        </w:rPr>
        <w:t>RhoA</w:t>
      </w:r>
      <w:proofErr w:type="spellEnd"/>
      <w:r>
        <w:rPr>
          <w:rFonts w:ascii="Arial" w:hAnsi="Arial" w:cs="Arial"/>
          <w:color w:val="000000"/>
          <w:szCs w:val="20"/>
          <w:lang w:val="en-US"/>
        </w:rPr>
        <w:t xml:space="preserve"> and neutrophil gelatinase-associated </w:t>
      </w:r>
      <w:proofErr w:type="spellStart"/>
      <w:r>
        <w:rPr>
          <w:rFonts w:ascii="Arial" w:hAnsi="Arial" w:cs="Arial"/>
          <w:color w:val="000000"/>
          <w:szCs w:val="20"/>
          <w:lang w:val="en-US"/>
        </w:rPr>
        <w:t>lipocalin</w:t>
      </w:r>
      <w:proofErr w:type="spellEnd"/>
      <w:r>
        <w:rPr>
          <w:rFonts w:ascii="Arial" w:hAnsi="Arial" w:cs="Arial"/>
          <w:color w:val="000000"/>
          <w:szCs w:val="20"/>
          <w:lang w:val="en-US"/>
        </w:rPr>
        <w:t xml:space="preserve"> (NGAL). For all analysis, signals were normalized to </w:t>
      </w:r>
      <w:r w:rsidRPr="001C684D">
        <w:rPr>
          <w:rFonts w:ascii="Arial" w:eastAsiaTheme="minorEastAsia" w:hAnsi="Arial" w:cs="Arial"/>
          <w:szCs w:val="20"/>
          <w:lang w:val="en-US" w:eastAsia="en-US"/>
        </w:rPr>
        <w:t>glyceraldehyde 3-phosphate dehydrogenase (GAPDH</w:t>
      </w:r>
      <w:r>
        <w:rPr>
          <w:rFonts w:ascii="Arial" w:eastAsiaTheme="minorEastAsia" w:hAnsi="Arial" w:cs="Arial"/>
          <w:szCs w:val="20"/>
          <w:lang w:val="en-US" w:eastAsia="en-US"/>
        </w:rPr>
        <w:t>). Images represent typical examples of tissues from rats that underwent 1 hour of hemorrhagic shock followed by 4 hours of fluid resuscitation without additional treatment (HS) or rats that underwent the same procedure but received treatment with vasculotide (HS+VT).</w:t>
      </w:r>
    </w:p>
    <w:p w:rsidR="0043709B" w:rsidRPr="00197706" w:rsidRDefault="0043709B" w:rsidP="0043709B">
      <w:pPr>
        <w:pStyle w:val="Geenafstand"/>
        <w:spacing w:line="480" w:lineRule="auto"/>
        <w:jc w:val="both"/>
        <w:rPr>
          <w:rFonts w:ascii="Arial" w:hAnsi="Arial" w:cs="Arial"/>
          <w:b/>
          <w:color w:val="000000"/>
          <w:szCs w:val="20"/>
          <w:lang w:val="en-US"/>
        </w:rPr>
      </w:pPr>
    </w:p>
    <w:p w:rsidR="0043709B" w:rsidRPr="0043709B" w:rsidRDefault="0043709B" w:rsidP="0043709B">
      <w:pPr>
        <w:pStyle w:val="Kop1"/>
        <w:shd w:val="clear" w:color="auto" w:fill="FFFFFF"/>
        <w:spacing w:before="120" w:beforeAutospacing="0" w:after="120" w:afterAutospacing="0" w:line="480" w:lineRule="auto"/>
        <w:jc w:val="center"/>
        <w:rPr>
          <w:rFonts w:ascii="Arial" w:hAnsi="Arial" w:cs="Arial"/>
          <w:color w:val="000000"/>
          <w:sz w:val="36"/>
          <w:szCs w:val="20"/>
          <w:lang w:val="en-US"/>
        </w:rPr>
      </w:pPr>
    </w:p>
    <w:p w:rsidR="0043709B" w:rsidRDefault="0043709B" w:rsidP="0043709B">
      <w:pPr>
        <w:pStyle w:val="Kop1"/>
        <w:shd w:val="clear" w:color="auto" w:fill="FFFFFF"/>
        <w:spacing w:before="120" w:beforeAutospacing="0" w:after="120" w:afterAutospacing="0"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43709B" w:rsidRDefault="0043709B" w:rsidP="0043709B">
      <w:pPr>
        <w:rPr>
          <w:rFonts w:ascii="Arial" w:hAnsi="Arial" w:cs="Arial"/>
          <w:lang w:val="en-US"/>
        </w:rPr>
      </w:pPr>
      <w:r w:rsidRPr="00BA3B41">
        <w:rPr>
          <w:noProof/>
        </w:rPr>
        <w:lastRenderedPageBreak/>
        <w:drawing>
          <wp:inline distT="0" distB="0" distL="0" distR="0" wp14:anchorId="30E8271E" wp14:editId="55316EC2">
            <wp:extent cx="5200650" cy="377190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09B" w:rsidRPr="0062296F" w:rsidRDefault="0043709B" w:rsidP="0043709B">
      <w:pPr>
        <w:spacing w:line="480" w:lineRule="auto"/>
        <w:jc w:val="both"/>
        <w:rPr>
          <w:rFonts w:ascii="Arial" w:hAnsi="Arial" w:cs="Arial"/>
          <w:lang w:val="en-US"/>
        </w:rPr>
      </w:pPr>
      <w:r w:rsidRPr="0062296F">
        <w:rPr>
          <w:rFonts w:ascii="Arial" w:hAnsi="Arial" w:cs="Arial"/>
          <w:b/>
          <w:lang w:val="en-US"/>
        </w:rPr>
        <w:t xml:space="preserve">SUPPLEMENTAL </w:t>
      </w:r>
      <w:r w:rsidR="00907ED1">
        <w:rPr>
          <w:rFonts w:ascii="Arial" w:hAnsi="Arial" w:cs="Arial"/>
          <w:b/>
          <w:lang w:val="en-US"/>
        </w:rPr>
        <w:t>FIGURE 3</w:t>
      </w:r>
      <w:r>
        <w:rPr>
          <w:rFonts w:ascii="Arial" w:hAnsi="Arial" w:cs="Arial"/>
          <w:lang w:val="en-US"/>
        </w:rPr>
        <w:t xml:space="preserve">: Expression levels of markers reflecting endothelial barrier function. </w:t>
      </w:r>
      <w:r>
        <w:rPr>
          <w:rFonts w:ascii="Arial" w:hAnsi="Arial" w:cs="Arial"/>
          <w:szCs w:val="20"/>
          <w:lang w:val="en-US"/>
        </w:rPr>
        <w:t>Renal gene expression levels of Rac-1 (</w:t>
      </w:r>
      <w:r>
        <w:rPr>
          <w:rFonts w:ascii="Arial" w:hAnsi="Arial" w:cs="Arial"/>
          <w:b/>
          <w:szCs w:val="20"/>
          <w:lang w:val="en-US"/>
        </w:rPr>
        <w:t>A</w:t>
      </w:r>
      <w:r>
        <w:rPr>
          <w:rFonts w:ascii="Arial" w:hAnsi="Arial" w:cs="Arial"/>
          <w:szCs w:val="20"/>
          <w:lang w:val="en-US"/>
        </w:rPr>
        <w:t xml:space="preserve">) and </w:t>
      </w:r>
      <w:proofErr w:type="spellStart"/>
      <w:r>
        <w:rPr>
          <w:rFonts w:ascii="Arial" w:hAnsi="Arial" w:cs="Arial"/>
          <w:szCs w:val="20"/>
          <w:lang w:val="en-US"/>
        </w:rPr>
        <w:t>RhoA</w:t>
      </w:r>
      <w:proofErr w:type="spellEnd"/>
      <w:r>
        <w:rPr>
          <w:rFonts w:ascii="Arial" w:hAnsi="Arial" w:cs="Arial"/>
          <w:szCs w:val="20"/>
          <w:lang w:val="en-US"/>
        </w:rPr>
        <w:t xml:space="preserve"> (</w:t>
      </w:r>
      <w:r>
        <w:rPr>
          <w:rFonts w:ascii="Arial" w:hAnsi="Arial" w:cs="Arial"/>
          <w:b/>
          <w:szCs w:val="20"/>
          <w:lang w:val="en-US"/>
        </w:rPr>
        <w:t>B</w:t>
      </w:r>
      <w:r>
        <w:rPr>
          <w:rFonts w:ascii="Arial" w:hAnsi="Arial" w:cs="Arial"/>
          <w:szCs w:val="20"/>
          <w:lang w:val="en-US"/>
        </w:rPr>
        <w:t>) and protein expression levels of Rac-1 (</w:t>
      </w:r>
      <w:r>
        <w:rPr>
          <w:rFonts w:ascii="Arial" w:hAnsi="Arial" w:cs="Arial"/>
          <w:b/>
          <w:szCs w:val="20"/>
          <w:lang w:val="en-US"/>
        </w:rPr>
        <w:t>C</w:t>
      </w:r>
      <w:r>
        <w:rPr>
          <w:rFonts w:ascii="Arial" w:hAnsi="Arial" w:cs="Arial"/>
          <w:szCs w:val="20"/>
          <w:lang w:val="en-US"/>
        </w:rPr>
        <w:t xml:space="preserve">) and </w:t>
      </w:r>
      <w:proofErr w:type="spellStart"/>
      <w:r>
        <w:rPr>
          <w:rFonts w:ascii="Arial" w:hAnsi="Arial" w:cs="Arial"/>
          <w:szCs w:val="20"/>
          <w:lang w:val="en-US"/>
        </w:rPr>
        <w:t>RhoA</w:t>
      </w:r>
      <w:proofErr w:type="spellEnd"/>
      <w:r>
        <w:rPr>
          <w:rFonts w:ascii="Arial" w:hAnsi="Arial" w:cs="Arial"/>
          <w:b/>
          <w:szCs w:val="20"/>
          <w:lang w:val="en-US"/>
        </w:rPr>
        <w:t xml:space="preserve"> </w:t>
      </w:r>
      <w:r>
        <w:rPr>
          <w:rFonts w:ascii="Arial" w:hAnsi="Arial" w:cs="Arial"/>
          <w:szCs w:val="20"/>
          <w:lang w:val="en-US"/>
        </w:rPr>
        <w:t>(</w:t>
      </w:r>
      <w:r>
        <w:rPr>
          <w:rFonts w:ascii="Arial" w:hAnsi="Arial" w:cs="Arial"/>
          <w:b/>
          <w:szCs w:val="20"/>
          <w:lang w:val="en-US"/>
        </w:rPr>
        <w:t>D</w:t>
      </w:r>
      <w:r>
        <w:rPr>
          <w:rFonts w:ascii="Arial" w:hAnsi="Arial" w:cs="Arial"/>
          <w:szCs w:val="20"/>
          <w:lang w:val="en-US"/>
        </w:rPr>
        <w:t>), measured following hemorrhagic shock and 4h of fluid resuscitation (HS; black circles, HS+VT, grey circles).</w:t>
      </w:r>
      <w:r>
        <w:rPr>
          <w:rFonts w:ascii="Arial" w:hAnsi="Arial" w:cs="Arial"/>
          <w:color w:val="000000"/>
          <w:szCs w:val="20"/>
          <w:lang w:val="en-US"/>
        </w:rPr>
        <w:t xml:space="preserve"> </w:t>
      </w:r>
      <w:r>
        <w:rPr>
          <w:rFonts w:ascii="Arial" w:hAnsi="Arial" w:cs="Arial"/>
          <w:lang w:val="en-US"/>
        </w:rPr>
        <w:t>Gene e</w:t>
      </w:r>
      <w:r>
        <w:rPr>
          <w:rFonts w:ascii="Arial" w:hAnsi="Arial" w:cs="Arial"/>
          <w:color w:val="000000"/>
          <w:szCs w:val="20"/>
          <w:lang w:val="en-US"/>
        </w:rPr>
        <w:t xml:space="preserve">xpression levels were normalized to </w:t>
      </w:r>
      <w:proofErr w:type="spellStart"/>
      <w:r>
        <w:rPr>
          <w:rFonts w:ascii="Arial" w:hAnsi="Arial" w:cs="Arial"/>
          <w:color w:val="000000"/>
          <w:szCs w:val="20"/>
          <w:lang w:val="en-US"/>
        </w:rPr>
        <w:t>Arbp</w:t>
      </w:r>
      <w:proofErr w:type="spellEnd"/>
      <w:r>
        <w:rPr>
          <w:rFonts w:ascii="Arial" w:hAnsi="Arial" w:cs="Arial"/>
          <w:color w:val="000000"/>
          <w:szCs w:val="20"/>
          <w:lang w:val="en-US"/>
        </w:rPr>
        <w:t xml:space="preserve"> gene expression, protein expression levels were normalized to GAPDH expression. </w:t>
      </w:r>
      <w:r w:rsidRPr="00B77C27">
        <w:rPr>
          <w:rFonts w:ascii="Arial" w:hAnsi="Arial" w:cs="Arial"/>
          <w:lang w:val="en-US"/>
        </w:rPr>
        <w:t>Data represent mean ± SD.</w:t>
      </w:r>
      <w:r>
        <w:rPr>
          <w:rFonts w:ascii="Arial" w:hAnsi="Arial" w:cs="Arial"/>
          <w:szCs w:val="20"/>
          <w:lang w:val="en-US"/>
        </w:rPr>
        <w:t xml:space="preserve"> </w:t>
      </w:r>
      <w:r>
        <w:rPr>
          <w:rFonts w:ascii="Arial" w:hAnsi="Arial" w:cs="Arial"/>
          <w:color w:val="000000"/>
          <w:szCs w:val="20"/>
          <w:lang w:val="en-US"/>
        </w:rPr>
        <w:t xml:space="preserve"> </w:t>
      </w:r>
    </w:p>
    <w:p w:rsidR="0043709B" w:rsidRPr="00197706" w:rsidRDefault="0043709B" w:rsidP="0043709B">
      <w:pPr>
        <w:pStyle w:val="Kop1"/>
        <w:shd w:val="clear" w:color="auto" w:fill="FFFFFF"/>
        <w:spacing w:before="120" w:beforeAutospacing="0" w:after="120" w:afterAutospacing="0"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43709B" w:rsidRDefault="0043709B" w:rsidP="0043709B">
      <w:pPr>
        <w:pStyle w:val="Kop1"/>
        <w:shd w:val="clear" w:color="auto" w:fill="FFFFFF"/>
        <w:spacing w:before="120" w:beforeAutospacing="0" w:after="120" w:afterAutospacing="0" w:line="480" w:lineRule="auto"/>
        <w:jc w:val="both"/>
        <w:rPr>
          <w:rFonts w:ascii="Arial" w:hAnsi="Arial" w:cs="Arial"/>
          <w:b w:val="0"/>
          <w:color w:val="000000"/>
          <w:sz w:val="20"/>
          <w:szCs w:val="20"/>
          <w:lang w:val="en-US"/>
        </w:rPr>
      </w:pPr>
    </w:p>
    <w:p w:rsidR="0043709B" w:rsidRDefault="0043709B" w:rsidP="0043709B">
      <w:pPr>
        <w:pStyle w:val="Geenafstand"/>
        <w:spacing w:line="480" w:lineRule="auto"/>
        <w:jc w:val="both"/>
        <w:rPr>
          <w:rFonts w:ascii="Arial" w:hAnsi="Arial" w:cs="Arial"/>
          <w:b/>
          <w:color w:val="000000"/>
          <w:szCs w:val="20"/>
          <w:lang w:val="en-US"/>
        </w:rPr>
      </w:pPr>
      <w:r w:rsidRPr="003C231B">
        <w:rPr>
          <w:rFonts w:ascii="Arial" w:hAnsi="Arial" w:cs="Arial"/>
          <w:b/>
          <w:noProof/>
          <w:color w:val="000000"/>
          <w:szCs w:val="20"/>
        </w:rPr>
        <w:lastRenderedPageBreak/>
        <w:drawing>
          <wp:inline distT="0" distB="0" distL="0" distR="0" wp14:anchorId="6472DF8B" wp14:editId="25F6B3E2">
            <wp:extent cx="6124575" cy="417195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31B">
        <w:rPr>
          <w:rFonts w:ascii="Arial" w:hAnsi="Arial" w:cs="Arial"/>
          <w:b/>
          <w:color w:val="000000"/>
          <w:szCs w:val="20"/>
          <w:lang w:val="en-US"/>
        </w:rPr>
        <w:t xml:space="preserve"> </w:t>
      </w:r>
      <w:r>
        <w:rPr>
          <w:rFonts w:ascii="Arial" w:hAnsi="Arial" w:cs="Arial"/>
          <w:b/>
          <w:color w:val="000000"/>
          <w:szCs w:val="20"/>
          <w:lang w:val="en-US"/>
        </w:rPr>
        <w:t>SUPPLEMENTAL FIGURE</w:t>
      </w:r>
      <w:r>
        <w:rPr>
          <w:rFonts w:ascii="Arial" w:hAnsi="Arial" w:cs="Arial"/>
          <w:color w:val="000000"/>
          <w:szCs w:val="20"/>
          <w:lang w:val="en-US"/>
        </w:rPr>
        <w:t xml:space="preserve"> </w:t>
      </w:r>
      <w:r w:rsidR="00907ED1">
        <w:rPr>
          <w:rFonts w:ascii="Arial" w:hAnsi="Arial" w:cs="Arial"/>
          <w:b/>
          <w:color w:val="000000"/>
          <w:szCs w:val="20"/>
          <w:lang w:val="en-US"/>
        </w:rPr>
        <w:t>4</w:t>
      </w:r>
      <w:r>
        <w:rPr>
          <w:rFonts w:ascii="Arial" w:hAnsi="Arial" w:cs="Arial"/>
          <w:color w:val="000000"/>
          <w:szCs w:val="20"/>
          <w:lang w:val="en-US"/>
        </w:rPr>
        <w:t xml:space="preserve">: Cell adhesion molecules. Renal gene expression of intercellular adhesion molecule 1 (ICAM-1; </w:t>
      </w:r>
      <w:r w:rsidRPr="00C66CE7">
        <w:rPr>
          <w:rFonts w:ascii="Arial" w:hAnsi="Arial" w:cs="Arial"/>
          <w:b/>
          <w:color w:val="000000"/>
          <w:szCs w:val="20"/>
          <w:lang w:val="en-US"/>
        </w:rPr>
        <w:t>A</w:t>
      </w:r>
      <w:r>
        <w:rPr>
          <w:rFonts w:ascii="Arial" w:hAnsi="Arial" w:cs="Arial"/>
          <w:color w:val="000000"/>
          <w:szCs w:val="20"/>
          <w:lang w:val="en-US"/>
        </w:rPr>
        <w:t xml:space="preserve">), vascular cell adhesion molecule 1 (VCAM-1; </w:t>
      </w:r>
      <w:r w:rsidRPr="00C66CE7">
        <w:rPr>
          <w:rFonts w:ascii="Arial" w:hAnsi="Arial" w:cs="Arial"/>
          <w:b/>
          <w:color w:val="000000"/>
          <w:szCs w:val="20"/>
          <w:lang w:val="en-US"/>
        </w:rPr>
        <w:t>B</w:t>
      </w:r>
      <w:r>
        <w:rPr>
          <w:rFonts w:ascii="Arial" w:hAnsi="Arial" w:cs="Arial"/>
          <w:color w:val="000000"/>
          <w:szCs w:val="20"/>
          <w:lang w:val="en-US"/>
        </w:rPr>
        <w:t>), E-selectin (</w:t>
      </w:r>
      <w:r w:rsidRPr="00C66CE7">
        <w:rPr>
          <w:rFonts w:ascii="Arial" w:hAnsi="Arial" w:cs="Arial"/>
          <w:b/>
          <w:color w:val="000000"/>
          <w:szCs w:val="20"/>
          <w:lang w:val="en-US"/>
        </w:rPr>
        <w:t>C</w:t>
      </w:r>
      <w:r>
        <w:rPr>
          <w:rFonts w:ascii="Arial" w:hAnsi="Arial" w:cs="Arial"/>
          <w:color w:val="000000"/>
          <w:szCs w:val="20"/>
          <w:lang w:val="en-US"/>
        </w:rPr>
        <w:t>) and P-selectin (</w:t>
      </w:r>
      <w:r w:rsidRPr="00C66CE7">
        <w:rPr>
          <w:rFonts w:ascii="Arial" w:hAnsi="Arial" w:cs="Arial"/>
          <w:b/>
          <w:color w:val="000000"/>
          <w:szCs w:val="20"/>
          <w:lang w:val="en-US"/>
        </w:rPr>
        <w:t>D</w:t>
      </w:r>
      <w:r>
        <w:rPr>
          <w:rFonts w:ascii="Arial" w:hAnsi="Arial" w:cs="Arial"/>
          <w:color w:val="000000"/>
          <w:szCs w:val="20"/>
          <w:lang w:val="en-US"/>
        </w:rPr>
        <w:t xml:space="preserve">) was determined in renal tissue of rats following hemorrhagic shock and fluid resuscitation (HS), treated with either vasculotide (VT; grey circles) or phosphate buffered saline (PBS; black circles) as control. Gene expression levels were normalized to </w:t>
      </w:r>
      <w:proofErr w:type="spellStart"/>
      <w:r>
        <w:rPr>
          <w:rFonts w:ascii="Arial" w:hAnsi="Arial" w:cs="Arial"/>
          <w:color w:val="000000"/>
          <w:szCs w:val="20"/>
          <w:lang w:val="en-US"/>
        </w:rPr>
        <w:t>Arbp</w:t>
      </w:r>
      <w:proofErr w:type="spellEnd"/>
      <w:r>
        <w:rPr>
          <w:rFonts w:ascii="Arial" w:hAnsi="Arial" w:cs="Arial"/>
          <w:color w:val="000000"/>
          <w:szCs w:val="20"/>
          <w:lang w:val="en-US"/>
        </w:rPr>
        <w:t xml:space="preserve"> gene expression</w:t>
      </w:r>
      <w:r w:rsidRPr="004855A8">
        <w:rPr>
          <w:rFonts w:ascii="Arial" w:hAnsi="Arial" w:cs="Arial"/>
          <w:lang w:val="en-US"/>
        </w:rPr>
        <w:t>. Data represent mean ± SD.</w:t>
      </w:r>
      <w:r>
        <w:rPr>
          <w:rFonts w:ascii="Arial" w:hAnsi="Arial" w:cs="Arial"/>
          <w:szCs w:val="20"/>
          <w:lang w:val="en-US"/>
        </w:rPr>
        <w:t xml:space="preserve"> </w:t>
      </w:r>
      <w:r>
        <w:rPr>
          <w:rFonts w:ascii="Arial" w:hAnsi="Arial" w:cs="Arial"/>
          <w:color w:val="000000"/>
          <w:szCs w:val="20"/>
          <w:lang w:val="en-US"/>
        </w:rPr>
        <w:t xml:space="preserve"> </w:t>
      </w:r>
    </w:p>
    <w:p w:rsidR="0043709B" w:rsidRDefault="0043709B" w:rsidP="0043709B">
      <w:pPr>
        <w:spacing w:before="0" w:after="200" w:line="276" w:lineRule="auto"/>
        <w:rPr>
          <w:rFonts w:ascii="Arial" w:hAnsi="Arial" w:cs="Arial"/>
          <w:b/>
          <w:color w:val="000000"/>
          <w:szCs w:val="20"/>
          <w:lang w:val="en-US"/>
        </w:rPr>
      </w:pPr>
      <w:r>
        <w:rPr>
          <w:rFonts w:ascii="Arial" w:hAnsi="Arial" w:cs="Arial"/>
          <w:b/>
          <w:color w:val="000000"/>
          <w:szCs w:val="20"/>
          <w:lang w:val="en-US"/>
        </w:rPr>
        <w:br w:type="page"/>
      </w:r>
    </w:p>
    <w:p w:rsidR="0043709B" w:rsidRDefault="0043709B" w:rsidP="0043709B">
      <w:pPr>
        <w:pStyle w:val="Kop1"/>
        <w:shd w:val="clear" w:color="auto" w:fill="FFFFFF"/>
        <w:spacing w:before="120" w:beforeAutospacing="0" w:after="120" w:afterAutospacing="0" w:line="480" w:lineRule="auto"/>
        <w:jc w:val="both"/>
        <w:rPr>
          <w:rFonts w:ascii="Arial" w:hAnsi="Arial" w:cs="Arial"/>
          <w:b w:val="0"/>
          <w:color w:val="000000"/>
          <w:sz w:val="20"/>
          <w:szCs w:val="20"/>
          <w:lang w:val="en-US"/>
        </w:rPr>
      </w:pPr>
      <w:r w:rsidRPr="00252F7C">
        <w:rPr>
          <w:rFonts w:ascii="Arial" w:hAnsi="Arial" w:cs="Arial"/>
          <w:b w:val="0"/>
          <w:noProof/>
          <w:color w:val="000000"/>
          <w:sz w:val="20"/>
          <w:szCs w:val="20"/>
        </w:rPr>
        <w:lastRenderedPageBreak/>
        <w:drawing>
          <wp:inline distT="0" distB="0" distL="0" distR="0" wp14:anchorId="708E892C" wp14:editId="27314A75">
            <wp:extent cx="5760720" cy="442341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2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09B" w:rsidRPr="00861BE9" w:rsidRDefault="00907ED1" w:rsidP="0043709B">
      <w:pPr>
        <w:pStyle w:val="Kop1"/>
        <w:shd w:val="clear" w:color="auto" w:fill="FFFFFF"/>
        <w:spacing w:before="120" w:beforeAutospacing="0" w:after="120" w:afterAutospacing="0"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SUPPLEMENTAL FIGURE 5</w:t>
      </w:r>
      <w:r w:rsidR="0043709B" w:rsidRPr="0062296F">
        <w:rPr>
          <w:rFonts w:ascii="Arial" w:hAnsi="Arial" w:cs="Arial"/>
          <w:color w:val="000000"/>
          <w:sz w:val="20"/>
          <w:szCs w:val="20"/>
          <w:lang w:val="en-US"/>
        </w:rPr>
        <w:t>:</w:t>
      </w:r>
      <w:r w:rsidR="0043709B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 Effect of microbubbles on hemodynamic values, cremaster perfusion and renal wet/dry ratio. Mean arterial pressure (</w:t>
      </w:r>
      <w:r w:rsidR="0043709B">
        <w:rPr>
          <w:rFonts w:ascii="Arial" w:hAnsi="Arial" w:cs="Arial"/>
          <w:color w:val="000000"/>
          <w:sz w:val="20"/>
          <w:szCs w:val="20"/>
          <w:lang w:val="en-US"/>
        </w:rPr>
        <w:t>A</w:t>
      </w:r>
      <w:r w:rsidR="0043709B">
        <w:rPr>
          <w:rFonts w:ascii="Arial" w:hAnsi="Arial" w:cs="Arial"/>
          <w:b w:val="0"/>
          <w:color w:val="000000"/>
          <w:sz w:val="20"/>
          <w:szCs w:val="20"/>
          <w:lang w:val="en-US"/>
        </w:rPr>
        <w:t>), heart rate (</w:t>
      </w:r>
      <w:r w:rsidR="0043709B">
        <w:rPr>
          <w:rFonts w:ascii="Arial" w:hAnsi="Arial" w:cs="Arial"/>
          <w:color w:val="000000"/>
          <w:sz w:val="20"/>
          <w:szCs w:val="20"/>
          <w:lang w:val="en-US"/>
        </w:rPr>
        <w:t>B</w:t>
      </w:r>
      <w:r w:rsidR="0043709B">
        <w:rPr>
          <w:rFonts w:ascii="Arial" w:hAnsi="Arial" w:cs="Arial"/>
          <w:b w:val="0"/>
          <w:color w:val="000000"/>
          <w:sz w:val="20"/>
          <w:szCs w:val="20"/>
          <w:lang w:val="en-US"/>
        </w:rPr>
        <w:t>), hematocrit (</w:t>
      </w:r>
      <w:r w:rsidR="0043709B">
        <w:rPr>
          <w:rFonts w:ascii="Arial" w:hAnsi="Arial" w:cs="Arial"/>
          <w:color w:val="000000"/>
          <w:sz w:val="20"/>
          <w:szCs w:val="20"/>
          <w:lang w:val="en-US"/>
        </w:rPr>
        <w:t>C</w:t>
      </w:r>
      <w:r w:rsidR="0043709B">
        <w:rPr>
          <w:rFonts w:ascii="Arial" w:hAnsi="Arial" w:cs="Arial"/>
          <w:b w:val="0"/>
          <w:color w:val="000000"/>
          <w:sz w:val="20"/>
          <w:szCs w:val="20"/>
          <w:lang w:val="en-US"/>
        </w:rPr>
        <w:t>), pH</w:t>
      </w:r>
      <w:r w:rsidR="0043709B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43709B">
        <w:rPr>
          <w:rFonts w:ascii="Arial" w:hAnsi="Arial" w:cs="Arial"/>
          <w:b w:val="0"/>
          <w:color w:val="000000"/>
          <w:sz w:val="20"/>
          <w:szCs w:val="20"/>
          <w:lang w:val="en-US"/>
        </w:rPr>
        <w:t>(</w:t>
      </w:r>
      <w:r w:rsidR="0043709B">
        <w:rPr>
          <w:rFonts w:ascii="Arial" w:hAnsi="Arial" w:cs="Arial"/>
          <w:color w:val="000000"/>
          <w:sz w:val="20"/>
          <w:szCs w:val="20"/>
          <w:lang w:val="en-US"/>
        </w:rPr>
        <w:t>D</w:t>
      </w:r>
      <w:r w:rsidR="0043709B">
        <w:rPr>
          <w:rFonts w:ascii="Arial" w:hAnsi="Arial" w:cs="Arial"/>
          <w:b w:val="0"/>
          <w:color w:val="000000"/>
          <w:sz w:val="20"/>
          <w:szCs w:val="20"/>
          <w:lang w:val="en-US"/>
        </w:rPr>
        <w:t>), bicarbonate (</w:t>
      </w:r>
      <w:r w:rsidR="0043709B">
        <w:rPr>
          <w:rFonts w:ascii="Arial" w:hAnsi="Arial" w:cs="Arial"/>
          <w:color w:val="000000"/>
          <w:sz w:val="20"/>
          <w:szCs w:val="20"/>
          <w:lang w:val="en-US"/>
        </w:rPr>
        <w:t>E</w:t>
      </w:r>
      <w:r w:rsidR="0043709B">
        <w:rPr>
          <w:rFonts w:ascii="Arial" w:hAnsi="Arial" w:cs="Arial"/>
          <w:b w:val="0"/>
          <w:color w:val="000000"/>
          <w:sz w:val="20"/>
          <w:szCs w:val="20"/>
          <w:lang w:val="en-US"/>
        </w:rPr>
        <w:t>), base excess (</w:t>
      </w:r>
      <w:r w:rsidR="0043709B">
        <w:rPr>
          <w:rFonts w:ascii="Arial" w:hAnsi="Arial" w:cs="Arial"/>
          <w:color w:val="000000"/>
          <w:sz w:val="20"/>
          <w:szCs w:val="20"/>
          <w:lang w:val="en-US"/>
        </w:rPr>
        <w:t>F</w:t>
      </w:r>
      <w:r w:rsidR="0043709B">
        <w:rPr>
          <w:rFonts w:ascii="Arial" w:hAnsi="Arial" w:cs="Arial"/>
          <w:b w:val="0"/>
          <w:color w:val="000000"/>
          <w:sz w:val="20"/>
          <w:szCs w:val="20"/>
          <w:lang w:val="en-US"/>
        </w:rPr>
        <w:t>) levels were assessed at baseline, during 1h of hemorrhagic shock and in the 4 hours following fluid resuscitation in rats. Cremaster perfusion was assessed predetermined time points using intravital microscopy (</w:t>
      </w:r>
      <w:r w:rsidR="0043709B">
        <w:rPr>
          <w:rFonts w:ascii="Arial" w:hAnsi="Arial" w:cs="Arial"/>
          <w:color w:val="000000"/>
          <w:sz w:val="20"/>
          <w:szCs w:val="20"/>
          <w:lang w:val="en-US"/>
        </w:rPr>
        <w:t xml:space="preserve">G </w:t>
      </w:r>
      <w:r w:rsidR="0043709B">
        <w:rPr>
          <w:rFonts w:ascii="Arial" w:hAnsi="Arial" w:cs="Arial"/>
          <w:b w:val="0"/>
          <w:color w:val="000000"/>
          <w:sz w:val="20"/>
          <w:szCs w:val="20"/>
          <w:lang w:val="en-US"/>
        </w:rPr>
        <w:t>&amp;</w:t>
      </w:r>
      <w:r w:rsidR="0043709B">
        <w:rPr>
          <w:rFonts w:ascii="Arial" w:hAnsi="Arial" w:cs="Arial"/>
          <w:color w:val="000000"/>
          <w:sz w:val="20"/>
          <w:szCs w:val="20"/>
          <w:lang w:val="en-US"/>
        </w:rPr>
        <w:t xml:space="preserve"> H</w:t>
      </w:r>
      <w:r w:rsidR="0043709B">
        <w:rPr>
          <w:rFonts w:ascii="Arial" w:hAnsi="Arial" w:cs="Arial"/>
          <w:b w:val="0"/>
          <w:color w:val="000000"/>
          <w:sz w:val="20"/>
          <w:szCs w:val="20"/>
          <w:lang w:val="en-US"/>
        </w:rPr>
        <w:t>). Renal wet/dry ratios were determined after sacrifice as measure of renal edema formation (</w:t>
      </w:r>
      <w:r w:rsidR="0043709B">
        <w:rPr>
          <w:rFonts w:ascii="Arial" w:hAnsi="Arial" w:cs="Arial"/>
          <w:color w:val="000000"/>
          <w:sz w:val="20"/>
          <w:szCs w:val="20"/>
          <w:lang w:val="en-US"/>
        </w:rPr>
        <w:t>I</w:t>
      </w:r>
      <w:r w:rsidR="0043709B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). Rats either received PBS and underwent contrast enhanced ultrasound with microbubble infusion (squares with continuous line) or underwent the same experimental protocol without microbubble infusion (triangles with dotted line). </w:t>
      </w:r>
      <w:r w:rsidR="0043709B" w:rsidRPr="001718D0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Two-way ANOVA with Bonferroni post hoc analyses, *P &lt; 0.05 </w:t>
      </w:r>
      <w:r w:rsidR="0043709B">
        <w:rPr>
          <w:rFonts w:ascii="Arial" w:hAnsi="Arial" w:cs="Arial"/>
          <w:b w:val="0"/>
          <w:color w:val="000000"/>
          <w:sz w:val="20"/>
          <w:szCs w:val="20"/>
          <w:lang w:val="en-US"/>
        </w:rPr>
        <w:t>HS group compared to baseline; $ P &lt; 0.05 HS – no microbubbles</w:t>
      </w:r>
      <w:r w:rsidR="0043709B" w:rsidRPr="001718D0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 vs. HS group. Data represent mean ± SD, n = 13</w:t>
      </w:r>
      <w:r w:rsidR="0043709B">
        <w:rPr>
          <w:rFonts w:ascii="Arial" w:hAnsi="Arial" w:cs="Arial"/>
          <w:b w:val="0"/>
          <w:color w:val="000000"/>
          <w:sz w:val="20"/>
          <w:szCs w:val="20"/>
          <w:lang w:val="en-US"/>
        </w:rPr>
        <w:t xml:space="preserve"> (HS), n = 7 (HS – no microbubbles)</w:t>
      </w:r>
      <w:r w:rsidR="0043709B" w:rsidRPr="001718D0">
        <w:rPr>
          <w:rFonts w:ascii="Arial" w:hAnsi="Arial" w:cs="Arial"/>
          <w:b w:val="0"/>
          <w:color w:val="000000"/>
          <w:sz w:val="20"/>
          <w:szCs w:val="20"/>
          <w:lang w:val="en-US"/>
        </w:rPr>
        <w:t>.</w:t>
      </w:r>
    </w:p>
    <w:p w:rsidR="00440D18" w:rsidRPr="0043709B" w:rsidRDefault="00475954">
      <w:pPr>
        <w:rPr>
          <w:lang w:val="en-US"/>
        </w:rPr>
      </w:pPr>
    </w:p>
    <w:sectPr w:rsidR="00440D18" w:rsidRPr="00437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9B"/>
    <w:rsid w:val="000801CA"/>
    <w:rsid w:val="000915E1"/>
    <w:rsid w:val="001C7E00"/>
    <w:rsid w:val="00400042"/>
    <w:rsid w:val="0043709B"/>
    <w:rsid w:val="00445C24"/>
    <w:rsid w:val="00475954"/>
    <w:rsid w:val="006363DB"/>
    <w:rsid w:val="00907ED1"/>
    <w:rsid w:val="009E2049"/>
    <w:rsid w:val="00A0540A"/>
    <w:rsid w:val="00AB6F74"/>
    <w:rsid w:val="00C5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0EA4"/>
  <w15:chartTrackingRefBased/>
  <w15:docId w15:val="{E2E66360-CDAE-4B4B-8CA6-1B834567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3709B"/>
    <w:pPr>
      <w:spacing w:before="120" w:after="0" w:line="240" w:lineRule="auto"/>
    </w:pPr>
    <w:rPr>
      <w:rFonts w:ascii="Arial Narrow" w:eastAsia="Times New Roman" w:hAnsi="Arial Narrow" w:cs="Times New Roman"/>
      <w:sz w:val="20"/>
      <w:szCs w:val="24"/>
      <w:lang w:eastAsia="nl-NL"/>
    </w:rPr>
  </w:style>
  <w:style w:type="paragraph" w:styleId="Kop1">
    <w:name w:val="heading 1"/>
    <w:basedOn w:val="Standaard"/>
    <w:link w:val="Kop1Char"/>
    <w:uiPriority w:val="9"/>
    <w:qFormat/>
    <w:rsid w:val="0043709B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709B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Geenafstand">
    <w:name w:val="No Spacing"/>
    <w:uiPriority w:val="1"/>
    <w:qFormat/>
    <w:rsid w:val="0043709B"/>
    <w:pPr>
      <w:spacing w:after="0" w:line="240" w:lineRule="auto"/>
    </w:pPr>
    <w:rPr>
      <w:rFonts w:ascii="Arial Narrow" w:eastAsia="Times New Roman" w:hAnsi="Arial Narrow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797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Leeuwen, A.L.I. van (Anoek)</dc:creator>
  <cp:keywords/>
  <dc:description/>
  <cp:lastModifiedBy>Leeuwen, A.L.I. van (Anoek)</cp:lastModifiedBy>
  <cp:revision>7</cp:revision>
  <dcterms:created xsi:type="dcterms:W3CDTF">2020-10-21T16:03:00Z</dcterms:created>
  <dcterms:modified xsi:type="dcterms:W3CDTF">2021-04-13T11:19:00Z</dcterms:modified>
</cp:coreProperties>
</file>