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9C397C" w14:textId="77777777" w:rsidR="000A49E7" w:rsidRPr="007660B7" w:rsidRDefault="000A49E7" w:rsidP="000A49E7">
      <w:pPr>
        <w:pStyle w:val="AJPcm"/>
        <w:spacing w:after="960"/>
        <w:rPr>
          <w:b/>
          <w:bCs/>
          <w:spacing w:val="0"/>
          <w:sz w:val="28"/>
          <w:szCs w:val="28"/>
        </w:rPr>
      </w:pPr>
      <w:bookmarkStart w:id="0" w:name="_Hlk100840974"/>
      <w:r w:rsidRPr="007660B7">
        <w:rPr>
          <w:b/>
          <w:bCs/>
          <w:spacing w:val="0"/>
          <w:sz w:val="28"/>
          <w:szCs w:val="28"/>
        </w:rPr>
        <w:t>Safety of flow-controlled ventilation with positive and negative end</w:t>
      </w:r>
      <w:r>
        <w:rPr>
          <w:b/>
          <w:bCs/>
          <w:spacing w:val="0"/>
          <w:sz w:val="28"/>
          <w:szCs w:val="28"/>
        </w:rPr>
        <w:noBreakHyphen/>
      </w:r>
      <w:r w:rsidRPr="007660B7">
        <w:rPr>
          <w:b/>
          <w:bCs/>
          <w:spacing w:val="0"/>
          <w:sz w:val="28"/>
          <w:szCs w:val="28"/>
        </w:rPr>
        <w:t xml:space="preserve">expiratory pressure in a swine model of </w:t>
      </w:r>
      <w:bookmarkEnd w:id="0"/>
      <w:r w:rsidRPr="007660B7">
        <w:rPr>
          <w:b/>
          <w:bCs/>
          <w:spacing w:val="0"/>
          <w:sz w:val="28"/>
          <w:szCs w:val="28"/>
        </w:rPr>
        <w:t>intracranial hypertension</w:t>
      </w:r>
    </w:p>
    <w:p w14:paraId="5555EE93" w14:textId="77777777" w:rsidR="000A49E7" w:rsidRDefault="000A49E7" w:rsidP="000A49E7">
      <w:pPr>
        <w:pStyle w:val="AJPcm"/>
        <w:spacing w:after="960"/>
        <w:rPr>
          <w:b/>
          <w:bCs/>
          <w:spacing w:val="0"/>
          <w:sz w:val="26"/>
          <w:szCs w:val="26"/>
        </w:rPr>
      </w:pPr>
    </w:p>
    <w:p w14:paraId="14ACCEE0" w14:textId="79B362F8" w:rsidR="000A49E7" w:rsidRPr="000A49E7" w:rsidRDefault="000A49E7" w:rsidP="000A49E7">
      <w:pPr>
        <w:pStyle w:val="AJPcm"/>
        <w:spacing w:after="960"/>
        <w:rPr>
          <w:b/>
          <w:bCs/>
          <w:i/>
          <w:iCs/>
          <w:spacing w:val="0"/>
          <w:szCs w:val="24"/>
        </w:rPr>
      </w:pPr>
      <w:r>
        <w:rPr>
          <w:b/>
          <w:bCs/>
          <w:i/>
          <w:iCs/>
          <w:spacing w:val="0"/>
          <w:szCs w:val="24"/>
        </w:rPr>
        <w:t>Online data supplement</w:t>
      </w:r>
    </w:p>
    <w:p w14:paraId="5CAE5927" w14:textId="77777777" w:rsidR="000A49E7" w:rsidRPr="00D12848" w:rsidRDefault="000A49E7" w:rsidP="000A49E7">
      <w:pPr>
        <w:spacing w:after="0" w:line="240" w:lineRule="auto"/>
        <w:rPr>
          <w:lang w:val="fr-FR"/>
        </w:rPr>
      </w:pPr>
      <w:r w:rsidRPr="00D12848">
        <w:rPr>
          <w:lang w:val="fr-FR"/>
        </w:rPr>
        <w:t>Álmos Schranc</w:t>
      </w:r>
      <w:r w:rsidRPr="00D12848">
        <w:rPr>
          <w:vertAlign w:val="superscript"/>
          <w:lang w:val="fr-FR"/>
        </w:rPr>
        <w:t>1</w:t>
      </w:r>
      <w:r w:rsidRPr="00D12848">
        <w:rPr>
          <w:lang w:val="fr-FR"/>
        </w:rPr>
        <w:t>, John Daniels</w:t>
      </w:r>
      <w:r w:rsidRPr="00D12848">
        <w:rPr>
          <w:vertAlign w:val="superscript"/>
          <w:lang w:val="fr-FR"/>
        </w:rPr>
        <w:t>1</w:t>
      </w:r>
      <w:r w:rsidRPr="00D12848">
        <w:rPr>
          <w:lang w:val="fr-FR"/>
        </w:rPr>
        <w:t>, Roberta Südy</w:t>
      </w:r>
      <w:r w:rsidRPr="00D12848">
        <w:rPr>
          <w:vertAlign w:val="superscript"/>
          <w:lang w:val="fr-FR"/>
        </w:rPr>
        <w:t>1</w:t>
      </w:r>
      <w:r w:rsidRPr="00D12848">
        <w:rPr>
          <w:lang w:val="fr-FR"/>
        </w:rPr>
        <w:t>, Fabienne Fontao</w:t>
      </w:r>
      <w:r w:rsidRPr="00D12848">
        <w:rPr>
          <w:vertAlign w:val="superscript"/>
          <w:lang w:val="fr-FR"/>
        </w:rPr>
        <w:t>1</w:t>
      </w:r>
      <w:r w:rsidRPr="00D12848">
        <w:rPr>
          <w:lang w:val="fr-FR"/>
        </w:rPr>
        <w:t>, Philippe Bijlenga</w:t>
      </w:r>
      <w:r w:rsidRPr="00D12848">
        <w:rPr>
          <w:vertAlign w:val="superscript"/>
          <w:lang w:val="fr-FR"/>
        </w:rPr>
        <w:t>2</w:t>
      </w:r>
      <w:r w:rsidRPr="00D12848">
        <w:rPr>
          <w:lang w:val="fr-FR"/>
        </w:rPr>
        <w:t>, Guillaume Plourde</w:t>
      </w:r>
      <w:r w:rsidRPr="00D12848">
        <w:rPr>
          <w:vertAlign w:val="superscript"/>
          <w:lang w:val="fr-FR"/>
        </w:rPr>
        <w:t>3</w:t>
      </w:r>
      <w:r w:rsidRPr="00D12848">
        <w:rPr>
          <w:lang w:val="fr-FR"/>
        </w:rPr>
        <w:t>, Hervé Quintard</w:t>
      </w:r>
      <w:r w:rsidRPr="00D12848">
        <w:rPr>
          <w:vertAlign w:val="superscript"/>
          <w:lang w:val="fr-FR"/>
        </w:rPr>
        <w:t>4</w:t>
      </w:r>
    </w:p>
    <w:p w14:paraId="279F03F0" w14:textId="77777777" w:rsidR="000A49E7" w:rsidRPr="00D12848" w:rsidRDefault="000A49E7" w:rsidP="000A49E7">
      <w:pPr>
        <w:spacing w:after="0" w:line="240" w:lineRule="auto"/>
        <w:rPr>
          <w:b/>
          <w:bCs/>
          <w:sz w:val="26"/>
          <w:szCs w:val="26"/>
          <w:highlight w:val="yellow"/>
          <w:lang w:val="fr-FR"/>
        </w:rPr>
      </w:pPr>
    </w:p>
    <w:p w14:paraId="1A66CEB4" w14:textId="77777777" w:rsidR="000A49E7" w:rsidRPr="00743A68" w:rsidRDefault="000A49E7" w:rsidP="000A49E7">
      <w:pPr>
        <w:pStyle w:val="AJPaff"/>
        <w:spacing w:after="480" w:line="276" w:lineRule="auto"/>
        <w:rPr>
          <w:color w:val="000000" w:themeColor="text1"/>
          <w:lang w:val="en-GB"/>
        </w:rPr>
      </w:pPr>
      <w:r w:rsidRPr="00743A68">
        <w:rPr>
          <w:color w:val="000000" w:themeColor="text1"/>
          <w:vertAlign w:val="superscript"/>
          <w:lang w:val="en-GB"/>
        </w:rPr>
        <w:t>1</w:t>
      </w:r>
      <w:r w:rsidRPr="00743A68">
        <w:rPr>
          <w:color w:val="000000" w:themeColor="text1"/>
          <w:lang w:val="en-GB"/>
        </w:rPr>
        <w:t xml:space="preserve"> Unit for Anaesthesiological Investigation, </w:t>
      </w:r>
      <w:r w:rsidRPr="00743A68">
        <w:rPr>
          <w:color w:val="000000" w:themeColor="text1"/>
        </w:rPr>
        <w:t>Department of Anaesthesiology, Pharmacology, Intensive Care and Emergency Medicine, University of Geneva, 1 rue Michel-Servet, Geneva, Switzerland</w:t>
      </w:r>
    </w:p>
    <w:p w14:paraId="751491ED" w14:textId="77777777" w:rsidR="000A49E7" w:rsidRPr="00743A68" w:rsidRDefault="000A49E7" w:rsidP="000A49E7">
      <w:pPr>
        <w:pStyle w:val="AJPaff"/>
        <w:spacing w:after="600" w:line="276" w:lineRule="auto"/>
        <w:rPr>
          <w:color w:val="000000" w:themeColor="text1"/>
          <w:lang w:val="en-GB"/>
        </w:rPr>
      </w:pPr>
      <w:r w:rsidRPr="00743A68">
        <w:rPr>
          <w:color w:val="000000" w:themeColor="text1"/>
          <w:vertAlign w:val="superscript"/>
          <w:lang w:val="en-GB"/>
        </w:rPr>
        <w:t>2</w:t>
      </w:r>
      <w:r w:rsidRPr="00743A68">
        <w:rPr>
          <w:color w:val="000000" w:themeColor="text1"/>
          <w:lang w:val="en-GB"/>
        </w:rPr>
        <w:t xml:space="preserve"> Division of </w:t>
      </w:r>
      <w:r w:rsidRPr="00743A68">
        <w:rPr>
          <w:color w:val="000000" w:themeColor="text1"/>
          <w:shd w:val="clear" w:color="auto" w:fill="FFFFFF"/>
        </w:rPr>
        <w:t>Neurosurgery, Department of Clinical Neurosciences,</w:t>
      </w:r>
      <w:r w:rsidRPr="00743A68">
        <w:rPr>
          <w:color w:val="000000" w:themeColor="text1"/>
        </w:rPr>
        <w:t xml:space="preserve"> Geneva University Hospitals, 4 rue Gabrielle-Perret-Gentil, Geneva, Switzerland</w:t>
      </w:r>
    </w:p>
    <w:p w14:paraId="312F1654" w14:textId="77777777" w:rsidR="000A49E7" w:rsidRPr="00743A68" w:rsidRDefault="000A49E7" w:rsidP="000A49E7">
      <w:pPr>
        <w:pStyle w:val="AJPaff"/>
        <w:spacing w:after="600" w:line="276" w:lineRule="auto"/>
        <w:rPr>
          <w:color w:val="000000" w:themeColor="text1"/>
        </w:rPr>
      </w:pPr>
      <w:r w:rsidRPr="00743A68">
        <w:rPr>
          <w:color w:val="000000" w:themeColor="text1"/>
          <w:vertAlign w:val="superscript"/>
        </w:rPr>
        <w:t>3</w:t>
      </w:r>
      <w:r w:rsidRPr="00743A68">
        <w:rPr>
          <w:color w:val="000000" w:themeColor="text1"/>
        </w:rPr>
        <w:t xml:space="preserve"> </w:t>
      </w:r>
      <w:r w:rsidRPr="00743A68">
        <w:rPr>
          <w:color w:val="000000" w:themeColor="text1"/>
          <w:lang w:val="en-GB"/>
        </w:rPr>
        <w:t xml:space="preserve">Division of Intensive Care Medicine, Department of Medicine, Centre </w:t>
      </w:r>
      <w:proofErr w:type="spellStart"/>
      <w:r w:rsidRPr="00743A68">
        <w:rPr>
          <w:color w:val="000000" w:themeColor="text1"/>
          <w:lang w:val="en-GB"/>
        </w:rPr>
        <w:t>Hospitalier</w:t>
      </w:r>
      <w:proofErr w:type="spellEnd"/>
      <w:r w:rsidRPr="00743A68">
        <w:rPr>
          <w:color w:val="000000" w:themeColor="text1"/>
          <w:lang w:val="en-GB"/>
        </w:rPr>
        <w:t xml:space="preserve"> de </w:t>
      </w:r>
      <w:proofErr w:type="spellStart"/>
      <w:r w:rsidRPr="00743A68">
        <w:rPr>
          <w:color w:val="000000" w:themeColor="text1"/>
          <w:lang w:val="en-GB"/>
        </w:rPr>
        <w:t>l’Université</w:t>
      </w:r>
      <w:proofErr w:type="spellEnd"/>
      <w:r w:rsidRPr="00743A68">
        <w:rPr>
          <w:color w:val="000000" w:themeColor="text1"/>
          <w:lang w:val="en-GB"/>
        </w:rPr>
        <w:t xml:space="preserve"> de Montréal, 1051 rue Sanguinet, Montréal, Canada</w:t>
      </w:r>
    </w:p>
    <w:p w14:paraId="76785746" w14:textId="77777777" w:rsidR="000A49E7" w:rsidRPr="00743A68" w:rsidRDefault="000A49E7" w:rsidP="000A49E7">
      <w:pPr>
        <w:pStyle w:val="AJPaff"/>
        <w:spacing w:after="600" w:line="276" w:lineRule="auto"/>
        <w:rPr>
          <w:color w:val="000000" w:themeColor="text1"/>
        </w:rPr>
      </w:pPr>
      <w:r w:rsidRPr="00743A68">
        <w:rPr>
          <w:color w:val="000000" w:themeColor="text1"/>
          <w:vertAlign w:val="superscript"/>
        </w:rPr>
        <w:t>4</w:t>
      </w:r>
      <w:r w:rsidRPr="00743A68">
        <w:rPr>
          <w:color w:val="000000" w:themeColor="text1"/>
        </w:rPr>
        <w:t xml:space="preserve"> Division of Intensive Care, Department of Anaesthesiology, Pharmacology, Intensive Care and Emergency Medicine, Geneva University Hospitals, 4 rue Gabrielle-Perret-Gentil, Geneva, Switzerland</w:t>
      </w:r>
    </w:p>
    <w:p w14:paraId="32EFADD3" w14:textId="3C35E451" w:rsidR="000A49E7" w:rsidRDefault="000A49E7">
      <w:pPr>
        <w:spacing w:after="160" w:line="259" w:lineRule="auto"/>
        <w:jc w:val="left"/>
      </w:pPr>
      <w:r>
        <w:br w:type="page"/>
      </w:r>
    </w:p>
    <w:p w14:paraId="142423E8" w14:textId="77777777" w:rsidR="00C63D9B" w:rsidRPr="00C63D9B" w:rsidRDefault="00C63D9B" w:rsidP="00C63D9B">
      <w:pPr>
        <w:pStyle w:val="AJPTEXT"/>
        <w:rPr>
          <w:b/>
          <w:bCs/>
        </w:rPr>
      </w:pPr>
      <w:r w:rsidRPr="00C63D9B">
        <w:rPr>
          <w:b/>
          <w:bCs/>
        </w:rPr>
        <w:lastRenderedPageBreak/>
        <w:t>Impact of FCV on cerebral autoregulation</w:t>
      </w:r>
    </w:p>
    <w:p w14:paraId="32A58169" w14:textId="20CA7D33" w:rsidR="00C63D9B" w:rsidRDefault="00C02F78" w:rsidP="00C63D9B">
      <w:pPr>
        <w:pStyle w:val="AJPTEXT"/>
        <w:rPr>
          <w:color w:val="000000" w:themeColor="text1"/>
        </w:rPr>
      </w:pPr>
      <w:proofErr w:type="gramStart"/>
      <w:r w:rsidRPr="00743A68">
        <w:rPr>
          <w:color w:val="000000" w:themeColor="text1"/>
        </w:rPr>
        <w:t>In order to</w:t>
      </w:r>
      <w:proofErr w:type="gramEnd"/>
      <w:r w:rsidRPr="00743A68">
        <w:rPr>
          <w:color w:val="000000" w:themeColor="text1"/>
        </w:rPr>
        <w:t xml:space="preserve"> describe the effects of the different modalities on cerebral autoregulation, we </w:t>
      </w:r>
      <w:r w:rsidR="00C63D9B" w:rsidRPr="00743A68">
        <w:rPr>
          <w:rFonts w:cs="Times New Roman"/>
          <w:color w:val="000000" w:themeColor="text1"/>
          <w:szCs w:val="24"/>
        </w:rPr>
        <w:t xml:space="preserve">realized a non-parametric correlation test (Spearman) between ΔICP and ΔMAP. </w:t>
      </w:r>
      <w:bookmarkStart w:id="1" w:name="_Hlk179805023"/>
      <w:r w:rsidR="00C63D9B" w:rsidRPr="00743A68">
        <w:rPr>
          <w:rFonts w:cs="Times New Roman"/>
          <w:color w:val="000000" w:themeColor="text1"/>
          <w:szCs w:val="24"/>
        </w:rPr>
        <w:t>The ΔICP and ΔMAP values were calculated as the changes in ICP and MAP corresponding to differing EEP levels: -3 cmH</w:t>
      </w:r>
      <w:r w:rsidR="00C63D9B" w:rsidRPr="00743A68">
        <w:rPr>
          <w:rFonts w:cs="Times New Roman"/>
          <w:color w:val="000000" w:themeColor="text1"/>
          <w:szCs w:val="24"/>
          <w:vertAlign w:val="subscript"/>
        </w:rPr>
        <w:t>2</w:t>
      </w:r>
      <w:r w:rsidR="00C63D9B" w:rsidRPr="00743A68">
        <w:rPr>
          <w:rFonts w:cs="Times New Roman"/>
          <w:color w:val="000000" w:themeColor="text1"/>
          <w:szCs w:val="24"/>
        </w:rPr>
        <w:t>O to -9 cmH</w:t>
      </w:r>
      <w:r w:rsidR="00C63D9B" w:rsidRPr="00743A68">
        <w:rPr>
          <w:rFonts w:cs="Times New Roman"/>
          <w:color w:val="000000" w:themeColor="text1"/>
          <w:szCs w:val="24"/>
          <w:vertAlign w:val="subscript"/>
        </w:rPr>
        <w:t>2</w:t>
      </w:r>
      <w:r w:rsidR="00C63D9B" w:rsidRPr="00743A68">
        <w:rPr>
          <w:rFonts w:cs="Times New Roman"/>
          <w:color w:val="000000" w:themeColor="text1"/>
          <w:szCs w:val="24"/>
        </w:rPr>
        <w:t>O and 3 cmH</w:t>
      </w:r>
      <w:r w:rsidR="00C63D9B" w:rsidRPr="00743A68">
        <w:rPr>
          <w:rFonts w:cs="Times New Roman"/>
          <w:color w:val="000000" w:themeColor="text1"/>
          <w:szCs w:val="24"/>
          <w:vertAlign w:val="subscript"/>
        </w:rPr>
        <w:t>2</w:t>
      </w:r>
      <w:r w:rsidR="00C63D9B" w:rsidRPr="00743A68">
        <w:rPr>
          <w:rFonts w:cs="Times New Roman"/>
          <w:color w:val="000000" w:themeColor="text1"/>
          <w:szCs w:val="24"/>
        </w:rPr>
        <w:t>O to 9 cmH</w:t>
      </w:r>
      <w:r w:rsidR="00C63D9B" w:rsidRPr="00743A68">
        <w:rPr>
          <w:rFonts w:cs="Times New Roman"/>
          <w:color w:val="000000" w:themeColor="text1"/>
          <w:szCs w:val="24"/>
          <w:vertAlign w:val="subscript"/>
        </w:rPr>
        <w:t>2</w:t>
      </w:r>
      <w:r w:rsidR="00C63D9B" w:rsidRPr="00743A68">
        <w:rPr>
          <w:rFonts w:cs="Times New Roman"/>
          <w:color w:val="000000" w:themeColor="text1"/>
          <w:szCs w:val="24"/>
        </w:rPr>
        <w:t>O.</w:t>
      </w:r>
      <w:bookmarkEnd w:id="1"/>
    </w:p>
    <w:p w14:paraId="49823893" w14:textId="41C7424C" w:rsidR="00C63D9B" w:rsidRDefault="00C63D9B" w:rsidP="00C63D9B">
      <w:pPr>
        <w:pStyle w:val="AJPTEXT"/>
        <w:rPr>
          <w:rFonts w:cs="Times New Roman"/>
          <w:color w:val="000000" w:themeColor="text1"/>
        </w:rPr>
      </w:pPr>
      <w:r w:rsidRPr="00743A68">
        <w:rPr>
          <w:rFonts w:cs="Times New Roman"/>
          <w:color w:val="000000" w:themeColor="text1"/>
        </w:rPr>
        <w:t>No correlation between ∆</w:t>
      </w:r>
      <w:r w:rsidRPr="00743A68">
        <w:rPr>
          <w:color w:val="000000" w:themeColor="text1"/>
        </w:rPr>
        <w:t xml:space="preserve">ICP and </w:t>
      </w:r>
      <w:r w:rsidRPr="00743A68">
        <w:rPr>
          <w:rFonts w:cs="Times New Roman"/>
          <w:color w:val="000000" w:themeColor="text1"/>
        </w:rPr>
        <w:t>∆MAP was noted when FCV with NEEP was applied at levels of -3 to -9 cmH</w:t>
      </w:r>
      <w:r w:rsidRPr="00743A68">
        <w:rPr>
          <w:rFonts w:cs="Times New Roman"/>
          <w:color w:val="000000" w:themeColor="text1"/>
          <w:vertAlign w:val="subscript"/>
        </w:rPr>
        <w:t>2</w:t>
      </w:r>
      <w:r w:rsidRPr="00743A68">
        <w:rPr>
          <w:rFonts w:cs="Times New Roman"/>
          <w:color w:val="000000" w:themeColor="text1"/>
        </w:rPr>
        <w:t xml:space="preserve">O (p=0.755; </w:t>
      </w:r>
      <w:r w:rsidRPr="00743A68">
        <w:rPr>
          <w:color w:val="000000" w:themeColor="text1"/>
        </w:rPr>
        <w:t xml:space="preserve">Figure </w:t>
      </w:r>
      <w:r w:rsidR="001A7D12">
        <w:rPr>
          <w:color w:val="000000" w:themeColor="text1"/>
        </w:rPr>
        <w:t>S1</w:t>
      </w:r>
      <w:r w:rsidRPr="00743A68">
        <w:rPr>
          <w:color w:val="000000" w:themeColor="text1"/>
        </w:rPr>
        <w:t>, Graph A</w:t>
      </w:r>
      <w:r w:rsidRPr="00743A68">
        <w:rPr>
          <w:rFonts w:cs="Times New Roman"/>
          <w:color w:val="000000" w:themeColor="text1"/>
        </w:rPr>
        <w:t>), and in FCV and PCV-VG when PEEP was changed from +3 to +9 cmH</w:t>
      </w:r>
      <w:r w:rsidRPr="00743A68">
        <w:rPr>
          <w:rFonts w:cs="Times New Roman"/>
          <w:color w:val="000000" w:themeColor="text1"/>
          <w:vertAlign w:val="subscript"/>
        </w:rPr>
        <w:t>2</w:t>
      </w:r>
      <w:r w:rsidRPr="00743A68">
        <w:rPr>
          <w:rFonts w:cs="Times New Roman"/>
          <w:color w:val="000000" w:themeColor="text1"/>
        </w:rPr>
        <w:t>O (p=0.369;</w:t>
      </w:r>
      <w:r w:rsidRPr="00743A68">
        <w:rPr>
          <w:color w:val="000000" w:themeColor="text1"/>
        </w:rPr>
        <w:t xml:space="preserve"> Figure </w:t>
      </w:r>
      <w:r w:rsidR="001A7D12">
        <w:rPr>
          <w:color w:val="000000" w:themeColor="text1"/>
        </w:rPr>
        <w:t>S1</w:t>
      </w:r>
      <w:r w:rsidRPr="00743A68">
        <w:rPr>
          <w:color w:val="000000" w:themeColor="text1"/>
        </w:rPr>
        <w:t>, Graph B</w:t>
      </w:r>
      <w:r w:rsidRPr="00743A68">
        <w:rPr>
          <w:rFonts w:cs="Times New Roman"/>
          <w:color w:val="000000" w:themeColor="text1"/>
        </w:rPr>
        <w:t>).</w:t>
      </w:r>
    </w:p>
    <w:p w14:paraId="1339C202" w14:textId="0C51ACA7" w:rsidR="00C87E12" w:rsidRDefault="00463A71" w:rsidP="00047001">
      <w:pPr>
        <w:pStyle w:val="AJPTEXT"/>
        <w:spacing w:after="0" w:line="240" w:lineRule="auto"/>
        <w:rPr>
          <w:rFonts w:cs="Times New Roman"/>
          <w:color w:val="000000" w:themeColor="text1"/>
        </w:rPr>
      </w:pPr>
      <w:r>
        <w:rPr>
          <w:rFonts w:cs="Times New Roman"/>
          <w:noProof/>
          <w:color w:val="000000" w:themeColor="text1"/>
          <w14:ligatures w14:val="standardContextual"/>
        </w:rPr>
        <w:drawing>
          <wp:inline distT="0" distB="0" distL="0" distR="0" wp14:anchorId="3459365F" wp14:editId="58279874">
            <wp:extent cx="5629204" cy="2913017"/>
            <wp:effectExtent l="0" t="0" r="0" b="1905"/>
            <wp:docPr id="1757554691" name="Picture 2" descr="A diagram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554691" name="Picture 2" descr="A diagram of a graph&#10;&#10;Description automatically generated with medium confidence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7" t="18457" r="15075" b="25896"/>
                    <a:stretch/>
                  </pic:blipFill>
                  <pic:spPr bwMode="auto">
                    <a:xfrm>
                      <a:off x="0" y="0"/>
                      <a:ext cx="5646320" cy="29218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E2EAF4" w14:textId="4FC377CA" w:rsidR="00CB7227" w:rsidRPr="00463A71" w:rsidRDefault="00C63D9B" w:rsidP="00CE585B">
      <w:pPr>
        <w:pStyle w:val="AJPTEXT"/>
        <w:spacing w:line="240" w:lineRule="auto"/>
        <w:rPr>
          <w:i/>
          <w:iCs/>
          <w:color w:val="000000" w:themeColor="text1"/>
          <w:sz w:val="20"/>
          <w:szCs w:val="18"/>
        </w:rPr>
      </w:pPr>
      <w:r w:rsidRPr="00463A71">
        <w:rPr>
          <w:b/>
          <w:bCs/>
          <w:i/>
          <w:iCs/>
          <w:color w:val="000000" w:themeColor="text1"/>
          <w:sz w:val="20"/>
          <w:szCs w:val="18"/>
        </w:rPr>
        <w:t xml:space="preserve">Figure </w:t>
      </w:r>
      <w:r w:rsidR="00463A71">
        <w:rPr>
          <w:b/>
          <w:bCs/>
          <w:i/>
          <w:iCs/>
          <w:color w:val="000000" w:themeColor="text1"/>
          <w:sz w:val="20"/>
          <w:szCs w:val="18"/>
        </w:rPr>
        <w:t>S1</w:t>
      </w:r>
      <w:r w:rsidRPr="00463A71">
        <w:rPr>
          <w:b/>
          <w:bCs/>
          <w:i/>
          <w:iCs/>
          <w:color w:val="000000" w:themeColor="text1"/>
          <w:sz w:val="20"/>
          <w:szCs w:val="18"/>
        </w:rPr>
        <w:t>:</w:t>
      </w:r>
      <w:r w:rsidRPr="00463A71">
        <w:rPr>
          <w:i/>
          <w:iCs/>
          <w:color w:val="000000" w:themeColor="text1"/>
          <w:sz w:val="20"/>
          <w:szCs w:val="18"/>
        </w:rPr>
        <w:t xml:space="preserve"> Correlation between changes in intracranial pressure (</w:t>
      </w:r>
      <w:r w:rsidRPr="00463A71">
        <w:rPr>
          <w:rFonts w:cs="Times New Roman"/>
          <w:i/>
          <w:iCs/>
          <w:color w:val="000000" w:themeColor="text1"/>
          <w:sz w:val="20"/>
          <w:szCs w:val="18"/>
        </w:rPr>
        <w:t>∆</w:t>
      </w:r>
      <w:r w:rsidRPr="00463A71">
        <w:rPr>
          <w:i/>
          <w:iCs/>
          <w:color w:val="000000" w:themeColor="text1"/>
          <w:sz w:val="20"/>
          <w:szCs w:val="18"/>
        </w:rPr>
        <w:t>ICP) and mean arterial pressure (</w:t>
      </w:r>
      <w:r w:rsidRPr="00463A71">
        <w:rPr>
          <w:rFonts w:cs="Times New Roman"/>
          <w:i/>
          <w:iCs/>
          <w:color w:val="000000" w:themeColor="text1"/>
          <w:sz w:val="20"/>
          <w:szCs w:val="18"/>
        </w:rPr>
        <w:t>∆</w:t>
      </w:r>
      <w:r w:rsidRPr="00463A71">
        <w:rPr>
          <w:i/>
          <w:iCs/>
          <w:color w:val="000000" w:themeColor="text1"/>
          <w:sz w:val="20"/>
          <w:szCs w:val="18"/>
        </w:rPr>
        <w:t xml:space="preserve">MAP). </w:t>
      </w:r>
      <w:r w:rsidRPr="00463A71">
        <w:rPr>
          <w:rFonts w:cs="Times New Roman"/>
          <w:i/>
          <w:iCs/>
          <w:color w:val="000000" w:themeColor="text1"/>
          <w:sz w:val="20"/>
          <w:szCs w:val="20"/>
        </w:rPr>
        <w:t>The ΔICP and ΔMAP values were calculated as the changes between EEP levels from -3 cmH</w:t>
      </w:r>
      <w:r w:rsidRPr="00463A71">
        <w:rPr>
          <w:rFonts w:cs="Times New Roman"/>
          <w:i/>
          <w:iCs/>
          <w:color w:val="000000" w:themeColor="text1"/>
          <w:sz w:val="20"/>
          <w:szCs w:val="20"/>
          <w:vertAlign w:val="subscript"/>
        </w:rPr>
        <w:t>2</w:t>
      </w:r>
      <w:r w:rsidRPr="00463A71">
        <w:rPr>
          <w:rFonts w:cs="Times New Roman"/>
          <w:i/>
          <w:iCs/>
          <w:color w:val="000000" w:themeColor="text1"/>
          <w:sz w:val="20"/>
          <w:szCs w:val="20"/>
        </w:rPr>
        <w:t>O to -9 cmH</w:t>
      </w:r>
      <w:r w:rsidRPr="00463A71">
        <w:rPr>
          <w:rFonts w:cs="Times New Roman"/>
          <w:i/>
          <w:iCs/>
          <w:color w:val="000000" w:themeColor="text1"/>
          <w:sz w:val="20"/>
          <w:szCs w:val="20"/>
          <w:vertAlign w:val="subscript"/>
        </w:rPr>
        <w:t>2</w:t>
      </w:r>
      <w:r w:rsidRPr="00463A71">
        <w:rPr>
          <w:rFonts w:cs="Times New Roman"/>
          <w:i/>
          <w:iCs/>
          <w:color w:val="000000" w:themeColor="text1"/>
          <w:sz w:val="20"/>
          <w:szCs w:val="20"/>
        </w:rPr>
        <w:t>O and from 3 cmH</w:t>
      </w:r>
      <w:r w:rsidRPr="00463A71">
        <w:rPr>
          <w:rFonts w:cs="Times New Roman"/>
          <w:i/>
          <w:iCs/>
          <w:color w:val="000000" w:themeColor="text1"/>
          <w:sz w:val="20"/>
          <w:szCs w:val="20"/>
          <w:vertAlign w:val="subscript"/>
        </w:rPr>
        <w:t>2</w:t>
      </w:r>
      <w:r w:rsidRPr="00463A71">
        <w:rPr>
          <w:rFonts w:cs="Times New Roman"/>
          <w:i/>
          <w:iCs/>
          <w:color w:val="000000" w:themeColor="text1"/>
          <w:sz w:val="20"/>
          <w:szCs w:val="20"/>
        </w:rPr>
        <w:t>O to 9 cmH</w:t>
      </w:r>
      <w:r w:rsidRPr="00463A71">
        <w:rPr>
          <w:rFonts w:cs="Times New Roman"/>
          <w:i/>
          <w:iCs/>
          <w:color w:val="000000" w:themeColor="text1"/>
          <w:sz w:val="20"/>
          <w:szCs w:val="20"/>
          <w:vertAlign w:val="subscript"/>
        </w:rPr>
        <w:t>2</w:t>
      </w:r>
      <w:r w:rsidRPr="00463A71">
        <w:rPr>
          <w:rFonts w:cs="Times New Roman"/>
          <w:i/>
          <w:iCs/>
          <w:color w:val="000000" w:themeColor="text1"/>
          <w:sz w:val="20"/>
          <w:szCs w:val="20"/>
        </w:rPr>
        <w:t xml:space="preserve">O. </w:t>
      </w:r>
      <w:r w:rsidRPr="00463A71">
        <w:rPr>
          <w:i/>
          <w:iCs/>
          <w:color w:val="000000" w:themeColor="text1"/>
          <w:sz w:val="20"/>
          <w:szCs w:val="18"/>
        </w:rPr>
        <w:t>These changes were observed under the following ventilation modalities:</w:t>
      </w:r>
      <w:r w:rsidR="00CE585B">
        <w:rPr>
          <w:i/>
          <w:iCs/>
          <w:color w:val="000000" w:themeColor="text1"/>
          <w:sz w:val="20"/>
          <w:szCs w:val="18"/>
        </w:rPr>
        <w:t xml:space="preserve"> </w:t>
      </w:r>
      <w:r w:rsidRPr="00463A71">
        <w:rPr>
          <w:i/>
          <w:iCs/>
          <w:color w:val="000000" w:themeColor="text1"/>
          <w:sz w:val="20"/>
          <w:szCs w:val="18"/>
        </w:rPr>
        <w:t>pressure-controlled volume guaranteed ventilation (PCV-VG); flow-controlled ventilation with positive end-expiratory pressures (FCV +); flow-controlled ventilation with negative end-expiratory pressures (FCV -).</w:t>
      </w:r>
    </w:p>
    <w:p w14:paraId="7A84D994" w14:textId="77777777" w:rsidR="00000000" w:rsidRDefault="00000000"/>
    <w:sectPr w:rsidR="0051427B" w:rsidSect="003513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9E7"/>
    <w:rsid w:val="00047001"/>
    <w:rsid w:val="000A49E7"/>
    <w:rsid w:val="001A7D12"/>
    <w:rsid w:val="00300C30"/>
    <w:rsid w:val="003513C2"/>
    <w:rsid w:val="004419D9"/>
    <w:rsid w:val="00463A71"/>
    <w:rsid w:val="00545889"/>
    <w:rsid w:val="00670D00"/>
    <w:rsid w:val="00795D0B"/>
    <w:rsid w:val="00B27933"/>
    <w:rsid w:val="00C02F78"/>
    <w:rsid w:val="00C47162"/>
    <w:rsid w:val="00C6354F"/>
    <w:rsid w:val="00C63D9B"/>
    <w:rsid w:val="00C87E12"/>
    <w:rsid w:val="00CB7227"/>
    <w:rsid w:val="00CE585B"/>
    <w:rsid w:val="00EE37A5"/>
    <w:rsid w:val="00F0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D5287C"/>
  <w15:chartTrackingRefBased/>
  <w15:docId w15:val="{CA30BBCC-061E-48E1-9A26-CD196F688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JP Normál"/>
    <w:qFormat/>
    <w:rsid w:val="000A49E7"/>
    <w:pPr>
      <w:spacing w:after="840" w:line="360" w:lineRule="auto"/>
      <w:jc w:val="both"/>
    </w:pPr>
    <w:rPr>
      <w:rFonts w:ascii="Times New Roman" w:hAnsi="Times New Roman"/>
      <w:kern w:val="0"/>
      <w:sz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49E7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49E7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49E7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49E7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49E7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49E7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49E7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49E7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49E7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49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49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49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49E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49E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49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49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49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49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49E7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49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49E7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49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49E7"/>
    <w:pPr>
      <w:spacing w:before="160" w:after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49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49E7"/>
    <w:pPr>
      <w:spacing w:after="160" w:line="259" w:lineRule="auto"/>
      <w:ind w:left="720"/>
      <w:contextualSpacing/>
      <w:jc w:val="left"/>
    </w:pPr>
    <w:rPr>
      <w:rFonts w:asciiTheme="minorHAnsi" w:hAnsiTheme="minorHAnsi"/>
      <w:kern w:val="2"/>
      <w:sz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49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9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9E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49E7"/>
    <w:rPr>
      <w:b/>
      <w:bCs/>
      <w:smallCaps/>
      <w:color w:val="2F5496" w:themeColor="accent1" w:themeShade="BF"/>
      <w:spacing w:val="5"/>
    </w:rPr>
  </w:style>
  <w:style w:type="paragraph" w:customStyle="1" w:styleId="AJPcm">
    <w:name w:val="AJP cím"/>
    <w:basedOn w:val="Title"/>
    <w:qFormat/>
    <w:rsid w:val="000A49E7"/>
    <w:pPr>
      <w:spacing w:after="840" w:line="360" w:lineRule="auto"/>
      <w:jc w:val="center"/>
    </w:pPr>
    <w:rPr>
      <w:rFonts w:ascii="Times New Roman" w:hAnsi="Times New Roman"/>
      <w:sz w:val="24"/>
      <w:lang w:val="en-US"/>
      <w14:ligatures w14:val="none"/>
    </w:rPr>
  </w:style>
  <w:style w:type="paragraph" w:customStyle="1" w:styleId="AJPaff">
    <w:name w:val="AJP aff."/>
    <w:basedOn w:val="Normal"/>
    <w:qFormat/>
    <w:rsid w:val="000A49E7"/>
    <w:pPr>
      <w:contextualSpacing/>
    </w:pPr>
  </w:style>
  <w:style w:type="paragraph" w:customStyle="1" w:styleId="AJPTEXT">
    <w:name w:val="AJP TEXT"/>
    <w:basedOn w:val="Normal"/>
    <w:link w:val="AJPTEXTChar"/>
    <w:qFormat/>
    <w:rsid w:val="00C63D9B"/>
    <w:pPr>
      <w:spacing w:after="160" w:line="480" w:lineRule="auto"/>
    </w:pPr>
  </w:style>
  <w:style w:type="paragraph" w:customStyle="1" w:styleId="AJPsubsection">
    <w:name w:val="AJP subsection"/>
    <w:basedOn w:val="Normal"/>
    <w:qFormat/>
    <w:rsid w:val="00C63D9B"/>
    <w:pPr>
      <w:keepNext/>
      <w:keepLines/>
      <w:spacing w:after="240"/>
      <w:outlineLvl w:val="0"/>
    </w:pPr>
    <w:rPr>
      <w:rFonts w:eastAsiaTheme="majorEastAsia" w:cstheme="majorBidi"/>
      <w:i/>
      <w:color w:val="000000" w:themeColor="text1"/>
      <w:szCs w:val="32"/>
    </w:rPr>
  </w:style>
  <w:style w:type="character" w:customStyle="1" w:styleId="AJPTEXTChar">
    <w:name w:val="AJP TEXT Char"/>
    <w:basedOn w:val="DefaultParagraphFont"/>
    <w:link w:val="AJPTEXT"/>
    <w:rsid w:val="00C63D9B"/>
    <w:rPr>
      <w:rFonts w:ascii="Times New Roman" w:hAnsi="Times New Roman"/>
      <w:kern w:val="0"/>
      <w:sz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Álmos Schranc</dc:creator>
  <cp:keywords/>
  <dc:description/>
  <cp:lastModifiedBy>Álmos Schranc</cp:lastModifiedBy>
  <cp:revision>12</cp:revision>
  <dcterms:created xsi:type="dcterms:W3CDTF">2024-11-30T17:11:00Z</dcterms:created>
  <dcterms:modified xsi:type="dcterms:W3CDTF">2024-11-30T18:54:00Z</dcterms:modified>
</cp:coreProperties>
</file>