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3CB738" w14:textId="77777777" w:rsidR="00B81314" w:rsidRPr="004A0217" w:rsidRDefault="00B81314" w:rsidP="00B81314">
      <w:pPr>
        <w:spacing w:after="0" w:line="480" w:lineRule="auto"/>
        <w:jc w:val="both"/>
        <w:rPr>
          <w:rFonts w:ascii="Times New Roman" w:hAnsi="Times New Roman" w:cs="Times New Roman"/>
          <w:b/>
          <w:bCs/>
          <w:color w:val="000000" w:themeColor="text1"/>
          <w:lang w:val="en-GB"/>
        </w:rPr>
      </w:pPr>
      <w:bookmarkStart w:id="0" w:name="_Hlk167624819"/>
      <w:r w:rsidRPr="004A0217">
        <w:rPr>
          <w:rFonts w:ascii="Times New Roman" w:hAnsi="Times New Roman" w:cs="Times New Roman"/>
          <w:b/>
          <w:bCs/>
          <w:color w:val="000000" w:themeColor="text1"/>
          <w:lang w:val="en-GB"/>
        </w:rPr>
        <w:t>Intracranial response to positive end-expiratory pr</w:t>
      </w:r>
      <w:bookmarkStart w:id="1" w:name="_GoBack"/>
      <w:bookmarkEnd w:id="1"/>
      <w:r w:rsidRPr="004A0217">
        <w:rPr>
          <w:rFonts w:ascii="Times New Roman" w:hAnsi="Times New Roman" w:cs="Times New Roman"/>
          <w:b/>
          <w:bCs/>
          <w:color w:val="000000" w:themeColor="text1"/>
          <w:lang w:val="en-GB"/>
        </w:rPr>
        <w:t>essure is influenced by lung recruitability and gas distribution during mechanical ventilation in acute brain injury patients: a proof-of-concept physiological study</w:t>
      </w:r>
      <w:bookmarkEnd w:id="0"/>
      <w:r w:rsidRPr="004A0217">
        <w:rPr>
          <w:rFonts w:ascii="Times New Roman" w:hAnsi="Times New Roman" w:cs="Times New Roman"/>
          <w:b/>
          <w:bCs/>
          <w:color w:val="000000" w:themeColor="text1"/>
          <w:lang w:val="en-GB"/>
        </w:rPr>
        <w:t xml:space="preserve"> </w:t>
      </w:r>
    </w:p>
    <w:p w14:paraId="324D8C60"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p>
    <w:p w14:paraId="640F1F15"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Reka Bencze </w:t>
      </w:r>
      <w:r w:rsidRPr="004A0217">
        <w:rPr>
          <w:rFonts w:ascii="Times New Roman" w:hAnsi="Times New Roman" w:cs="Times New Roman"/>
          <w:color w:val="000000" w:themeColor="text1"/>
          <w:vertAlign w:val="superscript"/>
          <w:lang w:val="en-GB"/>
        </w:rPr>
        <w:t>1,2*</w:t>
      </w:r>
      <w:r w:rsidRPr="004A0217">
        <w:rPr>
          <w:rFonts w:ascii="Times New Roman" w:hAnsi="Times New Roman" w:cs="Times New Roman"/>
          <w:color w:val="000000" w:themeColor="text1"/>
          <w:lang w:val="en-GB"/>
        </w:rPr>
        <w:t xml:space="preserve">, Rafael Kawati </w:t>
      </w:r>
      <w:r w:rsidRPr="004A0217">
        <w:rPr>
          <w:rFonts w:ascii="Times New Roman" w:hAnsi="Times New Roman" w:cs="Times New Roman"/>
          <w:color w:val="000000" w:themeColor="text1"/>
          <w:vertAlign w:val="superscript"/>
          <w:lang w:val="en-GB"/>
        </w:rPr>
        <w:t>1,2*</w:t>
      </w:r>
      <w:r w:rsidRPr="004A0217">
        <w:rPr>
          <w:rFonts w:ascii="Times New Roman" w:hAnsi="Times New Roman" w:cs="Times New Roman"/>
          <w:color w:val="000000" w:themeColor="text1"/>
          <w:lang w:val="en-GB"/>
        </w:rPr>
        <w:t xml:space="preserve">, Anders </w:t>
      </w:r>
      <w:proofErr w:type="spellStart"/>
      <w:r w:rsidRPr="004A0217">
        <w:rPr>
          <w:rFonts w:ascii="Times New Roman" w:hAnsi="Times New Roman" w:cs="Times New Roman"/>
          <w:color w:val="000000" w:themeColor="text1"/>
          <w:lang w:val="en-GB"/>
        </w:rPr>
        <w:t>Hånell</w:t>
      </w:r>
      <w:proofErr w:type="spellEnd"/>
      <w:r w:rsidRPr="004A0217">
        <w:rPr>
          <w:rFonts w:ascii="Times New Roman" w:hAnsi="Times New Roman" w:cs="Times New Roman"/>
          <w:color w:val="000000" w:themeColor="text1"/>
          <w:lang w:val="en-GB"/>
        </w:rPr>
        <w:t xml:space="preserve"> </w:t>
      </w:r>
      <w:r w:rsidRPr="004A0217">
        <w:rPr>
          <w:rFonts w:ascii="Times New Roman" w:eastAsia="Times New Roman" w:hAnsi="Times New Roman" w:cs="Times New Roman"/>
          <w:bCs/>
          <w:color w:val="000000" w:themeColor="text1"/>
          <w:vertAlign w:val="superscript"/>
          <w:lang w:val="en-GB"/>
        </w:rPr>
        <w:t>3</w:t>
      </w:r>
      <w:r w:rsidRPr="004A0217">
        <w:rPr>
          <w:rFonts w:ascii="Times New Roman" w:hAnsi="Times New Roman" w:cs="Times New Roman"/>
          <w:color w:val="000000" w:themeColor="text1"/>
          <w:lang w:val="en-GB"/>
        </w:rPr>
        <w:t xml:space="preserve">, Anders </w:t>
      </w:r>
      <w:proofErr w:type="spellStart"/>
      <w:r w:rsidRPr="004A0217">
        <w:rPr>
          <w:rFonts w:ascii="Times New Roman" w:hAnsi="Times New Roman" w:cs="Times New Roman"/>
          <w:color w:val="000000" w:themeColor="text1"/>
          <w:lang w:val="en-GB"/>
        </w:rPr>
        <w:t>Lewen</w:t>
      </w:r>
      <w:proofErr w:type="spellEnd"/>
      <w:r w:rsidRPr="004A0217">
        <w:rPr>
          <w:rFonts w:ascii="Times New Roman" w:hAnsi="Times New Roman" w:cs="Times New Roman"/>
          <w:color w:val="000000" w:themeColor="text1"/>
          <w:lang w:val="en-GB"/>
        </w:rPr>
        <w:t xml:space="preserve"> </w:t>
      </w:r>
      <w:r w:rsidRPr="004A0217">
        <w:rPr>
          <w:rFonts w:ascii="Times New Roman" w:eastAsia="Times New Roman" w:hAnsi="Times New Roman" w:cs="Times New Roman"/>
          <w:bCs/>
          <w:color w:val="000000" w:themeColor="text1"/>
          <w:vertAlign w:val="superscript"/>
          <w:lang w:val="en-GB"/>
        </w:rPr>
        <w:t>3</w:t>
      </w:r>
      <w:r w:rsidRPr="004A0217">
        <w:rPr>
          <w:rFonts w:ascii="Times New Roman" w:hAnsi="Times New Roman" w:cs="Times New Roman"/>
          <w:color w:val="000000" w:themeColor="text1"/>
          <w:lang w:val="en-GB"/>
        </w:rPr>
        <w:t xml:space="preserve">, Per </w:t>
      </w:r>
      <w:proofErr w:type="spellStart"/>
      <w:r w:rsidRPr="004A0217">
        <w:rPr>
          <w:rFonts w:ascii="Times New Roman" w:hAnsi="Times New Roman" w:cs="Times New Roman"/>
          <w:color w:val="000000" w:themeColor="text1"/>
          <w:lang w:val="en-GB"/>
        </w:rPr>
        <w:t>Enblad</w:t>
      </w:r>
      <w:proofErr w:type="spellEnd"/>
      <w:r w:rsidRPr="004A0217">
        <w:rPr>
          <w:rFonts w:ascii="Times New Roman" w:hAnsi="Times New Roman" w:cs="Times New Roman"/>
          <w:color w:val="000000" w:themeColor="text1"/>
          <w:lang w:val="en-GB"/>
        </w:rPr>
        <w:t xml:space="preserve"> </w:t>
      </w:r>
      <w:r w:rsidRPr="004A0217">
        <w:rPr>
          <w:rFonts w:ascii="Times New Roman" w:hAnsi="Times New Roman" w:cs="Times New Roman"/>
          <w:color w:val="000000" w:themeColor="text1"/>
          <w:vertAlign w:val="superscript"/>
          <w:lang w:val="en-GB"/>
        </w:rPr>
        <w:t>3</w:t>
      </w:r>
      <w:r w:rsidRPr="004A0217">
        <w:rPr>
          <w:rFonts w:ascii="Times New Roman" w:hAnsi="Times New Roman" w:cs="Times New Roman"/>
          <w:color w:val="000000" w:themeColor="text1"/>
          <w:lang w:val="en-GB"/>
        </w:rPr>
        <w:t xml:space="preserve">, Henrik </w:t>
      </w:r>
      <w:proofErr w:type="spellStart"/>
      <w:r w:rsidRPr="004A0217">
        <w:rPr>
          <w:rFonts w:ascii="Times New Roman" w:hAnsi="Times New Roman" w:cs="Times New Roman"/>
          <w:color w:val="000000" w:themeColor="text1"/>
          <w:lang w:val="en-GB"/>
        </w:rPr>
        <w:t>Engquist</w:t>
      </w:r>
      <w:proofErr w:type="spellEnd"/>
      <w:r w:rsidRPr="004A0217">
        <w:rPr>
          <w:rFonts w:ascii="Times New Roman" w:hAnsi="Times New Roman" w:cs="Times New Roman"/>
          <w:color w:val="000000" w:themeColor="text1"/>
          <w:lang w:val="en-GB"/>
        </w:rPr>
        <w:t xml:space="preserve"> </w:t>
      </w:r>
      <w:r w:rsidRPr="004A0217">
        <w:rPr>
          <w:rFonts w:ascii="Times New Roman" w:hAnsi="Times New Roman" w:cs="Times New Roman"/>
          <w:color w:val="000000" w:themeColor="text1"/>
          <w:vertAlign w:val="superscript"/>
          <w:lang w:val="en-GB"/>
        </w:rPr>
        <w:t>1,2</w:t>
      </w:r>
      <w:r w:rsidRPr="004A0217">
        <w:rPr>
          <w:rFonts w:ascii="Times New Roman" w:hAnsi="Times New Roman" w:cs="Times New Roman"/>
          <w:color w:val="000000" w:themeColor="text1"/>
          <w:lang w:val="en-GB"/>
        </w:rPr>
        <w:t xml:space="preserve">, Kristin </w:t>
      </w:r>
      <w:proofErr w:type="spellStart"/>
      <w:r w:rsidRPr="004A0217">
        <w:rPr>
          <w:rFonts w:ascii="Times New Roman" w:hAnsi="Times New Roman" w:cs="Times New Roman"/>
          <w:color w:val="000000" w:themeColor="text1"/>
          <w:lang w:val="en-GB"/>
        </w:rPr>
        <w:t>Jona</w:t>
      </w:r>
      <w:proofErr w:type="spellEnd"/>
      <w:r w:rsidRPr="004A0217">
        <w:rPr>
          <w:rFonts w:ascii="Times New Roman" w:hAnsi="Times New Roman" w:cs="Times New Roman"/>
          <w:color w:val="000000" w:themeColor="text1"/>
          <w:lang w:val="en-GB"/>
        </w:rPr>
        <w:t xml:space="preserve"> </w:t>
      </w:r>
      <w:proofErr w:type="spellStart"/>
      <w:r w:rsidRPr="004A0217">
        <w:rPr>
          <w:rFonts w:ascii="Times New Roman" w:hAnsi="Times New Roman" w:cs="Times New Roman"/>
          <w:color w:val="000000" w:themeColor="text1"/>
          <w:lang w:val="en-GB"/>
        </w:rPr>
        <w:t>Bjarnadottir</w:t>
      </w:r>
      <w:proofErr w:type="spellEnd"/>
      <w:r w:rsidRPr="004A0217">
        <w:rPr>
          <w:rFonts w:ascii="Times New Roman" w:hAnsi="Times New Roman" w:cs="Times New Roman"/>
          <w:color w:val="000000" w:themeColor="text1"/>
          <w:lang w:val="en-GB"/>
        </w:rPr>
        <w:t xml:space="preserve"> </w:t>
      </w:r>
      <w:r w:rsidRPr="004A0217">
        <w:rPr>
          <w:rFonts w:ascii="Times New Roman" w:hAnsi="Times New Roman" w:cs="Times New Roman"/>
          <w:color w:val="000000" w:themeColor="text1"/>
          <w:vertAlign w:val="superscript"/>
          <w:lang w:val="en-GB"/>
        </w:rPr>
        <w:t>1,2</w:t>
      </w:r>
      <w:r w:rsidRPr="004A0217">
        <w:rPr>
          <w:rFonts w:ascii="Times New Roman" w:hAnsi="Times New Roman" w:cs="Times New Roman"/>
          <w:color w:val="000000" w:themeColor="text1"/>
          <w:lang w:val="en-GB"/>
        </w:rPr>
        <w:t xml:space="preserve">, Odin </w:t>
      </w:r>
      <w:proofErr w:type="spellStart"/>
      <w:r w:rsidRPr="004A0217">
        <w:rPr>
          <w:rFonts w:ascii="Times New Roman" w:hAnsi="Times New Roman" w:cs="Times New Roman"/>
          <w:color w:val="000000" w:themeColor="text1"/>
          <w:lang w:val="en-GB"/>
        </w:rPr>
        <w:t>Joensen</w:t>
      </w:r>
      <w:proofErr w:type="spellEnd"/>
      <w:r w:rsidRPr="004A0217">
        <w:rPr>
          <w:rFonts w:ascii="Times New Roman" w:hAnsi="Times New Roman" w:cs="Times New Roman"/>
          <w:color w:val="000000" w:themeColor="text1"/>
          <w:lang w:val="en-GB"/>
        </w:rPr>
        <w:t xml:space="preserve"> </w:t>
      </w:r>
      <w:r w:rsidRPr="004A0217">
        <w:rPr>
          <w:rFonts w:ascii="Times New Roman" w:hAnsi="Times New Roman" w:cs="Times New Roman"/>
          <w:color w:val="000000" w:themeColor="text1"/>
          <w:vertAlign w:val="superscript"/>
          <w:lang w:val="en-GB"/>
        </w:rPr>
        <w:t>1,2</w:t>
      </w:r>
      <w:r w:rsidRPr="004A0217">
        <w:rPr>
          <w:rFonts w:ascii="Times New Roman" w:hAnsi="Times New Roman" w:cs="Times New Roman"/>
          <w:color w:val="000000" w:themeColor="text1"/>
          <w:lang w:val="en-GB"/>
        </w:rPr>
        <w:t xml:space="preserve">, </w:t>
      </w:r>
      <w:proofErr w:type="spellStart"/>
      <w:r w:rsidRPr="004A0217">
        <w:rPr>
          <w:rFonts w:ascii="Times New Roman" w:hAnsi="Times New Roman" w:cs="Times New Roman"/>
          <w:color w:val="000000" w:themeColor="text1"/>
          <w:lang w:val="en-GB"/>
        </w:rPr>
        <w:t>Annelie</w:t>
      </w:r>
      <w:proofErr w:type="spellEnd"/>
      <w:r w:rsidRPr="004A0217">
        <w:rPr>
          <w:rFonts w:ascii="Times New Roman" w:hAnsi="Times New Roman" w:cs="Times New Roman"/>
          <w:color w:val="000000" w:themeColor="text1"/>
          <w:lang w:val="en-GB"/>
        </w:rPr>
        <w:t xml:space="preserve"> </w:t>
      </w:r>
      <w:proofErr w:type="spellStart"/>
      <w:r w:rsidRPr="004A0217">
        <w:rPr>
          <w:rFonts w:ascii="Times New Roman" w:hAnsi="Times New Roman" w:cs="Times New Roman"/>
          <w:color w:val="000000" w:themeColor="text1"/>
          <w:lang w:val="en-GB"/>
        </w:rPr>
        <w:t>Barrueta</w:t>
      </w:r>
      <w:proofErr w:type="spellEnd"/>
      <w:r w:rsidRPr="004A0217">
        <w:rPr>
          <w:rFonts w:ascii="Times New Roman" w:hAnsi="Times New Roman" w:cs="Times New Roman"/>
          <w:color w:val="000000" w:themeColor="text1"/>
          <w:lang w:val="en-GB"/>
        </w:rPr>
        <w:t xml:space="preserve"> </w:t>
      </w:r>
      <w:proofErr w:type="spellStart"/>
      <w:r w:rsidRPr="004A0217">
        <w:rPr>
          <w:rFonts w:ascii="Times New Roman" w:hAnsi="Times New Roman" w:cs="Times New Roman"/>
          <w:color w:val="000000" w:themeColor="text1"/>
          <w:lang w:val="en-GB"/>
        </w:rPr>
        <w:t>Tenhunen</w:t>
      </w:r>
      <w:proofErr w:type="spellEnd"/>
      <w:r w:rsidRPr="004A0217">
        <w:rPr>
          <w:rFonts w:ascii="Times New Roman" w:hAnsi="Times New Roman" w:cs="Times New Roman"/>
          <w:color w:val="000000" w:themeColor="text1"/>
          <w:lang w:val="en-GB"/>
        </w:rPr>
        <w:t xml:space="preserve"> </w:t>
      </w:r>
      <w:r w:rsidRPr="004A0217">
        <w:rPr>
          <w:rFonts w:ascii="Times New Roman" w:hAnsi="Times New Roman" w:cs="Times New Roman"/>
          <w:color w:val="000000" w:themeColor="text1"/>
          <w:vertAlign w:val="superscript"/>
          <w:lang w:val="en-GB"/>
        </w:rPr>
        <w:t>1,2</w:t>
      </w:r>
      <w:r w:rsidRPr="004A0217">
        <w:rPr>
          <w:rFonts w:ascii="Times New Roman" w:hAnsi="Times New Roman" w:cs="Times New Roman"/>
          <w:color w:val="000000" w:themeColor="text1"/>
          <w:lang w:val="en-GB"/>
        </w:rPr>
        <w:t xml:space="preserve">, Filip </w:t>
      </w:r>
      <w:proofErr w:type="spellStart"/>
      <w:r w:rsidRPr="004A0217">
        <w:rPr>
          <w:rFonts w:ascii="Times New Roman" w:hAnsi="Times New Roman" w:cs="Times New Roman"/>
          <w:color w:val="000000" w:themeColor="text1"/>
          <w:lang w:val="en-GB"/>
        </w:rPr>
        <w:t>Freden</w:t>
      </w:r>
      <w:proofErr w:type="spellEnd"/>
      <w:r w:rsidRPr="004A0217">
        <w:rPr>
          <w:rFonts w:ascii="Times New Roman" w:hAnsi="Times New Roman" w:cs="Times New Roman"/>
          <w:color w:val="000000" w:themeColor="text1"/>
          <w:lang w:val="en-GB"/>
        </w:rPr>
        <w:t xml:space="preserve"> </w:t>
      </w:r>
      <w:r w:rsidRPr="004A0217">
        <w:rPr>
          <w:rFonts w:ascii="Times New Roman" w:hAnsi="Times New Roman" w:cs="Times New Roman"/>
          <w:color w:val="000000" w:themeColor="text1"/>
          <w:vertAlign w:val="superscript"/>
          <w:lang w:val="en-GB"/>
        </w:rPr>
        <w:t>1,2</w:t>
      </w:r>
      <w:r w:rsidRPr="004A0217">
        <w:rPr>
          <w:rFonts w:ascii="Times New Roman" w:hAnsi="Times New Roman" w:cs="Times New Roman"/>
          <w:color w:val="000000" w:themeColor="text1"/>
          <w:lang w:val="en-GB"/>
        </w:rPr>
        <w:t xml:space="preserve">, </w:t>
      </w:r>
      <w:r w:rsidRPr="004A0217">
        <w:rPr>
          <w:rFonts w:ascii="Times New Roman" w:eastAsia="Times New Roman" w:hAnsi="Times New Roman" w:cs="Times New Roman"/>
          <w:bCs/>
          <w:color w:val="000000" w:themeColor="text1"/>
          <w:lang w:val="fr-FR"/>
        </w:rPr>
        <w:t xml:space="preserve">Laurent Brochard </w:t>
      </w:r>
      <w:r w:rsidRPr="004A0217">
        <w:rPr>
          <w:rFonts w:ascii="Times New Roman" w:eastAsia="Times New Roman" w:hAnsi="Times New Roman" w:cs="Times New Roman"/>
          <w:bCs/>
          <w:color w:val="000000" w:themeColor="text1"/>
          <w:vertAlign w:val="superscript"/>
          <w:lang w:val="fr-FR"/>
        </w:rPr>
        <w:t>4</w:t>
      </w:r>
      <w:r w:rsidRPr="004A0217">
        <w:rPr>
          <w:rFonts w:ascii="Times New Roman" w:hAnsi="Times New Roman" w:cs="Times New Roman"/>
          <w:color w:val="000000" w:themeColor="text1"/>
          <w:lang w:val="en-GB"/>
        </w:rPr>
        <w:t xml:space="preserve">, Gaetano Perchiazzi </w:t>
      </w:r>
      <w:r w:rsidRPr="004A0217">
        <w:rPr>
          <w:rFonts w:ascii="Times New Roman" w:eastAsia="Times New Roman" w:hAnsi="Times New Roman" w:cs="Times New Roman"/>
          <w:bCs/>
          <w:color w:val="000000" w:themeColor="text1"/>
          <w:vertAlign w:val="superscript"/>
          <w:lang w:val="en-GB"/>
        </w:rPr>
        <w:t>1,2</w:t>
      </w:r>
      <w:r w:rsidRPr="004A0217">
        <w:rPr>
          <w:rFonts w:ascii="Times New Roman" w:hAnsi="Times New Roman" w:cs="Times New Roman"/>
          <w:color w:val="000000" w:themeColor="text1"/>
          <w:lang w:val="en-GB"/>
        </w:rPr>
        <w:t xml:space="preserve">, </w:t>
      </w:r>
      <w:r w:rsidRPr="004A0217">
        <w:rPr>
          <w:rFonts w:ascii="Times New Roman" w:eastAsia="Times New Roman" w:hAnsi="Times New Roman" w:cs="Times New Roman"/>
          <w:bCs/>
          <w:color w:val="000000" w:themeColor="text1"/>
          <w:lang w:val="en-GB"/>
        </w:rPr>
        <w:t xml:space="preserve">Mariangela Pellegrini </w:t>
      </w:r>
      <w:r w:rsidRPr="004A0217">
        <w:rPr>
          <w:rFonts w:ascii="Times New Roman" w:eastAsia="Times New Roman" w:hAnsi="Times New Roman" w:cs="Times New Roman"/>
          <w:bCs/>
          <w:color w:val="000000" w:themeColor="text1"/>
          <w:vertAlign w:val="superscript"/>
          <w:lang w:val="en-GB"/>
        </w:rPr>
        <w:t>1,2</w:t>
      </w:r>
    </w:p>
    <w:p w14:paraId="33284B29" w14:textId="77777777" w:rsidR="00B81314" w:rsidRPr="004A0217" w:rsidRDefault="00B81314" w:rsidP="00B81314">
      <w:pPr>
        <w:spacing w:after="0" w:line="480" w:lineRule="auto"/>
        <w:jc w:val="both"/>
        <w:rPr>
          <w:rFonts w:ascii="Times New Roman" w:eastAsia="Times New Roman" w:hAnsi="Times New Roman" w:cs="Times New Roman"/>
          <w:bCs/>
          <w:color w:val="000000" w:themeColor="text1"/>
          <w:lang w:val="en-GB"/>
        </w:rPr>
      </w:pPr>
      <w:r w:rsidRPr="004A0217">
        <w:rPr>
          <w:rFonts w:ascii="Times New Roman" w:eastAsia="Times New Roman" w:hAnsi="Times New Roman" w:cs="Times New Roman"/>
          <w:bCs/>
          <w:color w:val="000000" w:themeColor="text1"/>
          <w:lang w:val="en-GB"/>
        </w:rPr>
        <w:t xml:space="preserve"> </w:t>
      </w:r>
    </w:p>
    <w:p w14:paraId="2BD83844" w14:textId="77777777" w:rsidR="00B81314" w:rsidRPr="004A0217" w:rsidRDefault="00B81314" w:rsidP="00B81314">
      <w:pPr>
        <w:spacing w:after="0" w:line="480" w:lineRule="auto"/>
        <w:jc w:val="both"/>
        <w:rPr>
          <w:rFonts w:ascii="Times New Roman" w:eastAsia="Times New Roman" w:hAnsi="Times New Roman" w:cs="Times New Roman"/>
          <w:bCs/>
          <w:color w:val="000000" w:themeColor="text1"/>
          <w:lang w:val="en-GB"/>
        </w:rPr>
      </w:pPr>
      <w:r w:rsidRPr="004A0217">
        <w:rPr>
          <w:rFonts w:ascii="Times New Roman" w:eastAsia="Times New Roman" w:hAnsi="Times New Roman" w:cs="Times New Roman"/>
          <w:bCs/>
          <w:color w:val="000000" w:themeColor="text1"/>
          <w:lang w:val="en-GB"/>
        </w:rPr>
        <w:t>*: shared first authorship</w:t>
      </w:r>
    </w:p>
    <w:p w14:paraId="20F35069" w14:textId="77777777" w:rsidR="00B81314" w:rsidRPr="004A0217" w:rsidRDefault="00B81314" w:rsidP="00B81314">
      <w:pPr>
        <w:spacing w:after="0" w:line="480" w:lineRule="auto"/>
        <w:jc w:val="both"/>
        <w:rPr>
          <w:rFonts w:ascii="Times New Roman" w:eastAsia="Times New Roman" w:hAnsi="Times New Roman" w:cs="Times New Roman"/>
          <w:bCs/>
          <w:color w:val="000000" w:themeColor="text1"/>
          <w:lang w:val="en-GB"/>
        </w:rPr>
      </w:pPr>
    </w:p>
    <w:p w14:paraId="31609F77" w14:textId="77777777" w:rsidR="00B81314" w:rsidRPr="004A0217" w:rsidRDefault="00B81314" w:rsidP="00B81314">
      <w:pPr>
        <w:spacing w:after="0" w:line="480" w:lineRule="auto"/>
        <w:jc w:val="both"/>
        <w:rPr>
          <w:rFonts w:ascii="Times New Roman" w:eastAsia="Times New Roman" w:hAnsi="Times New Roman" w:cs="Times New Roman"/>
          <w:b/>
          <w:color w:val="000000" w:themeColor="text1"/>
          <w:lang w:val="en-GB"/>
        </w:rPr>
      </w:pPr>
      <w:r w:rsidRPr="004A0217">
        <w:rPr>
          <w:rFonts w:ascii="Times New Roman" w:eastAsia="Times New Roman" w:hAnsi="Times New Roman" w:cs="Times New Roman"/>
          <w:b/>
          <w:color w:val="000000" w:themeColor="text1"/>
          <w:lang w:val="en-GB"/>
        </w:rPr>
        <w:t xml:space="preserve">Affiliations: </w:t>
      </w:r>
    </w:p>
    <w:p w14:paraId="62D27178"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1. </w:t>
      </w:r>
      <w:proofErr w:type="spellStart"/>
      <w:r w:rsidRPr="004A0217">
        <w:rPr>
          <w:rFonts w:ascii="Times New Roman" w:hAnsi="Times New Roman" w:cs="Times New Roman"/>
          <w:color w:val="000000" w:themeColor="text1"/>
          <w:lang w:val="en-GB"/>
        </w:rPr>
        <w:t>Anesthesia</w:t>
      </w:r>
      <w:proofErr w:type="spellEnd"/>
      <w:r w:rsidRPr="004A0217">
        <w:rPr>
          <w:rFonts w:ascii="Times New Roman" w:hAnsi="Times New Roman" w:cs="Times New Roman"/>
          <w:color w:val="000000" w:themeColor="text1"/>
          <w:lang w:val="en-GB"/>
        </w:rPr>
        <w:t xml:space="preserve">, Operation and Intensive Care Medicine, Uppsala University Hospital, Uppsala, Sweden; 2. </w:t>
      </w:r>
      <w:proofErr w:type="spellStart"/>
      <w:r w:rsidRPr="004A0217">
        <w:rPr>
          <w:rFonts w:ascii="Times New Roman" w:hAnsi="Times New Roman" w:cs="Times New Roman"/>
          <w:color w:val="000000" w:themeColor="text1"/>
          <w:lang w:val="en-GB"/>
        </w:rPr>
        <w:t>Hedenstierna</w:t>
      </w:r>
      <w:proofErr w:type="spellEnd"/>
      <w:r w:rsidRPr="004A0217">
        <w:rPr>
          <w:rFonts w:ascii="Times New Roman" w:hAnsi="Times New Roman" w:cs="Times New Roman"/>
          <w:color w:val="000000" w:themeColor="text1"/>
          <w:lang w:val="en-GB"/>
        </w:rPr>
        <w:t xml:space="preserve"> Laboratory, Department of Surgical Sciences, Uppsala University, Uppsala, Sweden;</w:t>
      </w:r>
    </w:p>
    <w:p w14:paraId="3E57EF3F"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3. Department of Medical Sciences, Section of Neurosurgery, Uppsala University, Uppsala, Sweden.</w:t>
      </w:r>
    </w:p>
    <w:p w14:paraId="4E8217E1"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4. </w:t>
      </w:r>
      <w:r w:rsidRPr="004A0217">
        <w:rPr>
          <w:rFonts w:ascii="Times New Roman" w:hAnsi="Times New Roman" w:cs="Times New Roman"/>
          <w:color w:val="000000" w:themeColor="text1"/>
        </w:rPr>
        <w:t>Keenan Centre for Biomedical Research, Critical Care Department, St. Michael’s Hospital, Unity Health Toronto, Toronto, Canada.</w:t>
      </w:r>
    </w:p>
    <w:p w14:paraId="6FDB0454"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p>
    <w:p w14:paraId="4041F271" w14:textId="77777777" w:rsidR="00B81314" w:rsidRPr="004A0217" w:rsidRDefault="00B81314" w:rsidP="00B81314">
      <w:pPr>
        <w:spacing w:after="0" w:line="480" w:lineRule="auto"/>
        <w:jc w:val="both"/>
        <w:rPr>
          <w:rFonts w:ascii="Times New Roman" w:hAnsi="Times New Roman" w:cs="Times New Roman"/>
          <w:b/>
          <w:bCs/>
          <w:color w:val="000000" w:themeColor="text1"/>
          <w:lang w:val="en-GB"/>
        </w:rPr>
      </w:pPr>
      <w:r w:rsidRPr="004A0217">
        <w:rPr>
          <w:rFonts w:ascii="Times New Roman" w:hAnsi="Times New Roman" w:cs="Times New Roman"/>
          <w:b/>
          <w:bCs/>
          <w:color w:val="000000" w:themeColor="text1"/>
          <w:lang w:val="en-GB"/>
        </w:rPr>
        <w:t>Corresponding author:</w:t>
      </w:r>
    </w:p>
    <w:p w14:paraId="3CFEB07E"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Mariangela Pellegrini, MD, PhD. </w:t>
      </w:r>
    </w:p>
    <w:p w14:paraId="11C5AAA4"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proofErr w:type="spellStart"/>
      <w:r w:rsidRPr="004A0217">
        <w:rPr>
          <w:rFonts w:ascii="Times New Roman" w:hAnsi="Times New Roman" w:cs="Times New Roman"/>
          <w:color w:val="000000" w:themeColor="text1"/>
          <w:lang w:val="en-GB"/>
        </w:rPr>
        <w:t>Hedenstierna</w:t>
      </w:r>
      <w:proofErr w:type="spellEnd"/>
      <w:r w:rsidRPr="004A0217">
        <w:rPr>
          <w:rFonts w:ascii="Times New Roman" w:hAnsi="Times New Roman" w:cs="Times New Roman"/>
          <w:color w:val="000000" w:themeColor="text1"/>
          <w:lang w:val="en-GB"/>
        </w:rPr>
        <w:t xml:space="preserve"> Laboratory, </w:t>
      </w:r>
      <w:proofErr w:type="spellStart"/>
      <w:r w:rsidRPr="004A0217">
        <w:rPr>
          <w:rFonts w:ascii="Times New Roman" w:hAnsi="Times New Roman" w:cs="Times New Roman"/>
          <w:color w:val="000000" w:themeColor="text1"/>
          <w:lang w:val="en-GB"/>
        </w:rPr>
        <w:t>Akademiska</w:t>
      </w:r>
      <w:proofErr w:type="spellEnd"/>
      <w:r w:rsidRPr="004A0217">
        <w:rPr>
          <w:rFonts w:ascii="Times New Roman" w:hAnsi="Times New Roman" w:cs="Times New Roman"/>
          <w:color w:val="000000" w:themeColor="text1"/>
          <w:lang w:val="en-GB"/>
        </w:rPr>
        <w:t xml:space="preserve"> </w:t>
      </w:r>
      <w:proofErr w:type="spellStart"/>
      <w:r w:rsidRPr="004A0217">
        <w:rPr>
          <w:rFonts w:ascii="Times New Roman" w:hAnsi="Times New Roman" w:cs="Times New Roman"/>
          <w:color w:val="000000" w:themeColor="text1"/>
          <w:lang w:val="en-GB"/>
        </w:rPr>
        <w:t>sjukhuset</w:t>
      </w:r>
      <w:proofErr w:type="spellEnd"/>
      <w:r w:rsidRPr="004A0217">
        <w:rPr>
          <w:rFonts w:ascii="Times New Roman" w:hAnsi="Times New Roman" w:cs="Times New Roman"/>
          <w:color w:val="000000" w:themeColor="text1"/>
          <w:lang w:val="en-GB"/>
        </w:rPr>
        <w:t xml:space="preserve"> </w:t>
      </w:r>
      <w:proofErr w:type="spellStart"/>
      <w:r w:rsidRPr="004A0217">
        <w:rPr>
          <w:rFonts w:ascii="Times New Roman" w:hAnsi="Times New Roman" w:cs="Times New Roman"/>
          <w:color w:val="000000" w:themeColor="text1"/>
          <w:lang w:val="en-GB"/>
        </w:rPr>
        <w:t>ing</w:t>
      </w:r>
      <w:proofErr w:type="spellEnd"/>
      <w:r w:rsidRPr="004A0217">
        <w:rPr>
          <w:rFonts w:ascii="Times New Roman" w:hAnsi="Times New Roman" w:cs="Times New Roman"/>
          <w:color w:val="000000" w:themeColor="text1"/>
          <w:lang w:val="en-GB"/>
        </w:rPr>
        <w:t xml:space="preserve"> 40 3 </w:t>
      </w:r>
      <w:proofErr w:type="spellStart"/>
      <w:r w:rsidRPr="004A0217">
        <w:rPr>
          <w:rFonts w:ascii="Times New Roman" w:hAnsi="Times New Roman" w:cs="Times New Roman"/>
          <w:color w:val="000000" w:themeColor="text1"/>
          <w:lang w:val="en-GB"/>
        </w:rPr>
        <w:t>tr</w:t>
      </w:r>
      <w:proofErr w:type="spellEnd"/>
      <w:r w:rsidRPr="004A0217">
        <w:rPr>
          <w:rFonts w:ascii="Times New Roman" w:hAnsi="Times New Roman" w:cs="Times New Roman"/>
          <w:color w:val="000000" w:themeColor="text1"/>
          <w:lang w:val="en-GB"/>
        </w:rPr>
        <w:t xml:space="preserve">, 75185 Uppsala, Sweden. E-mail address: </w:t>
      </w:r>
      <w:hyperlink r:id="rId5" w:history="1">
        <w:r w:rsidRPr="004A0217">
          <w:rPr>
            <w:rStyle w:val="Hyperlink"/>
            <w:rFonts w:ascii="Times New Roman" w:hAnsi="Times New Roman" w:cs="Times New Roman"/>
            <w:color w:val="000000" w:themeColor="text1"/>
            <w:lang w:val="en-GB"/>
          </w:rPr>
          <w:t>mariangela.pellegrini@uu.se</w:t>
        </w:r>
      </w:hyperlink>
    </w:p>
    <w:p w14:paraId="67301963"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p>
    <w:p w14:paraId="3B4AD391" w14:textId="77777777" w:rsidR="00B81314" w:rsidRPr="004A0217" w:rsidRDefault="00B81314" w:rsidP="00B81314">
      <w:pPr>
        <w:spacing w:after="0" w:line="480" w:lineRule="auto"/>
        <w:jc w:val="both"/>
        <w:rPr>
          <w:rFonts w:ascii="Times New Roman" w:hAnsi="Times New Roman" w:cs="Times New Roman"/>
          <w:color w:val="000000" w:themeColor="text1"/>
          <w:lang w:val="en-GB"/>
        </w:rPr>
      </w:pPr>
    </w:p>
    <w:p w14:paraId="35E333D1" w14:textId="77777777" w:rsidR="00B81314" w:rsidRPr="004A0217" w:rsidRDefault="00B81314" w:rsidP="009965D8">
      <w:pPr>
        <w:spacing w:after="0" w:line="480" w:lineRule="auto"/>
        <w:jc w:val="both"/>
        <w:rPr>
          <w:rFonts w:ascii="Times New Roman" w:hAnsi="Times New Roman" w:cs="Times New Roman"/>
          <w:b/>
          <w:bCs/>
          <w:color w:val="000000" w:themeColor="text1"/>
          <w:lang w:val="en-GB"/>
        </w:rPr>
      </w:pPr>
    </w:p>
    <w:p w14:paraId="1DA848A9" w14:textId="77777777" w:rsidR="00B81314" w:rsidRPr="004A0217" w:rsidRDefault="00B81314" w:rsidP="009965D8">
      <w:pPr>
        <w:spacing w:after="0" w:line="480" w:lineRule="auto"/>
        <w:jc w:val="both"/>
        <w:rPr>
          <w:rFonts w:ascii="Times New Roman" w:hAnsi="Times New Roman" w:cs="Times New Roman"/>
          <w:b/>
          <w:bCs/>
          <w:color w:val="000000" w:themeColor="text1"/>
          <w:lang w:val="en-GB"/>
        </w:rPr>
      </w:pPr>
    </w:p>
    <w:p w14:paraId="5B41F1A6" w14:textId="77777777" w:rsidR="00B81314" w:rsidRPr="004A0217" w:rsidRDefault="00B81314" w:rsidP="009965D8">
      <w:pPr>
        <w:spacing w:after="0" w:line="480" w:lineRule="auto"/>
        <w:jc w:val="both"/>
        <w:rPr>
          <w:rFonts w:ascii="Times New Roman" w:hAnsi="Times New Roman" w:cs="Times New Roman"/>
          <w:b/>
          <w:bCs/>
          <w:color w:val="000000" w:themeColor="text1"/>
          <w:lang w:val="en-GB"/>
        </w:rPr>
      </w:pPr>
    </w:p>
    <w:p w14:paraId="36D3DF94" w14:textId="77777777" w:rsidR="00B81314" w:rsidRPr="004A0217" w:rsidRDefault="00B81314" w:rsidP="009965D8">
      <w:pPr>
        <w:spacing w:after="0" w:line="480" w:lineRule="auto"/>
        <w:jc w:val="both"/>
        <w:rPr>
          <w:rFonts w:ascii="Times New Roman" w:hAnsi="Times New Roman" w:cs="Times New Roman"/>
          <w:b/>
          <w:bCs/>
          <w:color w:val="000000" w:themeColor="text1"/>
          <w:lang w:val="en-GB"/>
        </w:rPr>
      </w:pPr>
    </w:p>
    <w:p w14:paraId="024F34B6" w14:textId="77777777" w:rsidR="00B81314" w:rsidRPr="004A0217" w:rsidRDefault="00B81314" w:rsidP="009965D8">
      <w:pPr>
        <w:spacing w:after="0" w:line="480" w:lineRule="auto"/>
        <w:jc w:val="both"/>
        <w:rPr>
          <w:rFonts w:ascii="Times New Roman" w:hAnsi="Times New Roman" w:cs="Times New Roman"/>
          <w:b/>
          <w:bCs/>
          <w:color w:val="000000" w:themeColor="text1"/>
          <w:lang w:val="en-GB"/>
        </w:rPr>
      </w:pPr>
    </w:p>
    <w:p w14:paraId="11299F88" w14:textId="3D25E504" w:rsidR="009965D8" w:rsidRPr="004A0217" w:rsidRDefault="00B81314" w:rsidP="00B81314">
      <w:pPr>
        <w:rPr>
          <w:rFonts w:ascii="Times New Roman" w:hAnsi="Times New Roman" w:cs="Times New Roman"/>
          <w:b/>
          <w:bCs/>
          <w:color w:val="000000" w:themeColor="text1"/>
          <w:lang w:val="en-GB"/>
        </w:rPr>
      </w:pPr>
      <w:r w:rsidRPr="004A0217">
        <w:rPr>
          <w:rFonts w:ascii="Times New Roman" w:hAnsi="Times New Roman" w:cs="Times New Roman"/>
          <w:b/>
          <w:bCs/>
          <w:color w:val="000000" w:themeColor="text1"/>
          <w:lang w:val="en-GB"/>
        </w:rPr>
        <w:br w:type="page"/>
      </w:r>
      <w:r w:rsidR="009965D8" w:rsidRPr="004A0217">
        <w:rPr>
          <w:rFonts w:ascii="Times New Roman" w:hAnsi="Times New Roman" w:cs="Times New Roman"/>
          <w:b/>
          <w:bCs/>
          <w:color w:val="000000" w:themeColor="text1"/>
          <w:lang w:val="en-GB"/>
        </w:rPr>
        <w:t>METHODS</w:t>
      </w:r>
    </w:p>
    <w:p w14:paraId="3EEA1D00" w14:textId="77777777" w:rsidR="00B81314" w:rsidRPr="004A0217" w:rsidRDefault="00B81314" w:rsidP="009965D8">
      <w:pPr>
        <w:spacing w:after="0" w:line="480" w:lineRule="auto"/>
        <w:jc w:val="both"/>
        <w:rPr>
          <w:rFonts w:ascii="Times New Roman" w:hAnsi="Times New Roman" w:cs="Times New Roman"/>
          <w:b/>
          <w:bCs/>
          <w:color w:val="000000" w:themeColor="text1"/>
          <w:lang w:val="en-GB"/>
        </w:rPr>
      </w:pPr>
    </w:p>
    <w:p w14:paraId="04D9DA6F" w14:textId="77777777" w:rsidR="009965D8" w:rsidRPr="004A0217" w:rsidRDefault="009965D8" w:rsidP="009965D8">
      <w:pPr>
        <w:spacing w:after="0" w:line="480" w:lineRule="auto"/>
        <w:jc w:val="both"/>
        <w:rPr>
          <w:rFonts w:ascii="Times New Roman" w:hAnsi="Times New Roman" w:cs="Times New Roman"/>
          <w:strike/>
          <w:color w:val="000000" w:themeColor="text1"/>
          <w:lang w:val="en-GB"/>
        </w:rPr>
      </w:pPr>
      <w:r w:rsidRPr="004A0217">
        <w:rPr>
          <w:rFonts w:ascii="Times New Roman" w:hAnsi="Times New Roman" w:cs="Times New Roman"/>
          <w:color w:val="000000" w:themeColor="text1"/>
          <w:lang w:val="en-GB"/>
        </w:rPr>
        <w:t xml:space="preserve">The study was approved by the Swedish National Ethical Review Authority (2020-07227) and conducted following the Helsinki Declaration and its subsequent revisions. </w:t>
      </w:r>
      <w:bookmarkStart w:id="2" w:name="_Hlk173691127"/>
      <w:r w:rsidRPr="004A0217">
        <w:rPr>
          <w:rFonts w:ascii="Times New Roman" w:hAnsi="Times New Roman" w:cs="Times New Roman"/>
          <w:color w:val="000000" w:themeColor="text1"/>
          <w:lang w:val="en-GB"/>
        </w:rPr>
        <w:t xml:space="preserve">This was a preliminary analysis of a more extended study whose protocol was registered a priori (Clinical Trials ID: NCT05363085). </w:t>
      </w:r>
      <w:bookmarkStart w:id="3" w:name="_Hlk173695828"/>
      <w:bookmarkEnd w:id="2"/>
      <w:r w:rsidRPr="004A0217">
        <w:rPr>
          <w:rFonts w:ascii="Times New Roman" w:hAnsi="Times New Roman" w:cs="Times New Roman"/>
          <w:color w:val="000000" w:themeColor="text1"/>
          <w:lang w:val="en-GB"/>
        </w:rPr>
        <w:t xml:space="preserve">The study included mechanically ventilated patients within 72 hours of initiating invasive mechanical ventilation in an early phase after the onset of ABI and receiving PEEP but independently from the severity of their lung condition. </w:t>
      </w:r>
      <w:bookmarkEnd w:id="3"/>
      <w:r w:rsidRPr="004A0217">
        <w:rPr>
          <w:rFonts w:ascii="Times New Roman" w:hAnsi="Times New Roman" w:cs="Times New Roman"/>
          <w:color w:val="000000" w:themeColor="text1"/>
          <w:lang w:val="en-GB"/>
        </w:rPr>
        <w:t>Patients were admitted to the neurosurgical intensive care unit (Neuro-ICU) of Uppsala University Hospital, Sweden. As the patients were unconscious at the time of inclusion, informed consent was obtained from the patient’s next of kin. Withdrawal of consent by patients or their legal representatives was possible at any time during the study and until study publication. The study description was sent to the patient's home address, and inclusion was documented in the clinical record, leaving the possibility for future consent withdrawal for patients recovering their cognitive function after the acute illness. Strengthening the Reporting of Observational Studies in Epidemiology (STROBE) guidelines for observational cohort studies were followed to clearly and comprehensively present findings.</w:t>
      </w:r>
    </w:p>
    <w:p w14:paraId="349D8661"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1A38F79B" w14:textId="77777777" w:rsidR="009965D8" w:rsidRPr="004A0217" w:rsidRDefault="009965D8" w:rsidP="009965D8">
      <w:pPr>
        <w:spacing w:after="0" w:line="480" w:lineRule="auto"/>
        <w:jc w:val="both"/>
        <w:rPr>
          <w:rFonts w:ascii="Times New Roman" w:hAnsi="Times New Roman" w:cs="Times New Roman"/>
          <w:i/>
          <w:iCs/>
          <w:color w:val="000000" w:themeColor="text1"/>
          <w:lang w:val="en-GB"/>
        </w:rPr>
      </w:pPr>
      <w:r w:rsidRPr="004A0217">
        <w:rPr>
          <w:rFonts w:ascii="Times New Roman" w:hAnsi="Times New Roman" w:cs="Times New Roman"/>
          <w:i/>
          <w:iCs/>
          <w:color w:val="000000" w:themeColor="text1"/>
          <w:lang w:val="en-GB"/>
        </w:rPr>
        <w:t>Inclusion and exclusion criteria</w:t>
      </w:r>
    </w:p>
    <w:p w14:paraId="167FA9E9" w14:textId="77777777" w:rsidR="009965D8" w:rsidRPr="004A0217" w:rsidRDefault="009965D8" w:rsidP="009965D8">
      <w:pPr>
        <w:spacing w:after="0" w:line="480" w:lineRule="auto"/>
        <w:jc w:val="both"/>
        <w:rPr>
          <w:rFonts w:ascii="Times New Roman" w:hAnsi="Times New Roman" w:cs="Times New Roman"/>
          <w:bCs/>
          <w:color w:val="000000" w:themeColor="text1"/>
          <w:lang w:val="en-GB"/>
        </w:rPr>
      </w:pPr>
      <w:r w:rsidRPr="004A0217">
        <w:rPr>
          <w:rFonts w:ascii="Times New Roman" w:hAnsi="Times New Roman" w:cs="Times New Roman"/>
          <w:color w:val="000000" w:themeColor="text1"/>
          <w:lang w:val="en-GB"/>
        </w:rPr>
        <w:t xml:space="preserve">Patients were prospectively screened for eligibility according to inclusion criteria. Inclusion criteria were defined as follows: 1) </w:t>
      </w:r>
      <w:r w:rsidRPr="004A0217">
        <w:rPr>
          <w:rFonts w:ascii="Times New Roman" w:hAnsi="Times New Roman" w:cs="Times New Roman"/>
          <w:color w:val="000000" w:themeColor="text1"/>
          <w:u w:color="000000"/>
          <w:lang w:val="en-GB"/>
          <w14:textOutline w14:w="12700" w14:cap="flat" w14:cmpd="sng" w14:algn="ctr">
            <w14:noFill/>
            <w14:prstDash w14:val="solid"/>
            <w14:miter w14:lim="400000"/>
          </w14:textOutline>
        </w:rPr>
        <w:t>age higher than 18;</w:t>
      </w:r>
      <w:r w:rsidRPr="004A0217">
        <w:rPr>
          <w:rFonts w:ascii="Times New Roman" w:hAnsi="Times New Roman" w:cs="Times New Roman"/>
          <w:color w:val="000000" w:themeColor="text1"/>
          <w:lang w:val="en-GB"/>
        </w:rPr>
        <w:t xml:space="preserve"> 2) ABI within 72 hours from inclusion, i.e., subarachnoid haemorrhage; subdural haemorrhage; intracranial haemorrhage; traumatic brain injury; 3) less than 72 hours since </w:t>
      </w:r>
      <w:r w:rsidRPr="004A0217">
        <w:rPr>
          <w:rFonts w:ascii="Times New Roman" w:eastAsia="Times New Roman" w:hAnsi="Times New Roman" w:cs="Times New Roman"/>
          <w:color w:val="000000" w:themeColor="text1"/>
          <w:u w:color="000000"/>
          <w:lang w:val="en-GB"/>
          <w14:textOutline w14:w="12700" w14:cap="flat" w14:cmpd="sng" w14:algn="ctr">
            <w14:noFill/>
            <w14:prstDash w14:val="solid"/>
            <w14:miter w14:lim="400000"/>
          </w14:textOutline>
        </w:rPr>
        <w:t xml:space="preserve">initiation of mechanical ventilation and insertion of invasive intracerebral pressure monitoring device; 3) </w:t>
      </w:r>
      <w:r w:rsidRPr="004A0217">
        <w:rPr>
          <w:rFonts w:ascii="Times New Roman" w:hAnsi="Times New Roman" w:cs="Times New Roman"/>
          <w:color w:val="000000" w:themeColor="text1"/>
          <w:u w:color="000000"/>
          <w:lang w:val="en-GB"/>
          <w14:textOutline w14:w="12700" w14:cap="flat" w14:cmpd="sng" w14:algn="ctr">
            <w14:noFill/>
            <w14:prstDash w14:val="solid"/>
            <w14:miter w14:lim="400000"/>
          </w14:textOutline>
        </w:rPr>
        <w:t xml:space="preserve">mechanical ventilation expected to last for longer than 72 hours; 4) ongoing ICP measurement. Exclusion criteria were: 1) </w:t>
      </w:r>
      <w:r w:rsidRPr="004A0217">
        <w:rPr>
          <w:rFonts w:ascii="Times New Roman" w:hAnsi="Times New Roman" w:cs="Times New Roman"/>
          <w:bCs/>
          <w:color w:val="000000" w:themeColor="text1"/>
          <w:lang w:val="en-GB"/>
        </w:rPr>
        <w:t>chest tube or open chest trauma; 2) absolute contraindication to the insertion of nasogastric catheters: e.g., oesophagus rupture and oesophageal bleeding; 3) contraindication for the use of EIT: pacemaker and implantable cardioverter defibrillator, pregnancy, thoracic skin lesion, and burns on the belt area; 4) hemicraniectomy. A relative contraindication was skull base fracture; in this case, the patient was eligible only if the oesophageal catheters could be inserted orally. In the case of late hemicraniectomy, the patient dropped out of the study.</w:t>
      </w:r>
    </w:p>
    <w:p w14:paraId="3AA616C1" w14:textId="77777777" w:rsidR="009965D8" w:rsidRPr="004A0217" w:rsidRDefault="009965D8" w:rsidP="009965D8">
      <w:pPr>
        <w:spacing w:after="0" w:line="480" w:lineRule="auto"/>
        <w:jc w:val="both"/>
        <w:rPr>
          <w:rFonts w:ascii="Times New Roman" w:hAnsi="Times New Roman" w:cs="Times New Roman"/>
          <w:bCs/>
          <w:color w:val="000000" w:themeColor="text1"/>
          <w:lang w:val="en-GB"/>
        </w:rPr>
      </w:pPr>
    </w:p>
    <w:p w14:paraId="10C3AC0E" w14:textId="4C75D261"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At inclusion, a nasogastric catheter for oesophagus pressure monitoring (14Fr, </w:t>
      </w:r>
      <w:proofErr w:type="spellStart"/>
      <w:r w:rsidRPr="004A0217">
        <w:rPr>
          <w:rFonts w:ascii="Times New Roman" w:hAnsi="Times New Roman" w:cs="Times New Roman"/>
          <w:color w:val="000000" w:themeColor="text1"/>
          <w:lang w:val="en-GB"/>
        </w:rPr>
        <w:t>Nutrivent</w:t>
      </w:r>
      <w:proofErr w:type="spellEnd"/>
      <w:r w:rsidRPr="004A0217">
        <w:rPr>
          <w:rFonts w:ascii="Times New Roman" w:hAnsi="Times New Roman" w:cs="Times New Roman"/>
          <w:color w:val="000000" w:themeColor="text1"/>
          <w:lang w:val="en-GB"/>
        </w:rPr>
        <w:t xml:space="preserve">, </w:t>
      </w:r>
      <w:proofErr w:type="spellStart"/>
      <w:r w:rsidRPr="004A0217">
        <w:rPr>
          <w:rFonts w:ascii="Times New Roman" w:hAnsi="Times New Roman" w:cs="Times New Roman"/>
          <w:color w:val="000000" w:themeColor="text1"/>
          <w:lang w:val="en-GB"/>
        </w:rPr>
        <w:t>Sidam</w:t>
      </w:r>
      <w:proofErr w:type="spellEnd"/>
      <w:r w:rsidRPr="004A0217">
        <w:rPr>
          <w:rFonts w:ascii="Times New Roman" w:hAnsi="Times New Roman" w:cs="Times New Roman"/>
          <w:color w:val="000000" w:themeColor="text1"/>
          <w:lang w:val="en-GB"/>
        </w:rPr>
        <w:t xml:space="preserve">) </w:t>
      </w:r>
      <w:proofErr w:type="gramStart"/>
      <w:r w:rsidRPr="004A0217">
        <w:rPr>
          <w:rFonts w:ascii="Times New Roman" w:hAnsi="Times New Roman" w:cs="Times New Roman"/>
          <w:color w:val="000000" w:themeColor="text1"/>
          <w:lang w:val="en-GB"/>
        </w:rPr>
        <w:t>and</w:t>
      </w:r>
      <w:r w:rsidRPr="004A0217">
        <w:rPr>
          <w:rFonts w:ascii="Times New Roman" w:hAnsi="Times New Roman" w:cs="Times New Roman"/>
          <w:strike/>
          <w:color w:val="000000" w:themeColor="text1"/>
          <w:lang w:val="en-GB"/>
        </w:rPr>
        <w:t xml:space="preserve"> </w:t>
      </w:r>
      <w:r w:rsidRPr="004A0217">
        <w:rPr>
          <w:rFonts w:ascii="Times New Roman" w:hAnsi="Times New Roman" w:cs="Times New Roman"/>
          <w:color w:val="000000" w:themeColor="text1"/>
          <w:lang w:val="en-GB"/>
        </w:rPr>
        <w:t xml:space="preserve"> the</w:t>
      </w:r>
      <w:proofErr w:type="gramEnd"/>
      <w:r w:rsidRPr="004A0217">
        <w:rPr>
          <w:rFonts w:ascii="Times New Roman" w:hAnsi="Times New Roman" w:cs="Times New Roman"/>
          <w:color w:val="000000" w:themeColor="text1"/>
          <w:lang w:val="en-GB"/>
        </w:rPr>
        <w:t xml:space="preserve"> thinnest catheter for measurement of the electrical activity of the diaphragm (8Fr/125cm, Edi, Getinge) were placed. At the moment of data acquisition, the oesophageal catheter and a patient spirometry catheter (D-lite+, GE Healthcare) with only 9.5 ml instrumental dead space not significantly interfering with patient CO</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 xml:space="preserve"> clearance were connected to the </w:t>
      </w:r>
      <w:proofErr w:type="spellStart"/>
      <w:r w:rsidRPr="004A0217">
        <w:rPr>
          <w:rFonts w:ascii="Times New Roman" w:hAnsi="Times New Roman" w:cs="Times New Roman"/>
          <w:color w:val="000000" w:themeColor="text1"/>
          <w:lang w:val="en-GB"/>
        </w:rPr>
        <w:t>Pulmovista</w:t>
      </w:r>
      <w:proofErr w:type="spellEnd"/>
      <w:r w:rsidRPr="004A0217">
        <w:rPr>
          <w:rFonts w:ascii="Times New Roman" w:hAnsi="Times New Roman" w:cs="Times New Roman"/>
          <w:color w:val="000000" w:themeColor="text1"/>
          <w:lang w:val="en-GB"/>
        </w:rPr>
        <w:t xml:space="preserve"> 500 pressure transducer (Pressure Pod, Dräger). Based on clinical routine, all patients had a central line catheter for drug infusion and central vein pressure (CVP) monitoring and an arterial catheter for invasive systemic blood pressure monitoring. Following clinical practice for intubated patients, side-stream capnography was recorded, and end-tidal carbon dioxide (</w:t>
      </w:r>
      <w:r w:rsidRPr="004A0217">
        <w:rPr>
          <w:rFonts w:ascii="Times New Roman" w:eastAsia="Times New Roman" w:hAnsi="Times New Roman" w:cs="Times New Roman"/>
          <w:color w:val="000000" w:themeColor="text1"/>
          <w:lang w:val="en-GB"/>
        </w:rPr>
        <w:t>EtCO</w:t>
      </w:r>
      <w:r w:rsidRPr="004A0217">
        <w:rPr>
          <w:rFonts w:ascii="Times New Roman" w:eastAsia="Times New Roman" w:hAnsi="Times New Roman" w:cs="Times New Roman"/>
          <w:color w:val="000000" w:themeColor="text1"/>
          <w:vertAlign w:val="subscript"/>
          <w:lang w:val="en-GB"/>
        </w:rPr>
        <w:t>2</w:t>
      </w:r>
      <w:r w:rsidRPr="004A0217">
        <w:rPr>
          <w:rFonts w:ascii="Times New Roman" w:eastAsia="Times New Roman" w:hAnsi="Times New Roman" w:cs="Times New Roman"/>
          <w:color w:val="000000" w:themeColor="text1"/>
          <w:lang w:val="en-GB"/>
        </w:rPr>
        <w:t xml:space="preserve">) was </w:t>
      </w:r>
      <w:r w:rsidRPr="004A0217">
        <w:rPr>
          <w:rFonts w:ascii="Times New Roman" w:hAnsi="Times New Roman" w:cs="Times New Roman"/>
          <w:color w:val="000000" w:themeColor="text1"/>
          <w:lang w:val="en-GB"/>
        </w:rPr>
        <w:t xml:space="preserve">continuously monitored. All respiratory, hemodynamic, and neuro-monitoring variables, including EIT imaging, were simultaneously acquired and synchronised offline for data analysis using </w:t>
      </w:r>
      <w:proofErr w:type="spellStart"/>
      <w:r w:rsidRPr="004A0217">
        <w:rPr>
          <w:rFonts w:ascii="Times New Roman" w:hAnsi="Times New Roman" w:cs="Times New Roman"/>
          <w:color w:val="000000" w:themeColor="text1"/>
          <w:lang w:val="en-GB"/>
        </w:rPr>
        <w:t>MatLab</w:t>
      </w:r>
      <w:proofErr w:type="spellEnd"/>
      <w:r w:rsidRPr="004A0217">
        <w:rPr>
          <w:rFonts w:ascii="Times New Roman" w:hAnsi="Times New Roman" w:cs="Times New Roman"/>
          <w:color w:val="000000" w:themeColor="text1"/>
          <w:lang w:val="en-GB"/>
        </w:rPr>
        <w:t xml:space="preserve">, R2023b (The </w:t>
      </w:r>
      <w:proofErr w:type="spellStart"/>
      <w:r w:rsidRPr="004A0217">
        <w:rPr>
          <w:rFonts w:ascii="Times New Roman" w:hAnsi="Times New Roman" w:cs="Times New Roman"/>
          <w:color w:val="000000" w:themeColor="text1"/>
          <w:lang w:val="en-GB"/>
        </w:rPr>
        <w:t>Mathworks</w:t>
      </w:r>
      <w:proofErr w:type="spellEnd"/>
      <w:r w:rsidRPr="004A0217">
        <w:rPr>
          <w:rFonts w:ascii="Times New Roman" w:hAnsi="Times New Roman" w:cs="Times New Roman"/>
          <w:color w:val="000000" w:themeColor="text1"/>
          <w:lang w:val="en-GB"/>
        </w:rPr>
        <w:t>, Natick, MA, USA</w:t>
      </w:r>
      <w:r w:rsidRPr="004A0217">
        <w:rPr>
          <w:rFonts w:ascii="Times New Roman" w:hAnsi="Times New Roman" w:cs="Times New Roman"/>
          <w:color w:val="000000" w:themeColor="text1"/>
          <w:lang w:val="en-US"/>
        </w:rPr>
        <w:t>)</w:t>
      </w:r>
      <w:r w:rsidRPr="004A0217">
        <w:rPr>
          <w:rFonts w:ascii="Times New Roman" w:hAnsi="Times New Roman" w:cs="Times New Roman"/>
          <w:color w:val="000000" w:themeColor="text1"/>
          <w:lang w:val="en-GB"/>
        </w:rPr>
        <w:t xml:space="preserve">. Demographics, epidemiologic, and clinical data were obtained from electronic medical records. </w:t>
      </w:r>
    </w:p>
    <w:p w14:paraId="3DAC4291"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14829855" w14:textId="77777777" w:rsidR="009965D8" w:rsidRPr="004A0217" w:rsidRDefault="009965D8" w:rsidP="009965D8">
      <w:pPr>
        <w:spacing w:after="0" w:line="480" w:lineRule="auto"/>
        <w:jc w:val="both"/>
        <w:rPr>
          <w:rFonts w:ascii="Times New Roman" w:hAnsi="Times New Roman" w:cs="Times New Roman"/>
          <w:i/>
          <w:iCs/>
          <w:color w:val="000000" w:themeColor="text1"/>
          <w:lang w:val="en-GB"/>
        </w:rPr>
      </w:pPr>
      <w:r w:rsidRPr="004A0217">
        <w:rPr>
          <w:rFonts w:ascii="Times New Roman" w:hAnsi="Times New Roman" w:cs="Times New Roman"/>
          <w:i/>
          <w:iCs/>
          <w:color w:val="000000" w:themeColor="text1"/>
          <w:lang w:val="en-GB"/>
        </w:rPr>
        <w:t>Patient management during data collection</w:t>
      </w:r>
    </w:p>
    <w:p w14:paraId="711ABEAE" w14:textId="77777777" w:rsidR="009965D8" w:rsidRPr="004A0217" w:rsidRDefault="009965D8" w:rsidP="009965D8">
      <w:pPr>
        <w:spacing w:after="0" w:line="480" w:lineRule="auto"/>
        <w:jc w:val="both"/>
        <w:rPr>
          <w:rFonts w:ascii="Times New Roman" w:eastAsia="Times New Roman" w:hAnsi="Times New Roman" w:cs="Times New Roman"/>
          <w:color w:val="000000" w:themeColor="text1"/>
          <w:lang w:val="en-GB"/>
        </w:rPr>
      </w:pPr>
      <w:r w:rsidRPr="004A0217">
        <w:rPr>
          <w:rFonts w:ascii="Times New Roman" w:hAnsi="Times New Roman" w:cs="Times New Roman"/>
          <w:color w:val="000000" w:themeColor="text1"/>
          <w:u w:color="000000"/>
          <w:lang w:val="en-US"/>
          <w14:textOutline w14:w="12700" w14:cap="flat" w14:cmpd="sng" w14:algn="ctr">
            <w14:noFill/>
            <w14:prstDash w14:val="solid"/>
            <w14:miter w14:lim="400000"/>
          </w14:textOutline>
        </w:rPr>
        <w:t>For</w:t>
      </w:r>
      <w:r w:rsidRPr="004A0217">
        <w:rPr>
          <w:rFonts w:ascii="Times New Roman" w:hAnsi="Times New Roman" w:cs="Times New Roman"/>
          <w:color w:val="000000" w:themeColor="text1"/>
          <w:lang w:val="en-GB"/>
        </w:rPr>
        <w:t xml:space="preserve"> data acquisition, all patients were placed in a semi-recumbent 30° head-elevated position and continuously sedated according to local standard practice. Deep sedation (corresponding to Richmond Agitation Sedation Scale -4 or lower) and complete neuromuscular blockade (induced by repeated rocuronium boluses 0.5mg/kg and confirmed by no trigger on the ventilator and the absence of organised electrical activity of the diaphragm) were established before data acquisition. The intraventricular drain catheter was closed throughout the protocol for ICP recording. </w:t>
      </w:r>
      <w:r w:rsidRPr="004A0217">
        <w:rPr>
          <w:rFonts w:ascii="Times New Roman" w:eastAsia="Times New Roman" w:hAnsi="Times New Roman" w:cs="Times New Roman"/>
          <w:color w:val="000000" w:themeColor="text1"/>
          <w:lang w:val="en-GB"/>
        </w:rPr>
        <w:t>An EIT belt was placed to collect chest impedance changes related to lung ventilation (</w:t>
      </w:r>
      <w:proofErr w:type="spellStart"/>
      <w:r w:rsidRPr="004A0217">
        <w:rPr>
          <w:rFonts w:ascii="Times New Roman" w:eastAsia="Times New Roman" w:hAnsi="Times New Roman" w:cs="Times New Roman"/>
          <w:color w:val="000000" w:themeColor="text1"/>
          <w:lang w:val="en-GB"/>
        </w:rPr>
        <w:t>Pulmovista</w:t>
      </w:r>
      <w:proofErr w:type="spellEnd"/>
      <w:r w:rsidRPr="004A0217">
        <w:rPr>
          <w:rFonts w:ascii="Times New Roman" w:eastAsia="Times New Roman" w:hAnsi="Times New Roman" w:cs="Times New Roman"/>
          <w:color w:val="000000" w:themeColor="text1"/>
          <w:lang w:val="en-GB"/>
        </w:rPr>
        <w:t xml:space="preserve"> 500, </w:t>
      </w:r>
      <w:proofErr w:type="spellStart"/>
      <w:r w:rsidRPr="004A0217">
        <w:rPr>
          <w:rFonts w:ascii="Times New Roman" w:eastAsia="Times New Roman" w:hAnsi="Times New Roman" w:cs="Times New Roman"/>
          <w:color w:val="000000" w:themeColor="text1"/>
          <w:lang w:val="en-GB"/>
        </w:rPr>
        <w:t>Dräger</w:t>
      </w:r>
      <w:proofErr w:type="spellEnd"/>
      <w:r w:rsidRPr="004A0217">
        <w:rPr>
          <w:rFonts w:ascii="Times New Roman" w:eastAsia="Times New Roman" w:hAnsi="Times New Roman" w:cs="Times New Roman"/>
          <w:color w:val="000000" w:themeColor="text1"/>
          <w:lang w:val="en-GB"/>
        </w:rPr>
        <w:t>, Germany). The EIT belt was in place only during data acquisition and then removed, not interfering with clinical procedures. We strictly aligned with neuroprotection care bundle principles and always prioritised patient safety and best care. The protocol was performed by an experienced research team with extensive experience in neurointensive care who were trained to ensure minimal patient disturbance. Data collection was planned during periods of clinical stability, with interventions synchronised with standard care procedures to avoid unnecessary handling. To minimise interference with clinical activities, data were collected during the afternoon. The protocol was well-known to the entire treating team. Before data acquisition, the attending intensivist, neurosurgeon and nurse were consulted to detect possible instabilities and contraindications to data collection. Data were not collected in cases of severe respiratory (fraction of inspiratory oxygen - F</w:t>
      </w:r>
      <w:r w:rsidRPr="004A0217">
        <w:rPr>
          <w:rFonts w:ascii="Times New Roman" w:eastAsia="Times New Roman" w:hAnsi="Times New Roman" w:cs="Times New Roman"/>
          <w:color w:val="000000" w:themeColor="text1"/>
          <w:vertAlign w:val="subscript"/>
          <w:lang w:val="en-GB"/>
        </w:rPr>
        <w:t>I</w:t>
      </w:r>
      <w:r w:rsidRPr="004A0217">
        <w:rPr>
          <w:rFonts w:ascii="Times New Roman" w:eastAsia="Times New Roman" w:hAnsi="Times New Roman" w:cs="Times New Roman"/>
          <w:color w:val="000000" w:themeColor="text1"/>
          <w:lang w:val="en-GB"/>
        </w:rPr>
        <w:t>O</w:t>
      </w:r>
      <w:r w:rsidRPr="004A0217">
        <w:rPr>
          <w:rFonts w:ascii="Times New Roman" w:eastAsia="Times New Roman" w:hAnsi="Times New Roman" w:cs="Times New Roman"/>
          <w:color w:val="000000" w:themeColor="text1"/>
          <w:vertAlign w:val="subscript"/>
          <w:lang w:val="en-GB"/>
        </w:rPr>
        <w:t>2</w:t>
      </w:r>
      <w:r w:rsidRPr="004A0217">
        <w:rPr>
          <w:rFonts w:ascii="Times New Roman" w:eastAsia="Times New Roman" w:hAnsi="Times New Roman" w:cs="Times New Roman"/>
          <w:color w:val="000000" w:themeColor="text1"/>
          <w:lang w:val="en-GB"/>
        </w:rPr>
        <w:t xml:space="preserve"> - higher than 75% to reach a partial pressure of arterial oxygen - PaO</w:t>
      </w:r>
      <w:r w:rsidRPr="004A0217">
        <w:rPr>
          <w:rFonts w:ascii="Times New Roman" w:eastAsia="Times New Roman" w:hAnsi="Times New Roman" w:cs="Times New Roman"/>
          <w:color w:val="000000" w:themeColor="text1"/>
          <w:vertAlign w:val="subscript"/>
          <w:lang w:val="en-GB"/>
        </w:rPr>
        <w:t>2</w:t>
      </w:r>
      <w:r w:rsidRPr="004A0217">
        <w:rPr>
          <w:rFonts w:ascii="Times New Roman" w:eastAsia="Times New Roman" w:hAnsi="Times New Roman" w:cs="Times New Roman"/>
          <w:color w:val="000000" w:themeColor="text1"/>
          <w:lang w:val="en-GB"/>
        </w:rPr>
        <w:t xml:space="preserve"> - of 80 mm Hg and respiratory rate higher than 35 breath/min), hemodynamic (heart rate higher than 150/min and mean arterial pressure lower than 60 mm Hg during continuous vasopressor support), or neurologic (sustained mean ICP higher than 15 mm Hg or strict control of partial pressure of carbon dioxide - PaCO</w:t>
      </w:r>
      <w:r w:rsidRPr="004A0217">
        <w:rPr>
          <w:rFonts w:ascii="Times New Roman" w:eastAsia="Times New Roman" w:hAnsi="Times New Roman" w:cs="Times New Roman"/>
          <w:color w:val="000000" w:themeColor="text1"/>
          <w:vertAlign w:val="subscript"/>
          <w:lang w:val="en-GB"/>
        </w:rPr>
        <w:t>2</w:t>
      </w:r>
      <w:r w:rsidRPr="004A0217">
        <w:rPr>
          <w:rFonts w:ascii="Times New Roman" w:eastAsia="Times New Roman" w:hAnsi="Times New Roman" w:cs="Times New Roman"/>
          <w:color w:val="000000" w:themeColor="text1"/>
          <w:lang w:val="en-GB"/>
        </w:rPr>
        <w:t xml:space="preserve"> - range for neurosurgical reasons) instability. </w:t>
      </w:r>
    </w:p>
    <w:p w14:paraId="2A121631" w14:textId="77777777" w:rsidR="009965D8" w:rsidRPr="004A0217" w:rsidRDefault="009965D8" w:rsidP="009965D8">
      <w:pPr>
        <w:spacing w:after="0" w:line="480" w:lineRule="auto"/>
        <w:jc w:val="both"/>
        <w:rPr>
          <w:rFonts w:ascii="Times New Roman" w:eastAsia="Times New Roman" w:hAnsi="Times New Roman" w:cs="Times New Roman"/>
          <w:color w:val="000000" w:themeColor="text1"/>
          <w:lang w:val="en-GB"/>
        </w:rPr>
      </w:pPr>
    </w:p>
    <w:p w14:paraId="12EA2EBE" w14:textId="77777777" w:rsidR="009965D8" w:rsidRPr="004A0217" w:rsidRDefault="009965D8" w:rsidP="009965D8">
      <w:pPr>
        <w:spacing w:after="0" w:line="480" w:lineRule="auto"/>
        <w:jc w:val="both"/>
        <w:rPr>
          <w:rFonts w:ascii="Times New Roman" w:eastAsia="Times New Roman" w:hAnsi="Times New Roman" w:cs="Times New Roman"/>
          <w:i/>
          <w:iCs/>
          <w:color w:val="000000" w:themeColor="text1"/>
          <w:lang w:val="en-GB"/>
        </w:rPr>
      </w:pPr>
      <w:r w:rsidRPr="004A0217">
        <w:rPr>
          <w:rFonts w:ascii="Times New Roman" w:eastAsia="Times New Roman" w:hAnsi="Times New Roman" w:cs="Times New Roman"/>
          <w:i/>
          <w:iCs/>
          <w:color w:val="000000" w:themeColor="text1"/>
          <w:lang w:val="en-GB"/>
        </w:rPr>
        <w:t>Protocol and data collection</w:t>
      </w:r>
    </w:p>
    <w:p w14:paraId="3D0FF9CD" w14:textId="20C7F9A5"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eastAsia="Times New Roman" w:hAnsi="Times New Roman" w:cs="Times New Roman"/>
          <w:color w:val="000000" w:themeColor="text1"/>
          <w:lang w:val="en-GB"/>
        </w:rPr>
        <w:t>The ventilation mode was first changed to volume-controlled ventilation with a tidal volume of 6-8 ml/kg predicted body weight. The respiratory rate was adjusted to keep EtCO</w:t>
      </w:r>
      <w:r w:rsidRPr="004A0217">
        <w:rPr>
          <w:rFonts w:ascii="Times New Roman" w:eastAsia="Times New Roman" w:hAnsi="Times New Roman" w:cs="Times New Roman"/>
          <w:color w:val="000000" w:themeColor="text1"/>
          <w:vertAlign w:val="subscript"/>
          <w:lang w:val="en-GB"/>
        </w:rPr>
        <w:t>2</w:t>
      </w:r>
      <w:r w:rsidRPr="004A0217">
        <w:rPr>
          <w:rFonts w:ascii="Times New Roman" w:eastAsia="Times New Roman" w:hAnsi="Times New Roman" w:cs="Times New Roman"/>
          <w:color w:val="000000" w:themeColor="text1"/>
          <w:lang w:val="en-GB"/>
        </w:rPr>
        <w:t xml:space="preserve"> constant and maintain the clinical target of </w:t>
      </w:r>
      <w:r w:rsidRPr="004A0217">
        <w:rPr>
          <w:rFonts w:ascii="Times New Roman" w:hAnsi="Times New Roman" w:cs="Times New Roman"/>
          <w:color w:val="000000" w:themeColor="text1"/>
          <w:lang w:val="en-GB"/>
        </w:rPr>
        <w:t>PaCO</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 xml:space="preserve"> unchanged. F</w:t>
      </w:r>
      <w:r w:rsidRPr="004A0217">
        <w:rPr>
          <w:rFonts w:ascii="Times New Roman" w:hAnsi="Times New Roman" w:cs="Times New Roman"/>
          <w:color w:val="000000" w:themeColor="text1"/>
          <w:vertAlign w:val="subscript"/>
          <w:lang w:val="en-GB"/>
        </w:rPr>
        <w:t>I</w:t>
      </w:r>
      <w:r w:rsidRPr="004A0217">
        <w:rPr>
          <w:rFonts w:ascii="Times New Roman" w:hAnsi="Times New Roman" w:cs="Times New Roman"/>
          <w:color w:val="000000" w:themeColor="text1"/>
          <w:lang w:val="en-GB"/>
        </w:rPr>
        <w:t>O</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 xml:space="preserve"> was set to stay PaO</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 xml:space="preserve"> higher than 90 mm Hg. PEEP was kept as previously clinically set. Before data acquisition, oesophageal catheter positioning, adequate sedation level and muscle relaxation were checked. Data recording was initiated, and a standardised lung recruitment manoeuvre was performed, followed by a decreasing PEEP titration. Lung recruitment consisted of a gradual increase in PEEP, in steps of 2 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O, to a maximum PEEP of 20 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O or a maximum peak airway pressure of 40 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O, depending on which one was reached first. Baseline PEEP was set based on best static compliance. After PEEP titration, an inspiratory-hold and an expiratory-hold manoeuvre were performed. A low-flow (5  L/min) inflation starting from PEEP 0 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 xml:space="preserve">O and reaching the patient’s set tidal volume was performed to identify airway opening pressure (AOP), as previously described </w:t>
      </w:r>
      <w:r w:rsidRPr="004A0217">
        <w:rPr>
          <w:rFonts w:ascii="Times New Roman" w:hAnsi="Times New Roman" w:cs="Times New Roman"/>
          <w:color w:val="000000" w:themeColor="text1"/>
          <w:lang w:val="en-GB"/>
        </w:rPr>
        <w:fldChar w:fldCharType="begin"/>
      </w:r>
      <w:r w:rsidR="00B81314" w:rsidRPr="004A0217">
        <w:rPr>
          <w:rFonts w:ascii="Times New Roman" w:hAnsi="Times New Roman" w:cs="Times New Roman"/>
          <w:color w:val="000000" w:themeColor="text1"/>
          <w:lang w:val="en-GB"/>
        </w:rPr>
        <w:instrText xml:space="preserve"> ADDIN ZOTERO_ITEM CSL_CITATION {"citationID":"TFBRXu5Q","properties":{"formattedCitation":"[1]","plainCitation":"[1]","noteIndex":0},"citationItems":[{"id":22,"uris":["http://zotero.org/users/12178336/items/5AT6ZJSY"],"itemData":{"id":22,"type":"article-journal","container-title":"American Journal of Respiratory and Critical Care Medicine","DOI":"10.1164/rccm.201702-0388LE","ISSN":"1073-449X","issue":"1","journalAbbreviation":"Am J Respir Crit Care Med","note":"publisher: American Thoracic Society - AJRCCM","page":"132-136","source":"atsjournals.org (Atypon)","title":"Airway Closure in Acute Respiratory Distress Syndrome: An Underestimated and Misinterpreted Phenomenon","title-short":"Airway Closure in Acute Respiratory Distress Syndrome","volume":"197","author":[{"family":"Chen","given":"Lu"},{"family":"Del Sorbo","given":"Lorenzo"},{"family":"Grieco","given":"Domenico Luca"},{"family":"Shklar","given":"Orest"},{"family":"Junhasavasdikul","given":"Detajin"},{"family":"Telias","given":"Irene"},{"family":"Fan","given":"Eddy"},{"family":"Brochard","given":"Laurent"}],"issued":{"date-parts":[["2018",1]]}}}],"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B81314" w:rsidRPr="004A0217">
        <w:rPr>
          <w:rFonts w:ascii="Times New Roman" w:hAnsi="Times New Roman" w:cs="Times New Roman"/>
          <w:color w:val="000000" w:themeColor="text1"/>
        </w:rPr>
        <w:t>[1]</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w:t>
      </w:r>
      <w:bookmarkStart w:id="4" w:name="_Hlk173691752"/>
      <w:bookmarkStart w:id="5" w:name="_Hlk185237488"/>
      <w:r w:rsidRPr="004A0217">
        <w:rPr>
          <w:rFonts w:ascii="Times New Roman" w:hAnsi="Times New Roman" w:cs="Times New Roman"/>
          <w:color w:val="000000" w:themeColor="text1"/>
          <w:lang w:val="en-GB"/>
        </w:rPr>
        <w:t xml:space="preserve">After baseline ventilation and reduction of respiratory rate to 10 breaths per minute </w:t>
      </w:r>
      <w:bookmarkStart w:id="6" w:name="_Hlk185238545"/>
      <w:r w:rsidRPr="004A0217">
        <w:rPr>
          <w:rFonts w:ascii="Times New Roman" w:hAnsi="Times New Roman" w:cs="Times New Roman"/>
          <w:color w:val="000000" w:themeColor="text1"/>
          <w:lang w:val="en-GB"/>
        </w:rPr>
        <w:t>to exclude the onset of intrinsic PEEP</w:t>
      </w:r>
      <w:bookmarkEnd w:id="6"/>
      <w:r w:rsidRPr="004A0217">
        <w:rPr>
          <w:rFonts w:ascii="Times New Roman" w:hAnsi="Times New Roman" w:cs="Times New Roman"/>
          <w:color w:val="000000" w:themeColor="text1"/>
          <w:lang w:val="en-GB"/>
        </w:rPr>
        <w:t>, patients were exposed to a single-breath de-recruitment manoeuvre from high to low PEEP, with a delta of 10 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 xml:space="preserve">O, to calculate the RI ratio as previously described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{"citationID":"3oYtzvS3","properties":{"formattedCitation":"[2, 3]","plainCitation":"[2, 3]","noteIndex":0},"citationItems":[{"id":"jB62mxmg/NKO1QAZ1","uris":["http://zotero.org/users/12178336/items/2AN8LFKU"],"itemData":{"id":"Z7juqlXY/FJvGOzXH","type":"article-journal","abstract":"Rationale: Response to positive end-expiratory pressure (PEEP) in acute respiratory distress syndrome depends on recruitability. We propose a bedside approach to estimate recruitability accounting for the presence of complete airway closure.\n\nObjectives: To validate a single-breath method for measuring recruited volume and test whether it differentiates patients with different responses to PEEP.\n\nMethods: Patients with acute respiratory distress syndrome were ventilated at 15 and 5 cm H2O of PEEP. Multiple pressure–volume curves were compared with a single-breath technique. Abruptly releasing PEEP (from 15 to 5 cm H2O) increases expired volume: the difference between this volume and the volume predicted by compliance at low PEEP (or above airway opening pressure) estimated the recruited volume by PEEP. This recruited volume divided by the effective pressure change gave the compliance of the recruited lung; the ratio of this compliance to the compliance at low PEEP gave the recruitment-to-inflation ratio. Response to PEEP was compared between high and low recruiters based on this ratio.\n\nMeasurements and Main Results: Forty-five patients were enrolled. Four patients had airway closure higher than high PEEP, and thus recruitment could not be assessed. In others, recruited volume measured by the experimental and the reference methods were strongly correlated (R2 = 0.798; P &lt; 0.0001) with small bias (−21 ml). The recruitment-to-inflation ratio (median, 0.5; range, 0–2.0) correlated with both oxygenation at low PEEP and the oxygenation response; at PEEP 15, high recruiters had better oxygenation (P = 0.004), whereas low recruiters experienced lower systolic arterial pressure (P = 0.008).\n\nConclusions: A single-breath method quantifies recruited volume. The recruitment-to-inflation ratio might help to characterize lung recruitability at the bedside.\n\nClinical trial registered with www.clinicaltrials.gov (NCT02457741).","container-title":"American Journal of Respiratory and Critical Care Medicine","DOI":"10.1164/rccm.201902-0334OC","ISSN":"1073-449X","issue":"2","journalAbbreviation":"Am J Respir Crit Care Med","note":"publisher: American Thoracic Society - AJRCCM","page":"178-187","source":"www-atsjournals-org.ezproxy.its.uu.se (Atypon)","title":"Potential for Lung Recruitment Estimated by the Recruitment-to-Inflation Ratio in Acute Respiratory Distress Syndrome. A Clinical Trial","volume":"201","author":[{"family":"Chen","given":"Lu"},{"family":"Del Sorbo","given":"Lorenzo"},{"family":"Grieco","given":"Domenico L."},{"family":"Junhasavasdikul","given":"Detajin"},{"family":"Rittayamai","given":"Nuttapol"},{"family":"Soliman","given":"Ibrahim"},{"family":"Sklar","given":"Michael C."},{"family":"Rauseo","given":"Michela"},{"family":"Ferguson","given":"Niall D."},{"family":"Fan","given":"Eddy"},{"family":"Richard","given":"Jean-Christophe M."},{"family":"Brochard","given":"Laurent"}],"issued":{"date-parts":[["2020",1,15]]}}},{"id":752,"uris":["http://zotero.org/users/12178336/items/MSNMPL96"],"itemData":{"id":752,"type":"article-journal","abstract":"Lung volumes, especially functional residual capacity (FRC), are decreased in acute respiratory distress syndrome (ARDS). Positive end-expiratory pressure (PEEP) contributes to increased end-expiratory lung volume (EELV) and to improved oxygenation, but differentiating recruitment of previously nonaerated lung units from distension of previously open lung units remains difficult. This study evaluated simple methods derived from bedside EELV measurements to assess PEEP-induced lung recruitment while monitoring strain.","container-title":"Intensive Care Medicine","DOI":"10.1007/s00134-011-2333-y","ISSN":"1432-1238","issue":"10","journalAbbreviation":"Intensive Care Med","language":"en","page":"1595-1604","source":"Springer Link","title":"PEEP-induced changes in lung volume in acute respiratory distress syndrome. Two methods to estimate alveolar recruitment","volume":"37","author":[{"family":"Dellamonica","given":"J."},{"family":"Lerolle","given":"N."},{"family":"Sargentini","given":"C."},{"family":"Beduneau","given":"G."},{"family":"Di Marco","given":"F."},{"family":"Mercat","given":"A."},{"family":"Richard","given":"J. C. M."},{"family":"Diehl","given":"J. L."},{"family":"Mancebo","given":"J."},{"family":"Rouby","given":"J. J."},{"family":"Lu","given":"Q."},{"family":"Bernardin","given":"G."},{"family":"Brochard","given":"L."}],"issued":{"date-parts":[["2011",10,1]]}}}],"schema":"https://github.com/citation-style-language/schema/raw/master/csl-citation.json"}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B81314" w:rsidRPr="004A0217">
        <w:rPr>
          <w:rFonts w:ascii="Times New Roman" w:hAnsi="Times New Roman" w:cs="Times New Roman"/>
          <w:color w:val="000000" w:themeColor="text1"/>
        </w:rPr>
        <w:t>[2, 3]</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Absolute PEEP values (e.g., 15/5 </w:t>
      </w:r>
      <w:proofErr w:type="spellStart"/>
      <w:r w:rsidRPr="004A0217">
        <w:rPr>
          <w:rFonts w:ascii="Times New Roman" w:hAnsi="Times New Roman" w:cs="Times New Roman"/>
          <w:color w:val="000000" w:themeColor="text1"/>
          <w:lang w:val="en-GB"/>
        </w:rPr>
        <w:t>cmH₂O</w:t>
      </w:r>
      <w:proofErr w:type="spellEnd"/>
      <w:r w:rsidRPr="004A0217">
        <w:rPr>
          <w:rFonts w:ascii="Times New Roman" w:hAnsi="Times New Roman" w:cs="Times New Roman"/>
          <w:color w:val="000000" w:themeColor="text1"/>
          <w:lang w:val="en-GB"/>
        </w:rPr>
        <w:t xml:space="preserve"> or 12/2 </w:t>
      </w:r>
      <w:proofErr w:type="spellStart"/>
      <w:r w:rsidRPr="004A0217">
        <w:rPr>
          <w:rFonts w:ascii="Times New Roman" w:hAnsi="Times New Roman" w:cs="Times New Roman"/>
          <w:color w:val="000000" w:themeColor="text1"/>
          <w:lang w:val="en-GB"/>
        </w:rPr>
        <w:t>cmH₂O</w:t>
      </w:r>
      <w:proofErr w:type="spellEnd"/>
      <w:r w:rsidRPr="004A0217">
        <w:rPr>
          <w:rFonts w:ascii="Times New Roman" w:hAnsi="Times New Roman" w:cs="Times New Roman"/>
          <w:color w:val="000000" w:themeColor="text1"/>
          <w:lang w:val="en-GB"/>
        </w:rPr>
        <w:t>) were tailored to individual patient tolerance, and low PEEP was always set above AOP.</w:t>
      </w:r>
      <w:bookmarkEnd w:id="4"/>
      <w:r w:rsidRPr="004A0217">
        <w:rPr>
          <w:rFonts w:ascii="Times New Roman" w:hAnsi="Times New Roman" w:cs="Times New Roman"/>
          <w:color w:val="000000" w:themeColor="text1"/>
          <w:lang w:val="en-GB"/>
        </w:rPr>
        <w:t xml:space="preserve"> </w:t>
      </w:r>
      <w:bookmarkStart w:id="7" w:name="_Hlk185239170"/>
      <w:r w:rsidRPr="004A0217">
        <w:rPr>
          <w:rFonts w:ascii="Times New Roman" w:hAnsi="Times New Roman" w:cs="Times New Roman"/>
          <w:color w:val="000000" w:themeColor="text1"/>
          <w:lang w:val="en-GB"/>
        </w:rPr>
        <w:t xml:space="preserve">Each PEEP step was set for at least three minutes, and plateau pressure was measured at low PEEP at the end of the manoeuvre. The RI ratio was spirometrically computed, and EIT images were acquired for a subsequent offline analysis of the recruited and inflated volumes. </w:t>
      </w:r>
      <w:bookmarkEnd w:id="5"/>
      <w:r w:rsidRPr="004A0217">
        <w:rPr>
          <w:rFonts w:ascii="Times New Roman" w:hAnsi="Times New Roman" w:cs="Times New Roman"/>
          <w:color w:val="000000" w:themeColor="text1"/>
          <w:lang w:val="en-GB"/>
        </w:rPr>
        <w:t>EIT images and other variables were selected during steady-state conditions for each PEEP level.</w:t>
      </w:r>
    </w:p>
    <w:bookmarkEnd w:id="7"/>
    <w:p w14:paraId="7690875E" w14:textId="41C7A179" w:rsidR="009965D8" w:rsidRPr="004A0217" w:rsidRDefault="009965D8" w:rsidP="009965D8">
      <w:pPr>
        <w:spacing w:after="0" w:line="480" w:lineRule="auto"/>
        <w:jc w:val="both"/>
        <w:rPr>
          <w:rFonts w:ascii="Times New Roman" w:hAnsi="Times New Roman" w:cs="Times New Roman"/>
          <w:color w:val="000000" w:themeColor="text1"/>
          <w:lang w:val="en-GB"/>
        </w:rPr>
      </w:pPr>
    </w:p>
    <w:p w14:paraId="3503FEE3" w14:textId="77777777" w:rsidR="00D21EB7" w:rsidRPr="004A0217" w:rsidRDefault="00D21EB7" w:rsidP="00D21EB7">
      <w:pPr>
        <w:spacing w:after="0" w:line="480" w:lineRule="auto"/>
        <w:jc w:val="both"/>
        <w:rPr>
          <w:rFonts w:ascii="Times New Roman" w:hAnsi="Times New Roman" w:cs="Times New Roman"/>
          <w:i/>
          <w:iCs/>
          <w:color w:val="000000" w:themeColor="text1"/>
          <w:lang w:val="en-GB"/>
        </w:rPr>
      </w:pPr>
      <w:r w:rsidRPr="004A0217">
        <w:rPr>
          <w:rFonts w:ascii="Times New Roman" w:hAnsi="Times New Roman" w:cs="Times New Roman"/>
          <w:i/>
          <w:iCs/>
          <w:color w:val="000000" w:themeColor="text1"/>
          <w:lang w:val="en-GB"/>
        </w:rPr>
        <w:t>Respiratory variables</w:t>
      </w:r>
    </w:p>
    <w:p w14:paraId="755613AB" w14:textId="31B03B46" w:rsidR="00D21EB7" w:rsidRPr="004A0217" w:rsidRDefault="00D21EB7" w:rsidP="00D21EB7">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The </w:t>
      </w:r>
      <w:bookmarkStart w:id="8" w:name="_Hlk187387724"/>
      <w:r w:rsidRPr="004A0217">
        <w:rPr>
          <w:rFonts w:ascii="Times New Roman" w:hAnsi="Times New Roman" w:cs="Times New Roman"/>
          <w:color w:val="000000" w:themeColor="text1"/>
          <w:lang w:val="en-GB"/>
        </w:rPr>
        <w:t xml:space="preserve">end-expiratory transpulmonary pressure </w:t>
      </w:r>
      <w:bookmarkEnd w:id="8"/>
      <w:r w:rsidRPr="004A0217">
        <w:rPr>
          <w:rFonts w:ascii="Times New Roman" w:hAnsi="Times New Roman" w:cs="Times New Roman"/>
          <w:color w:val="000000" w:themeColor="text1"/>
          <w:lang w:val="en-GB"/>
        </w:rPr>
        <w:t xml:space="preserve">(Ppl) was directly calculated by subtracting Pes from PEEP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{"citationID":"9kbLGnNS","properties":{"formattedCitation":"[4]","plainCitation":"[4]","noteIndex":0},"citationItems":[{"id":1634,"uris":["http://zotero.org/users/12178336/items/4GM5WTKY"],"itemData":{"id":1634,"type":"article-journal","abstract":"The importance of chest wall elastance in characterizing acute lung injury/acute respiratory distress syndrome patients and in setting mechanical ventilation is increasingly recognized. Nearly 30% of patients admitted to a general intensive care unit have an abnormal high intra-abdominal pressure (due to ascites, bowel edema, ileus), which leads to an increase in the chest wall elastance. At a given applied airway pressure, the pleural pressure increases according to (in the static condition) the equation: pleural pressure = airway pressure x (chest wall elastance/total respiratory system elastance). Consequently, for a given applied pressure, the increase in pleural pressure implies a decrease in transpulmonary pressure (airway pressure - pleural pressure), which is the distending force of the lung, implies a decrease of the strain and of ventilator-induced lung injury, implies the need to use a higher airway pressure during the recruitment maneuvers to reach a sufficient transpulmonary opening pressure, implies hemodynamic risk due to the reductions in venous return and heart size, and implies a possible increase of lung edema, partially due to the reduced edema clearance. It is always important in the most critically ill patients to assess the intra-abdominal pressure and the chest wall elastance.","container-title":"Critical Care (London, England)","DOI":"10.1186/cc2854","ISSN":"1466-609X","issue":"5","journalAbbreviation":"Crit Care","language":"eng","note":"PMID: 15469597\nPMCID: PMC1065004","page":"350-355","source":"PubMed","title":"Bench-to-bedside review: chest wall elastance in acute lung injury/acute respiratory distress syndrome patients","title-short":"Bench-to-bedside review","volume":"8","author":[{"family":"Gattinoni","given":"Luciano"},{"family":"Chiumello","given":"Davide"},{"family":"Carlesso","given":"Eleondra"},{"family":"Valenza","given":"Franco"}],"issued":{"date-parts":[["2004",10]]}}}],"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[4]</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This estimation of Ppl greatly reflects the dependent lung regions and is, as such, more representative of lung collapse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{"citationID":"nPEILE5w","properties":{"formattedCitation":"[5]","plainCitation":"[5]","noteIndex":0},"citationItems":[{"id":1637,"uris":["http://zotero.org/users/12178336/items/LQFPEPNF"],"itemData":{"id":1637,"type":"article-journal","abstract":"RATIONALE: Esophageal manometry is the clinically available method to estimate pleural pressure, thus enabling calculation of transpulmonary pressure (Pl). However, many concerns make it uncertain in which lung region esophageal manometry reflects local Pl.\nOBJECTIVES: To determine the accuracy of esophageal pressure (Pes) and in which regions esophageal manometry reflects pleural pressure (Ppl) and Pl; to assess whether lung stress in nondependent regions can be estimated at end-inspiration from Pl.\nMETHODS: In lung-injured pigs (n = 6) and human cadavers (n = 3), Pes was measured across a range of positive end-expiratory pressure, together with directly measured Ppl in nondependent and dependent pleural regions. All measurements were obtained with minimal nonstressed volumes in the pleural sensors and esophageal balloons. Expiratory and inspiratory Pl was calculated by subtracting local Ppl or Pes from airway pressure; inspiratory Pl was also estimated by subtracting Ppl (calculated from chest wall and respiratory system elastance) from the airway plateau pressure.\nMEASUREMENTS AND MAIN RESULTS: In pigs and human cadavers, expiratory and inspiratory Pl using Pes closely reflected values in dependent to middle lung (adjacent to the esophagus). Inspiratory Pl estimated from elastance ratio reflected the directly measured nondependent values.\nCONCLUSIONS: These data support the use of esophageal manometry in acute respiratory distress syndrome. Assuming correct calibration, expiratory Pl derived from Pes reflects Pl in dependent to middle lung, where atelectasis usually predominates; inspiratory Pl estimated from elastance ratio may indicate the highest level of lung stress in nondependent \"baby\" lung, where it is vulnerable to ventilator-induced lung injury.","container-title":"American Journal of Respiratory and Critical Care Medicine","DOI":"10.1164/rccm.201709-1806OC","ISSN":"1535-4970","issue":"8","journalAbbreviation":"Am J Respir Crit Care Med","language":"eng","note":"PMID: 29323931","page":"1018-1026","source":"PubMed","title":"Esophageal Manometry and Regional Transpulmonary Pressure in Lung Injury","volume":"197","author":[{"family":"Yoshida","given":"Takeshi"},{"family":"Amato","given":"Marcelo B. P."},{"family":"Grieco","given":"Domenico Luca"},{"family":"Chen","given":"Lu"},{"family":"Lima","given":"Cristhiano A. S."},{"family":"Roldan","given":"Rollin"},{"family":"Morais","given":"Caio C. A."},{"family":"Gomes","given":"Susimeire"},{"family":"Costa","given":"Eduardo L. V."},{"family":"Cardoso","given":"Paulo F. G."},{"family":"Charbonney","given":"Emmanuel"},{"family":"Richard","given":"Jean-Christophe M."},{"family":"Brochard","given":"Laurent"},{"family":"Kavanagh","given":"Brian P."}],"issued":{"date-parts":[["2018",4,15]]}}}],"schema":"https://github.com/citation-style-language/schema/raw/master/csl-citation.json"}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[5]</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Given its importance in promoting the transmission of static respiratory pressures to the intrathoracic and intracranial cavities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{"citationID":"RyxG8qux","properties":{"formattedCitation":"[6, 7]","plainCitation":"[6, 7]","noteIndex":0},"citationItems":[{"id":943,"uris":["http://zotero.org/users/12178336/items/HIDJSVEY"],"itemData":{"id":943,"type":"article-journal","abstract":"BACKGROUND: Respiratory mechanics affects the effect of positive end-expiratory pressure (PEEP) on intracranial pressure (ICP). Respiratory mechanics of the lung and the chest wall was not differentiated in previous studies. In the present study, we investigated the influence of the following possible determinants of ICP responsiveness to PEEP: chest wall elastance (ECW), lung elastance (EL), and baseline ICP.\nMETHODS: Eight healthy Bama miniature pigs were studied. The increase of EL was induced by instillation of hydrochloride, and the increase of ECW was induced by strapping the animals' chest wall and abdomen. A balloon-tipped catheter was placed intracranially for inducing intracranial hypertension. Six experimental conditions were investigated in sequence: 1) Normal; 2) Stiff Chest Wall; 3) Lung Injury; 4) Lung Injury + Stiff Chest Wall; 5) Lung Injury + Stiff Chest Wall + Intracranial Hypertension and 6) Lung Injury + Intracranial Hypertension. PEEP was gradually increased in a 5 cm H2O interval from 5 to 25 cm H2O in each condition. Blood pressure, central venous pressure, ICP, airway pressure and esophageal pressure were measured.\nRESULTS: Hydrochloride instillation significantly increased EL in conditions with lung injury. ECW significantly increased in the conditions with chest wall and abdomen strapping (all p &lt;  0.05). ICP significantly increased with increments of PEEP in all non-intracranial hypertension conditions (p &lt;  0.001). The greatest cumulative increase in ICP was observed in the Stiff Chest Wall condition (6 [5.3, 6.8] mm Hg), while the lowest cumulative increase in ICP was observed in the Lung Injury condition (2 [1.3, 3.8] mm Hg). ICP significantly decreased when PEEP was increased in the intracranial hypertension conditions (p &lt;  0.001). There was no significant difference in cumulative ICP change between the two intracranial hypertension conditions (p = 0.924).\nCONCLUSIONS: Different respiratory mechanics models can be established via hydrochloride induced lung injury and chest wall and abdominal strapping. The effect of PEEP on ICP is determined by respiratory mechanics in pigs with normal ICP. However, the responsiveness of ICP to PEEP is independent of respiratory mechanics when there is intracranial hypertension.","container-title":"BMC neurology","DOI":"10.1186/s12883-018-1191-4","ISSN":"1471-2377","issue":"1","journalAbbreviation":"BMC Neurol","language":"eng","note":"PMID: 30396336\nPMCID: PMC6217765","page":"183","source":"PubMed","title":"Intracranial pressure responsiveness to positive end-expiratory pressure in different respiratory mechanics: a preliminary experimental study in pigs","title-short":"Intracranial pressure responsiveness to positive end-expiratory pressure in different respiratory mechanics","volume":"18","author":[{"family":"Chen","given":"Han"},{"family":"Zhou","given":"Jing"},{"family":"Lin","given":"Yi-Qin"},{"family":"Zhou","given":"Jian-Xin"},{"family":"Yu","given":"Rong-Guo"}],"issued":{"date-parts":[["2018",11,5]]}}},{"id":947,"uris":["http://zotero.org/users/12178336/items/TXTLHZ46"],"itemData":{"id":947,"type":"article-journal","abstract":"Respiratory system elastance (ERS) is an important determinant of the responsiveness of intracranial pressure (ICP) to positive end-expiratory pressure (PEEP). However, lung elastance (EL) and chest wall elastance (ECW) were not differentiated in previous studies. We tested the hypothesis that patients with high ECW or a high ECW/ERS ratio have greater ICP responsiveness to PEEP. An esophageal balloon catheter was placed to measure esophageal pressure. PEEP was increased from 5 to 15 cmH2O. Airway pressure and esophageal pressure were measured and EL, ECW and ERS were calculated at the two PEEP levels. Patients were classified into either an ICP responder group or a non-responder group based on whether the change of ICP after PEEP adjustment was greater than or less than the median of the overall study population. The magnitude of the increase in esophageal pressure (median [interquartile range]) at end-expiratory occlusion was significantly increased in the responder group compared with that in the non-responder group (4.1 [2.7–4.1] versus 2.7 [0.0–2.7] cmH2O, p = 0.033) after PEEP adjustment. ECW and the ECW/ERS ratio were significantly higher in ICP responders than in non-responders at both low PEEP (p = 0.021 and 0.017) and high PEEP (p = 0.011 and 0.025) levels. No significant differences in ERS and EL were noted between the two groups at both PEEP levels. Patients with greater ICP responsiveness to increased PEEP exhibit higher ECW and a higher ECW/ERS ratio, suggesting the importance of ECW monitoring.","container-title":"BMC Neurology","DOI":"10.1186/s12883-018-1132-2","ISSN":"1471-2377","issue":"1","journalAbbreviation":"BMC Neurol","language":"en","license":"2018 The Author(s).","note":"number: 1\npublisher: BioMed Central","page":"1-8","source":"bmcneurol-biomedcentral-com.ezproxy.its.uu.se","title":"Intracranial pressure responsiveness to positive end-expiratory pressure is influenced by chest wall elastance: a physiological study in patients with aneurysmal subarachnoid hemorrhage","title-short":"Intracranial pressure responsiveness to positive end-expiratory pressure is influenced by chest wall elastance","volume":"18","author":[{"family":"Chen","given":"Han"},{"family":"Chen","given":"Kai"},{"family":"Xu","given":"Jing-Qing"},{"family":"Zhang","given":"Ying-Rui"},{"family":"Yu","given":"Rong-Guo"},{"family":"Zhou","given":"Jian-Xin"}],"issued":{"date-parts":[["2018",12]]}}}],"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[6, 7]</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chest wall elastance and its ratio to respiratory system elastance (E</w:t>
      </w:r>
      <w:r w:rsidRPr="004A0217">
        <w:rPr>
          <w:rFonts w:ascii="Times New Roman" w:hAnsi="Times New Roman" w:cs="Times New Roman"/>
          <w:color w:val="000000" w:themeColor="text1"/>
          <w:vertAlign w:val="subscript"/>
          <w:lang w:val="en-GB"/>
        </w:rPr>
        <w:t>CW</w:t>
      </w:r>
      <w:r w:rsidRPr="004A0217">
        <w:rPr>
          <w:rFonts w:ascii="Times New Roman" w:hAnsi="Times New Roman" w:cs="Times New Roman"/>
          <w:color w:val="000000" w:themeColor="text1"/>
          <w:lang w:val="en-GB"/>
        </w:rPr>
        <w:t>/E</w:t>
      </w:r>
      <w:r w:rsidRPr="004A0217">
        <w:rPr>
          <w:rFonts w:ascii="Times New Roman" w:hAnsi="Times New Roman" w:cs="Times New Roman"/>
          <w:color w:val="000000" w:themeColor="text1"/>
          <w:vertAlign w:val="subscript"/>
          <w:lang w:val="en-GB"/>
        </w:rPr>
        <w:t>RS</w:t>
      </w:r>
      <w:r w:rsidRPr="004A0217">
        <w:rPr>
          <w:rFonts w:ascii="Times New Roman" w:hAnsi="Times New Roman" w:cs="Times New Roman"/>
          <w:color w:val="000000" w:themeColor="text1"/>
          <w:lang w:val="en-GB"/>
        </w:rPr>
        <w:t>), as well as lung elastance (E</w:t>
      </w:r>
      <w:r w:rsidRPr="004A0217">
        <w:rPr>
          <w:rFonts w:ascii="Times New Roman" w:hAnsi="Times New Roman" w:cs="Times New Roman"/>
          <w:color w:val="000000" w:themeColor="text1"/>
          <w:vertAlign w:val="subscript"/>
          <w:lang w:val="en-GB"/>
        </w:rPr>
        <w:t>L</w:t>
      </w:r>
      <w:r w:rsidRPr="004A0217">
        <w:rPr>
          <w:rFonts w:ascii="Times New Roman" w:hAnsi="Times New Roman" w:cs="Times New Roman"/>
          <w:color w:val="000000" w:themeColor="text1"/>
          <w:lang w:val="en-GB"/>
        </w:rPr>
        <w:t>) where E</w:t>
      </w:r>
      <w:r w:rsidRPr="004A0217">
        <w:rPr>
          <w:rFonts w:ascii="Times New Roman" w:hAnsi="Times New Roman" w:cs="Times New Roman"/>
          <w:color w:val="000000" w:themeColor="text1"/>
          <w:vertAlign w:val="subscript"/>
          <w:lang w:val="en-GB"/>
        </w:rPr>
        <w:t>RS</w:t>
      </w:r>
      <w:r w:rsidRPr="004A0217">
        <w:rPr>
          <w:rFonts w:ascii="Times New Roman" w:hAnsi="Times New Roman" w:cs="Times New Roman"/>
          <w:color w:val="000000" w:themeColor="text1"/>
          <w:lang w:val="en-GB"/>
        </w:rPr>
        <w:t xml:space="preserve"> = E</w:t>
      </w:r>
      <w:r w:rsidRPr="004A0217">
        <w:rPr>
          <w:rFonts w:ascii="Times New Roman" w:hAnsi="Times New Roman" w:cs="Times New Roman"/>
          <w:color w:val="000000" w:themeColor="text1"/>
          <w:vertAlign w:val="subscript"/>
          <w:lang w:val="en-GB"/>
        </w:rPr>
        <w:t>CW</w:t>
      </w:r>
      <w:r w:rsidRPr="004A0217">
        <w:rPr>
          <w:rFonts w:ascii="Times New Roman" w:hAnsi="Times New Roman" w:cs="Times New Roman"/>
          <w:color w:val="000000" w:themeColor="text1"/>
          <w:lang w:val="en-GB"/>
        </w:rPr>
        <w:t>+E</w:t>
      </w:r>
      <w:r w:rsidRPr="004A0217">
        <w:rPr>
          <w:rFonts w:ascii="Times New Roman" w:hAnsi="Times New Roman" w:cs="Times New Roman"/>
          <w:color w:val="000000" w:themeColor="text1"/>
          <w:vertAlign w:val="subscript"/>
          <w:lang w:val="en-GB"/>
        </w:rPr>
        <w:t>L</w:t>
      </w:r>
      <w:r w:rsidRPr="004A0217">
        <w:rPr>
          <w:rFonts w:ascii="Times New Roman" w:hAnsi="Times New Roman" w:cs="Times New Roman"/>
          <w:color w:val="000000" w:themeColor="text1"/>
          <w:lang w:val="en-GB"/>
        </w:rPr>
        <w:t xml:space="preserve">, were calculated. Given its clinical impact in mechanically ventilated patients with ABI </w:t>
      </w:r>
      <w:r w:rsidRPr="004A0217">
        <w:rPr>
          <w:rFonts w:ascii="Times New Roman" w:hAnsi="Times New Roman" w:cs="Times New Roman"/>
          <w:color w:val="000000" w:themeColor="text1"/>
          <w:lang w:val="en-GB"/>
        </w:rPr>
        <w:fldChar w:fldCharType="begin"/>
      </w:r>
      <w:r w:rsidRPr="004A0217">
        <w:rPr>
          <w:rFonts w:ascii="Times New Roman" w:hAnsi="Times New Roman" w:cs="Times New Roman"/>
          <w:color w:val="000000" w:themeColor="text1"/>
          <w:lang w:val="en-GB"/>
        </w:rPr>
        <w:instrText xml:space="preserve"> ADDIN ZOTERO_ITEM CSL_CITATION {"citationID":"DqEyItr5","properties":{"formattedCitation":"[8]","plainCitation":"[8]","noteIndex":0},"citationItems":[{"id":1632,"uris":["http://zotero.org/users/12178336/items/ZB2KTD6N"],"itemData":{"id":1632,"type":"article-journal","abstract":"There is insufficient evidence to guide ventilatory targets in acute brain injury (ABI). Recent studies have shown associations between mechanical power (MP) and mortality in critical care populations. We aimed to describe MP in ventilated patients with ABI, and evaluate associations between MP and clinical outcomes. In this preplanned, secondary analysis of a prospective, multi-center, observational cohort study (ENIO, NCT03400904), we included adult patients with ABI (Glasgow Coma Scale ≤ 12 before intubation) who required mechanical ventilation (MV) ≥ 24 h. Using multivariable log binomial regressions, we separately assessed associations between MP on hospital day (HD)1, HD3, HD7 and clinical outcomes: hospital mortality, need for reintubation, tracheostomy placement, and development of acute respiratory distress syndrome (ARDS). We included 1217 patients (mean age 51.2 years [SD 18.1], 66% male, mean body mass index [BMI] 26.3 [SD 5.18]) hospitalized at 62 intensive care units in 18 countries. Hospital mortality was 11% (n = 139), 44% (n = 536) were extubated by HD7 of which 20% (107/536) required reintubation, 28% (n = 340) underwent tracheostomy placement, and 9% (n = 114) developed ARDS. The median MP on HD1, HD3, and HD7 was 11.9 J/min [IQR 9.2–15.1], 13 J/min [IQR 10–17], and 14 J/min [IQR 11–20], respectively. MP was overall higher in patients with ARDS, especially those with higher ARDS severity. After controlling for same-day pressure of arterial oxygen/fraction of inspired oxygen (P/F ratio), BMI, and neurological severity, MP at HD1, HD3, and HD7 was independently associated with hospital mortality, reintubation and tracheostomy placement. The adjusted relative risk (aRR) was greater at higher MP, and strongest for: mortality on HD1 (compared to the HD1 median MP 11.9 J/min, aRR at 17 J/min was 1.22, 95% CI 1.14–1.30) and HD3 (1.38, 95% CI 1.23–1.53), reintubation on HD1 (1.64; 95% CI 1.57–1.72), and tracheostomy on HD7 (1.53; 95%CI 1.18–1.99). MP was associated with the development of moderate-severe ARDS on HD1 (2.07; 95% CI 1.56–2.78) and HD3 (1.76; 95% CI 1.41–2.22). Exposure to high MP during the first week of MV is associated with poor clinical outcomes in ABI, independent of P/F ratio and neurological severity. Potential benefits of optimizing ventilator settings to limit MP warrant further investigation.","container-title":"Critical Care","DOI":"10.1186/s13054-023-04410-z","ISSN":"1364-8535","issue":"1","journalAbbreviation":"Crit Care","language":"en","license":"2023 The Author(s)","note":"number: 1\npublisher: BioMed Central","page":"1-16","source":"ccforum-biomedcentral-com.ezproxy.its.uu.se","title":"Utilization of mechanical power and associations with clinical outcomes in brain injured patients: a secondary analysis of the extubation strategies in neuro-intensive care unit patients and associations with outcome (ENIO) trial","title-short":"Utilization of mechanical power and associations with clinical outcomes in brain injured patients","volume":"27","author":[{"family":"Wahlster","given":"Sarah"},{"family":"Sharma","given":"Monisha"},{"family":"Taran","given":"Shaurya"},{"family":"Town","given":"James A."},{"family":"Stevens","given":"Robert D."},{"family":"Cinotti","given":"Raphaël"},{"family":"Asehoune","given":"Karim"},{"family":"Pelosi","given":"Paolo"},{"family":"Robba","given":"Chiara"}],"issued":{"date-parts":[["2023",12]]}}}],"schema":"https://github.com/citation-style-language/schema/raw/master/csl-citation.json"} </w:instrText>
      </w:r>
      <w:r w:rsidRPr="004A0217">
        <w:rPr>
          <w:rFonts w:ascii="Times New Roman" w:hAnsi="Times New Roman" w:cs="Times New Roman"/>
          <w:color w:val="000000" w:themeColor="text1"/>
          <w:lang w:val="en-GB"/>
        </w:rPr>
        <w:fldChar w:fldCharType="separate"/>
      </w:r>
      <w:r w:rsidRPr="004A0217">
        <w:rPr>
          <w:rFonts w:ascii="Times New Roman" w:hAnsi="Times New Roman" w:cs="Times New Roman"/>
          <w:color w:val="000000" w:themeColor="text1"/>
        </w:rPr>
        <w:t>[8]</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mechanical power was calculated as in </w:t>
      </w:r>
      <w:proofErr w:type="spellStart"/>
      <w:r w:rsidRPr="004A0217">
        <w:rPr>
          <w:rFonts w:ascii="Times New Roman" w:hAnsi="Times New Roman" w:cs="Times New Roman"/>
          <w:color w:val="000000" w:themeColor="text1"/>
          <w:lang w:val="en-GB"/>
        </w:rPr>
        <w:t>Gattinoni</w:t>
      </w:r>
      <w:proofErr w:type="spellEnd"/>
      <w:r w:rsidRPr="004A0217">
        <w:rPr>
          <w:rFonts w:ascii="Times New Roman" w:hAnsi="Times New Roman" w:cs="Times New Roman"/>
          <w:color w:val="000000" w:themeColor="text1"/>
          <w:lang w:val="en-GB"/>
        </w:rPr>
        <w:t xml:space="preserve"> et al.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{"citationID":"2lqvmhzX","properties":{"formattedCitation":"[9]","plainCitation":"[9]","noteIndex":0},"citationItems":[{"id":466,"uris":["http://zotero.org/users/12178336/items/9ZP2TN7K"],"itemData":{"id":466,"type":"article-journal","abstract":"We hypothesized that the ventilator-related causes of lung injury may be unified in a single variable: the mechanical power. We assessed whether the mechanical power measured by the pressure–volume loops can be computed from its components: tidal volume (TV)/driving pressure (∆Paw), flow, positive end-expiratory pressure (PEEP), and respiratory rate (RR). If so, the relative contributions of each variable to the mechanical power can be estimated.","container-title":"Intensive Care Medicine","DOI":"10.1007/s00134-016-4505-2","ISSN":"1432-1238","issue":"10","journalAbbreviation":"Intensive Care Med","language":"en","page":"1567-1575","source":"Springer Link","title":"Ventilator-related causes of lung injury: the mechanical power","title-short":"Ventilator-related causes of lung injury","volume":"42","author":[{"family":"Gattinoni","given":"L."},{"family":"Tonetti","given":"T."},{"family":"Cressoni","given":"M."},{"family":"Cadringher","given":"P."},{"family":"Herrmann","given":"P."},{"family":"Moerer","given":"O."},{"family":"Protti","given":"A."},{"family":"Gotti","given":"M."},{"family":"Chiurazzi","given":"C."},{"family":"Carlesso","given":"E."},{"family":"Chiumello","given":"D."},{"family":"Quintel","given":"M."}],"issued":{"date-parts":[["2016",10,1]]}}}],"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[9]</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w:t>
      </w:r>
    </w:p>
    <w:p w14:paraId="023D72B9" w14:textId="77777777" w:rsidR="00D21EB7" w:rsidRPr="004A0217" w:rsidRDefault="00D21EB7" w:rsidP="00D21EB7">
      <w:pPr>
        <w:spacing w:after="0" w:line="480" w:lineRule="auto"/>
        <w:jc w:val="both"/>
        <w:rPr>
          <w:rFonts w:ascii="Times New Roman" w:hAnsi="Times New Roman" w:cs="Times New Roman"/>
          <w:color w:val="000000" w:themeColor="text1"/>
          <w:lang w:val="en-GB"/>
        </w:rPr>
      </w:pPr>
    </w:p>
    <w:p w14:paraId="0A66D064" w14:textId="77777777" w:rsidR="00D21EB7" w:rsidRPr="004A0217" w:rsidRDefault="00D21EB7" w:rsidP="00D21EB7">
      <w:pPr>
        <w:spacing w:after="0" w:line="480" w:lineRule="auto"/>
        <w:jc w:val="both"/>
        <w:rPr>
          <w:rFonts w:ascii="Times New Roman" w:hAnsi="Times New Roman" w:cs="Times New Roman"/>
          <w:i/>
          <w:iCs/>
          <w:color w:val="000000" w:themeColor="text1"/>
          <w:lang w:val="en-GB"/>
        </w:rPr>
      </w:pPr>
      <w:r w:rsidRPr="004A0217">
        <w:rPr>
          <w:rFonts w:ascii="Times New Roman" w:hAnsi="Times New Roman" w:cs="Times New Roman"/>
          <w:i/>
          <w:iCs/>
          <w:color w:val="000000" w:themeColor="text1"/>
          <w:lang w:val="en-GB"/>
        </w:rPr>
        <w:t>Neuromonitoring variables</w:t>
      </w:r>
    </w:p>
    <w:p w14:paraId="2555541D" w14:textId="50EB4685" w:rsidR="00D21EB7" w:rsidRPr="004A0217" w:rsidRDefault="00D21EB7" w:rsidP="00D21EB7">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Cerebral perfusion pressure (CPP) was calculated by subtracting ICP from mean arterial pressure (MAP). The pressure reactivity index (</w:t>
      </w:r>
      <w:proofErr w:type="spellStart"/>
      <w:r w:rsidRPr="004A0217">
        <w:rPr>
          <w:rFonts w:ascii="Times New Roman" w:hAnsi="Times New Roman" w:cs="Times New Roman"/>
          <w:color w:val="000000" w:themeColor="text1"/>
          <w:lang w:val="en-GB"/>
        </w:rPr>
        <w:t>PRx</w:t>
      </w:r>
      <w:proofErr w:type="spellEnd"/>
      <w:r w:rsidRPr="004A0217">
        <w:rPr>
          <w:rFonts w:ascii="Times New Roman" w:hAnsi="Times New Roman" w:cs="Times New Roman"/>
          <w:color w:val="000000" w:themeColor="text1"/>
          <w:lang w:val="en-GB"/>
        </w:rPr>
        <w:t xml:space="preserve">), an indicator for cerebral autoregulation, was calculated as previously described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{"citationID":"fEAatgB3","properties":{"formattedCitation":"[10]","plainCitation":"[10]","noteIndex":0},"citationItems":[{"id":887,"uris":["http://zotero.org/users/12178336/items/Q399HNSV"],"itemData":{"id":887,"type":"article-journal","abstract":"OBJECTIVE: \n          Cerebrovascular vasomotor reactivity reflects changes in smooth muscle tone in the arterial wall in response to changes in transmural pressure or the concentration of carbon dioxide in blood. We investigated whether slow waves in arterial blood pressure (ABP) and intracranial pressure (ICP) may be used to derive an index that reflects the reactivity of vessels to changes in ABP.\n          METHODS: \n          A method for the continuous monitoring of the association between slow spontaneous waves in ICP and arterial pressure was adopted in a group of 82 patients with head injuries. ABP, ICP, and transcranial doppler blood flow velocity in the middle cerebral artery was recorded daily (20- to 120-min time periods). A Pressure-Reactivity Index (PRx) was calculated as a moving correlation coefficient between 40 consecutive samples of values for ICP and ABP averaged for a period of 5 seconds. A moving correlation coefficient(Mean Index) between spontaneous fluctuations of mean flow velocity and cerebral perfusion pressure, which was previously reported to describe cerebral blood flow autoregulation, was also calculated.\n          RESULTS: \n          A positive PRx correlated with high ICP (r = 0.366;P &lt; 0.001), low admission Glasgow Coma Scale score (r = 0.29; P &lt; 0.01), and poor outcome at 6 months after injury(r = 0.48; P &lt; 0.00001). During the first 2 days after injury, PRx was positive (P &lt; 0.05), although only in patients with unfavorable outcomes. The correlation between PRx and Mean Index(r = 0.63) was highly significant (P &lt; 0.000001).\n          CONCLUSION: \n          Computer analysis of slow waves in ABP and ICP is able to provide a continuous index of cerebrovascular reactivity to changes in arterial pressure, which is of prognostic significance.","container-title":"Neurosurgery","ISSN":"0148-396X","issue":"1","language":"en-US","page":"11","source":"journals-lww-com.ezproxy.its.uu.se","title":"Continuous Assessment of the Cerebral Vasomotor Reactivity in Head Injury","volume":"41","author":[{"family":"Czosnyka","given":"Marek"},{"family":"Smielewski","given":"Piotr"},{"family":"Kirkpatrick","given":"Peter"},{"family":"Laing","given":"Rodney J."},{"family":"Menon","given":"David"},{"family":"Pickard","given":"John D."}],"issued":{"date-parts":[["1997",7]]}}}],"schema":"https://github.com/citation-style-language/schema/raw/master/csl-citation.json"}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[10]</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a moving correlation coefficient between MAP and ICP averaged over 10 s, using a 5-minute moving time window. Therefore, the values collected during a time interval of 1 hour before protocol start were averaged. A </w:t>
      </w:r>
      <w:proofErr w:type="spellStart"/>
      <w:r w:rsidRPr="004A0217">
        <w:rPr>
          <w:rFonts w:ascii="Times New Roman" w:hAnsi="Times New Roman" w:cs="Times New Roman"/>
          <w:color w:val="000000" w:themeColor="text1"/>
          <w:lang w:val="en-GB"/>
        </w:rPr>
        <w:t>PRx</w:t>
      </w:r>
      <w:proofErr w:type="spellEnd"/>
      <w:r w:rsidRPr="004A0217">
        <w:rPr>
          <w:rFonts w:ascii="Times New Roman" w:hAnsi="Times New Roman" w:cs="Times New Roman"/>
          <w:color w:val="000000" w:themeColor="text1"/>
          <w:lang w:val="en-GB"/>
        </w:rPr>
        <w:t xml:space="preserve"> value higher than 0.2 reflects poor cerebral autoregulation. The ICP pulse waveform analysis in the time domain was conducted to identify the second peak (P2), also called the tidal wave of the ICP curve, which is a proxy for intracranial compliance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{"citationID":"2QuPIFVL","properties":{"formattedCitation":"[11]","plainCitation":"[11]","noteIndex":0},"citationItems":[{"id":898,"uris":["http://zotero.org/users/12178336/items/4JIZ7BGL"],"itemData":{"id":898,"type":"article-journal","abstract":"Background\nInvasive intracranial pressure (ICP) monitoring is a standard practice in severe brain injury cases, where it allows to derive cerebral perfusion pressure (CPP); ICP-tracing can also provide additional information about intracranial dynamics, forecast episodes of intracranial hypertension and set targets for a tailored therapy to prevent secondary brain injury. Nevertheless, controversies about the advantages of an ICP clinical management are still debated.\n\nFindings\nThis article reviews recent research on ICP to improve the understanding of the topic and uncover the hidden information in this signal that may be useful in clinical practice. Parameters derived from time-domain as well as frequency domain analysis include compensatory reserve, autoregulation estimation, pulse waveform analysis, and behavior of ICP in time. The possibility to predict the outcome and apply a tailored therapy using a personalised perfusion pressure target is also described.\n\nConclusions\nICP is a crucial signal to monitor in severely brain injured patients; a bedside computer can empower standard monitoring giving new metrics that may aid in clinical management, establish a personalized therapy, and help to predict the outcome. Continuous collaboration between engineers and clinicians and application of new technologies to healthcare, is vital to improve the accuracy of current metrics and progress towards better care with individualized dynamic targets.","container-title":"Journal of Anesthesia, Analgesia and Critical Care","DOI":"10.1186/s44158-023-00115-5","ISSN":"2731-3786","journalAbbreviation":"J Anesth Analg Crit Care","note":"PMID: 37670387\nPMCID: PMC10481563","page":"31","source":"PubMed Central","title":"Intracranial pressure for clinicians: it is not just a number","title-short":"Intracranial pressure for clinicians","volume":"3","author":[{"family":"Cucciolini","given":"Giada"},{"family":"Motroni","given":"Virginia"},{"family":"Czosnyka","given":"Marek"}],"issued":{"date-parts":[["2023",9,5]]}}}],"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[11]</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w:t>
      </w:r>
    </w:p>
    <w:p w14:paraId="5588A774" w14:textId="77777777" w:rsidR="00D21EB7" w:rsidRPr="004A0217" w:rsidRDefault="00D21EB7" w:rsidP="00D21EB7">
      <w:pPr>
        <w:spacing w:after="0" w:line="480" w:lineRule="auto"/>
        <w:jc w:val="both"/>
        <w:rPr>
          <w:rFonts w:ascii="Times New Roman" w:hAnsi="Times New Roman" w:cs="Times New Roman"/>
          <w:color w:val="000000" w:themeColor="text1"/>
          <w:lang w:val="en-GB"/>
        </w:rPr>
      </w:pPr>
    </w:p>
    <w:p w14:paraId="768CF04E" w14:textId="77777777" w:rsidR="00D21EB7" w:rsidRPr="004A0217" w:rsidRDefault="00D21EB7" w:rsidP="00D21EB7">
      <w:pPr>
        <w:spacing w:after="0" w:line="480" w:lineRule="auto"/>
        <w:jc w:val="both"/>
        <w:rPr>
          <w:rFonts w:ascii="Times New Roman" w:hAnsi="Times New Roman" w:cs="Times New Roman"/>
          <w:i/>
          <w:iCs/>
          <w:color w:val="000000" w:themeColor="text1"/>
          <w:lang w:val="en-GB"/>
        </w:rPr>
      </w:pPr>
      <w:r w:rsidRPr="004A0217">
        <w:rPr>
          <w:rFonts w:ascii="Times New Roman" w:hAnsi="Times New Roman" w:cs="Times New Roman"/>
          <w:i/>
          <w:iCs/>
          <w:color w:val="000000" w:themeColor="text1"/>
          <w:lang w:val="en-GB"/>
        </w:rPr>
        <w:t>Hemodynamics and other variables</w:t>
      </w:r>
    </w:p>
    <w:p w14:paraId="17EBDCB8" w14:textId="337F87BA" w:rsidR="00D21EB7" w:rsidRPr="004A0217" w:rsidRDefault="00D21EB7" w:rsidP="00D21EB7">
      <w:pPr>
        <w:spacing w:after="0" w:line="480" w:lineRule="auto"/>
        <w:jc w:val="both"/>
        <w:rPr>
          <w:rFonts w:ascii="Times New Roman" w:hAnsi="Times New Roman" w:cs="Times New Roman"/>
          <w:strike/>
          <w:color w:val="000000" w:themeColor="text1"/>
          <w:lang w:val="en-GB"/>
        </w:rPr>
      </w:pPr>
      <w:r w:rsidRPr="004A0217">
        <w:rPr>
          <w:rFonts w:ascii="Times New Roman" w:hAnsi="Times New Roman" w:cs="Times New Roman"/>
          <w:color w:val="000000" w:themeColor="text1"/>
          <w:lang w:val="en-GB"/>
        </w:rPr>
        <w:t>MAP was calculated as the sum between 1/3(systolic blood pressure) and 2/3(diastolic blood pressure). Arterial and central venous blood samples were collected three times during the protocol: 1) at least five minutes after the lung recruitment manoeuvre, 2) at high PEEP, and 3) at low PEEP during RI manoeuvre. Based on blood gas analysis, the ventilatory ratio, estimating the dead space fraction, was calculated as: (minute ventilation [ml/min] × PaCO</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 xml:space="preserve"> [mm Hg]) / (PBW × 100 [ml/min] × 37.5 [mm Hg])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{"citationID":"A0Q6z0VP","properties":{"formattedCitation":"[12]","plainCitation":"[12]","noteIndex":0},"citationItems":[{"id":827,"uris":["http://zotero.org/users/12178336/items/B4YTXD2U"],"itemData":{"id":827,"type":"article-journal","abstract":"RATIONALE: Pulmonary dead space fraction (Vd/Vt) is an independent predictor of mortality in acute respiratory distress syndrome (ARDS). Yet, it is seldom used in practice. The ventilatory ratio is a simple bedside index that can be calculated using routinely measured respiratory variables and is a measure of impaired ventilation. Ventilatory ratio is defined as [minute ventilation (ml/min) × PaCO2 (mm Hg)]/(predicted body weight × 100 × 37.5).\nOBJECTIVES: To determine the relation of ventilatory ratio with Vd/Vt in ARDS.\nMETHODS: First, in a single-center, prospective observational study of ARDS, we tested the association of Vd/Vt with ventilatory ratio. With in-hospital mortality as the primary outcome and ventilator-free days as the secondary outcome, we tested the role of ventilatory ratio as an outcome predictor. The findings from this study were further verified in secondary analyses of two NHLBI ARDS Network randomized controlled trials.\nMEASUREMENTS AND MAIN RESULTS: Ventilatory ratio positively correlated with Vd/Vt. Ordinal groups of ventilatory ratio had significantly higher Vd/Vt. Ventilatory ratio was independently associated with increased risk of mortality after adjusting for PaO2/FiO2, and positive end-expiratory pressure (odds ratio, 1.51; P = 0.024) and after adjusting for Acute Physiologic Assessment and Chronic Health Evaluation II score (odds ratio, 1.59; P = 0.04). These findings were further replicated in secondary analyses of two separate NHLBI randomized controlled trials.\nCONCLUSIONS: Ventilatory ratio correlates well with Vd/Vt in ARDS, and higher values at baseline are associated with increased risk of adverse outcomes. These results are promising for the use of ventilatory ratio as a simple bedside index of impaired ventilation in ARDS.","container-title":"American Journal of Respiratory and Critical Care Medicine","DOI":"10.1164/rccm.201804-0692OC","ISSN":"1535-4970","issue":"3","journalAbbreviation":"Am J Respir Crit Care Med","language":"eng","note":"PMID: 30211618\nPMCID: PMC6363976","page":"333-341","source":"PubMed","title":"Physiologic Analysis and Clinical Performance of the Ventilatory Ratio in Acute Respiratory Distress Syndrome","volume":"199","author":[{"family":"Sinha","given":"Pratik"},{"family":"Calfee","given":"Carolyn S."},{"family":"Beitler","given":"Jeremy R."},{"family":"Soni","given":"Neil"},{"family":"Ho","given":"Kelly"},{"family":"Matthay","given":"Michael A."},{"family":"Kallet","given":"Richard H."}],"issued":{"date-parts":[["2019",2,1]]}}}],"schema":"https://github.com/citation-style-language/schema/raw/master/csl-citation.json"}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[12]</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The shunt fraction was estimated based on the venous admixture determination, considering the central venous oxygen saturation as an acceptable surrogate for mixed venous oxygen saturation and assuming the respiratory ratio equal to 0.8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{"citationID":"gPxOZxds","properties":{"formattedCitation":"[13]","plainCitation":"[13]","noteIndex":0},"citationItems":[{"id":1026,"uris":["http://zotero.org/users/12178336/items/ACZAGHP4"],"itemData":{"id":1026,"type":"article-journal","abstract":"To estimate the value of central venous blood as representative of real changes in pulmonary shunt (Qsp/Qt), mixed venous oxygen saturation and arteriovenous oxygen content difference [C(a-v)O2] during active phases of adult intensive care therapy, 86 blood samples were withdrawn from 42 patients as quadruple simultaneous collections from systemic artery, pulmonary artery (PA), superior caval vein (CV) and right atrium (RA). We found a significant positive correlation of the measured variables and especially of the subsequent changes of these variables in individual patients between PA blood samples and both CV and RA blood samples (p less than 0.001). We, therefore, conclude that a central venous catheter can replace the PA catheter to collect blood representative of mixed venous blood samples for the above purposes. However, the exact numerical value of mixed venous blood samples can only be measured from blood collected from the PA itself.","container-title":"Critical Care Medicine","DOI":"10.1097/00003246-198211000-00012","ISSN":"0090-3493","issue":"11","journalAbbreviation":"Crit Care Med","language":"eng","note":"PMID: 7140317","page":"758-761","source":"PubMed","title":"Can central venous blood replace mixed venous blood samples?","volume":"10","author":[{"family":"Tahvanainen","given":"J."},{"family":"Meretoja","given":"O."},{"family":"Nikki","given":"P."}],"issued":{"date-parts":[["1982",11]]}}}],"schema":"https://github.com/citation-style-language/schema/raw/master/csl-citation.json"}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[13]</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w:t>
      </w:r>
    </w:p>
    <w:p w14:paraId="4E7F4666" w14:textId="77777777" w:rsidR="00D21EB7" w:rsidRPr="004A0217" w:rsidRDefault="00D21EB7" w:rsidP="00D21EB7">
      <w:pPr>
        <w:spacing w:after="0" w:line="480" w:lineRule="auto"/>
        <w:jc w:val="both"/>
        <w:rPr>
          <w:rFonts w:ascii="Times New Roman" w:hAnsi="Times New Roman" w:cs="Times New Roman"/>
          <w:color w:val="000000" w:themeColor="text1"/>
          <w:lang w:val="en-GB"/>
        </w:rPr>
      </w:pPr>
    </w:p>
    <w:p w14:paraId="03BCA2CE" w14:textId="77777777" w:rsidR="00D21EB7" w:rsidRPr="004A0217" w:rsidRDefault="00D21EB7" w:rsidP="00D21EB7">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Figure 1 provides a schematic representation of the protocol.</w:t>
      </w:r>
    </w:p>
    <w:p w14:paraId="228A7700" w14:textId="77777777" w:rsidR="00D21EB7" w:rsidRPr="004A0217" w:rsidRDefault="00D21EB7" w:rsidP="009965D8">
      <w:pPr>
        <w:spacing w:after="0" w:line="480" w:lineRule="auto"/>
        <w:jc w:val="both"/>
        <w:rPr>
          <w:rFonts w:ascii="Times New Roman" w:hAnsi="Times New Roman" w:cs="Times New Roman"/>
          <w:color w:val="000000" w:themeColor="text1"/>
          <w:lang w:val="en-GB"/>
        </w:rPr>
      </w:pPr>
    </w:p>
    <w:p w14:paraId="21A6172A" w14:textId="77777777" w:rsidR="009965D8" w:rsidRPr="004A0217" w:rsidRDefault="009965D8" w:rsidP="009965D8">
      <w:pPr>
        <w:spacing w:after="0" w:line="480" w:lineRule="auto"/>
        <w:jc w:val="both"/>
        <w:rPr>
          <w:rFonts w:ascii="Times New Roman" w:eastAsia="Times New Roman" w:hAnsi="Times New Roman" w:cs="Times New Roman"/>
          <w:b/>
          <w:bCs/>
          <w:iCs/>
          <w:color w:val="000000" w:themeColor="text1"/>
          <w:lang w:val="en-GB"/>
        </w:rPr>
      </w:pPr>
      <w:r w:rsidRPr="004A0217">
        <w:rPr>
          <w:rFonts w:ascii="Times New Roman" w:eastAsia="Times New Roman" w:hAnsi="Times New Roman" w:cs="Times New Roman"/>
          <w:b/>
          <w:bCs/>
          <w:iCs/>
          <w:color w:val="000000" w:themeColor="text1"/>
          <w:lang w:val="en-GB"/>
        </w:rPr>
        <w:t xml:space="preserve">Data analysis </w:t>
      </w:r>
    </w:p>
    <w:p w14:paraId="7BD35D07" w14:textId="77777777" w:rsidR="009965D8" w:rsidRPr="004A0217" w:rsidRDefault="009965D8" w:rsidP="009965D8">
      <w:pPr>
        <w:spacing w:after="0" w:line="480" w:lineRule="auto"/>
        <w:jc w:val="both"/>
        <w:rPr>
          <w:rFonts w:ascii="Times New Roman" w:eastAsia="Times New Roman" w:hAnsi="Times New Roman" w:cs="Times New Roman"/>
          <w:iCs/>
          <w:color w:val="000000" w:themeColor="text1"/>
          <w:lang w:val="en-GB"/>
        </w:rPr>
      </w:pPr>
      <w:r w:rsidRPr="004A0217">
        <w:rPr>
          <w:rFonts w:ascii="Times New Roman" w:eastAsia="Times New Roman" w:hAnsi="Times New Roman" w:cs="Times New Roman"/>
          <w:iCs/>
          <w:color w:val="000000" w:themeColor="text1"/>
          <w:lang w:val="en-GB"/>
        </w:rPr>
        <w:t>All ventilation-related data, including lung mechanics recorded from the ventilator (SERVO Tracker, Getinge, Sweden) and the EIT equipment (</w:t>
      </w:r>
      <w:proofErr w:type="spellStart"/>
      <w:r w:rsidRPr="004A0217">
        <w:rPr>
          <w:rFonts w:ascii="Times New Roman" w:eastAsia="Times New Roman" w:hAnsi="Times New Roman" w:cs="Times New Roman"/>
          <w:iCs/>
          <w:color w:val="000000" w:themeColor="text1"/>
          <w:lang w:val="en-GB"/>
        </w:rPr>
        <w:t>Pulmovista</w:t>
      </w:r>
      <w:proofErr w:type="spellEnd"/>
      <w:r w:rsidRPr="004A0217">
        <w:rPr>
          <w:rFonts w:ascii="Times New Roman" w:eastAsia="Times New Roman" w:hAnsi="Times New Roman" w:cs="Times New Roman"/>
          <w:iCs/>
          <w:color w:val="000000" w:themeColor="text1"/>
          <w:lang w:val="en-GB"/>
        </w:rPr>
        <w:t xml:space="preserve"> 500 and </w:t>
      </w:r>
      <w:proofErr w:type="spellStart"/>
      <w:r w:rsidRPr="004A0217">
        <w:rPr>
          <w:rFonts w:ascii="Times New Roman" w:eastAsia="Times New Roman" w:hAnsi="Times New Roman" w:cs="Times New Roman"/>
          <w:iCs/>
          <w:color w:val="000000" w:themeColor="text1"/>
          <w:lang w:val="en-GB"/>
        </w:rPr>
        <w:t>PressurePod</w:t>
      </w:r>
      <w:proofErr w:type="spellEnd"/>
      <w:r w:rsidRPr="004A0217">
        <w:rPr>
          <w:rFonts w:ascii="Times New Roman" w:eastAsia="Times New Roman" w:hAnsi="Times New Roman" w:cs="Times New Roman"/>
          <w:iCs/>
          <w:color w:val="000000" w:themeColor="text1"/>
          <w:lang w:val="en-GB"/>
        </w:rPr>
        <w:t>, Dräger, Germany) as well as the neuromonitoring, the capnography curve and the hemodynamic data collected from the bedside monitors (</w:t>
      </w:r>
      <w:proofErr w:type="spellStart"/>
      <w:r w:rsidRPr="004A0217">
        <w:rPr>
          <w:rFonts w:ascii="Times New Roman" w:eastAsia="Times New Roman" w:hAnsi="Times New Roman" w:cs="Times New Roman"/>
          <w:iCs/>
          <w:color w:val="000000" w:themeColor="text1"/>
          <w:lang w:val="en-GB"/>
        </w:rPr>
        <w:t>IntelliVue</w:t>
      </w:r>
      <w:proofErr w:type="spellEnd"/>
      <w:r w:rsidRPr="004A0217">
        <w:rPr>
          <w:rFonts w:ascii="Times New Roman" w:eastAsia="Times New Roman" w:hAnsi="Times New Roman" w:cs="Times New Roman"/>
          <w:iCs/>
          <w:color w:val="000000" w:themeColor="text1"/>
          <w:lang w:val="en-GB"/>
        </w:rPr>
        <w:t xml:space="preserve"> MX, Philips) were off-line synchronised based on the simultaneous acquisition of the airway pressure curve on all devices. After synchronisation, the final sample rate was 50 Hz. The whole data analysis was performed using custom scripts developed by one of the authors (MP) using the </w:t>
      </w:r>
      <w:proofErr w:type="spellStart"/>
      <w:r w:rsidRPr="004A0217">
        <w:rPr>
          <w:rFonts w:ascii="Times New Roman" w:eastAsia="Times New Roman" w:hAnsi="Times New Roman" w:cs="Times New Roman"/>
          <w:iCs/>
          <w:color w:val="000000" w:themeColor="text1"/>
          <w:lang w:val="en-GB"/>
        </w:rPr>
        <w:t>MatLab</w:t>
      </w:r>
      <w:proofErr w:type="spellEnd"/>
      <w:r w:rsidRPr="004A0217">
        <w:rPr>
          <w:rFonts w:ascii="Times New Roman" w:eastAsia="Times New Roman" w:hAnsi="Times New Roman" w:cs="Times New Roman"/>
          <w:iCs/>
          <w:color w:val="000000" w:themeColor="text1"/>
          <w:lang w:val="en-GB"/>
        </w:rPr>
        <w:t xml:space="preserve"> platform (MATLAB R2023b, </w:t>
      </w:r>
      <w:r w:rsidRPr="004A0217">
        <w:rPr>
          <w:rFonts w:ascii="Times New Roman" w:eastAsia="Times New Roman" w:hAnsi="Times New Roman" w:cs="Times New Roman"/>
          <w:iCs/>
          <w:color w:val="000000" w:themeColor="text1"/>
          <w:lang w:val="en-US"/>
        </w:rPr>
        <w:t>MathWorks, Natick, MA, USA</w:t>
      </w:r>
      <w:r w:rsidRPr="004A0217">
        <w:rPr>
          <w:rFonts w:ascii="Times New Roman" w:eastAsia="Times New Roman" w:hAnsi="Times New Roman" w:cs="Times New Roman"/>
          <w:iCs/>
          <w:color w:val="000000" w:themeColor="text1"/>
          <w:lang w:val="en-GB"/>
        </w:rPr>
        <w:t>).</w:t>
      </w:r>
    </w:p>
    <w:p w14:paraId="76A4CD46" w14:textId="77777777" w:rsidR="009965D8" w:rsidRPr="004A0217" w:rsidRDefault="009965D8" w:rsidP="009965D8">
      <w:pPr>
        <w:spacing w:after="0" w:line="480" w:lineRule="auto"/>
        <w:jc w:val="both"/>
        <w:rPr>
          <w:rFonts w:ascii="Times New Roman" w:eastAsia="Times New Roman" w:hAnsi="Times New Roman" w:cs="Times New Roman"/>
          <w:iCs/>
          <w:color w:val="000000" w:themeColor="text1"/>
          <w:lang w:val="en-GB"/>
        </w:rPr>
      </w:pPr>
    </w:p>
    <w:p w14:paraId="2B6400D3" w14:textId="2D53C80F"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eastAsia="Times New Roman" w:hAnsi="Times New Roman" w:cs="Times New Roman"/>
          <w:b/>
          <w:bCs/>
          <w:i/>
          <w:color w:val="000000" w:themeColor="text1"/>
          <w:u w:val="single"/>
          <w:lang w:val="en-GB"/>
        </w:rPr>
        <w:t>EIT analysis.</w:t>
      </w:r>
      <w:r w:rsidRPr="004A0217">
        <w:rPr>
          <w:rFonts w:ascii="Times New Roman" w:eastAsia="Times New Roman" w:hAnsi="Times New Roman" w:cs="Times New Roman"/>
          <w:i/>
          <w:color w:val="000000" w:themeColor="text1"/>
          <w:u w:val="single"/>
          <w:lang w:val="en-GB"/>
        </w:rPr>
        <w:t xml:space="preserve"> EIT and volume maps derived during the RI ratio manoeuvre</w:t>
      </w:r>
      <w:r w:rsidRPr="004A0217">
        <w:rPr>
          <w:rFonts w:ascii="Times New Roman" w:eastAsia="Times New Roman" w:hAnsi="Times New Roman" w:cs="Times New Roman"/>
          <w:i/>
          <w:color w:val="000000" w:themeColor="text1"/>
          <w:lang w:val="en-GB"/>
        </w:rPr>
        <w:t>.</w:t>
      </w:r>
      <w:r w:rsidRPr="004A0217">
        <w:rPr>
          <w:rFonts w:ascii="Times New Roman" w:eastAsia="Times New Roman" w:hAnsi="Times New Roman" w:cs="Times New Roman"/>
          <w:b/>
          <w:bCs/>
          <w:iCs/>
          <w:color w:val="000000" w:themeColor="text1"/>
          <w:lang w:val="en-GB"/>
        </w:rPr>
        <w:t xml:space="preserve"> </w:t>
      </w:r>
      <w:r w:rsidRPr="004A0217">
        <w:rPr>
          <w:rFonts w:ascii="Times New Roman" w:hAnsi="Times New Roman" w:cs="Times New Roman"/>
          <w:color w:val="000000" w:themeColor="text1"/>
          <w:lang w:val="en-GB"/>
        </w:rPr>
        <w:t>The EIT baseline was set to correspond to the dynamic image with the lowest global impedance during expiratory hold at low PEEP. After that, dynamic EIT images (32x32 matrix) corresponding to 1) inspiratory hold PEEP low and 2) expiratory hold PEEP high were selected. For both selected EIT images, p</w:t>
      </w:r>
      <w:r w:rsidRPr="004A0217">
        <w:rPr>
          <w:rFonts w:ascii="Times New Roman" w:eastAsia="Times New Roman" w:hAnsi="Times New Roman" w:cs="Times New Roman"/>
          <w:iCs/>
          <w:color w:val="000000" w:themeColor="text1"/>
          <w:lang w:val="en-GB"/>
        </w:rPr>
        <w:t xml:space="preserve">ixels characterised by delta impedance values </w:t>
      </w:r>
      <w:r w:rsidRPr="004A0217">
        <w:rPr>
          <w:rFonts w:ascii="Times New Roman" w:hAnsi="Times New Roman" w:cs="Times New Roman"/>
          <w:color w:val="000000" w:themeColor="text1"/>
          <w:lang w:val="en-GB"/>
        </w:rPr>
        <w:t xml:space="preserve">(ΔZ) </w:t>
      </w:r>
      <w:r w:rsidRPr="004A0217">
        <w:rPr>
          <w:rFonts w:ascii="Times New Roman" w:eastAsia="Times New Roman" w:hAnsi="Times New Roman" w:cs="Times New Roman"/>
          <w:iCs/>
          <w:color w:val="000000" w:themeColor="text1"/>
          <w:lang w:val="en-GB"/>
        </w:rPr>
        <w:t xml:space="preserve">below 20% of the highest </w:t>
      </w:r>
      <w:r w:rsidRPr="004A0217">
        <w:rPr>
          <w:rFonts w:ascii="Times New Roman" w:hAnsi="Times New Roman" w:cs="Times New Roman"/>
          <w:color w:val="000000" w:themeColor="text1"/>
          <w:lang w:val="en-GB"/>
        </w:rPr>
        <w:t xml:space="preserve">ΔZ </w:t>
      </w:r>
      <w:r w:rsidRPr="004A0217">
        <w:rPr>
          <w:rFonts w:ascii="Times New Roman" w:eastAsia="Times New Roman" w:hAnsi="Times New Roman" w:cs="Times New Roman"/>
          <w:iCs/>
          <w:color w:val="000000" w:themeColor="text1"/>
          <w:lang w:val="en-GB"/>
        </w:rPr>
        <w:t xml:space="preserve">in the same EIT image were considered not ventilated </w:t>
      </w:r>
      <w:r w:rsidRPr="004A0217">
        <w:rPr>
          <w:rFonts w:ascii="Times New Roman" w:eastAsia="Times New Roman" w:hAnsi="Times New Roman" w:cs="Times New Roman"/>
          <w:iCs/>
          <w:color w:val="000000" w:themeColor="text1"/>
          <w:lang w:val="en-GB"/>
        </w:rPr>
        <w:fldChar w:fldCharType="begin"/>
      </w:r>
      <w:r w:rsidR="001E51E9" w:rsidRPr="004A0217">
        <w:rPr>
          <w:rFonts w:ascii="Times New Roman" w:eastAsia="Times New Roman" w:hAnsi="Times New Roman" w:cs="Times New Roman"/>
          <w:iCs/>
          <w:color w:val="000000" w:themeColor="text1"/>
          <w:lang w:val="en-GB"/>
        </w:rPr>
        <w:instrText xml:space="preserve"> ADDIN ZOTERO_ITEM CSL_CITATION {"citationID":"9292DWBo","properties":{"formattedCitation":"[14, 15]","plainCitation":"[14, 15]","noteIndex":0},"citationItems":[{"id":1029,"uris":["http://zotero.org/users/12178336/items/RHEWLERU"],"itemData":{"id":1029,"type":"article-journal","abstract":"The measurement of regional lung ventilation by electrical impedance tomography (EIT) has been evaluated in many experimental studies. However, EIT is not routinely used in a clinical setting, which is attributable to the fact that a convenient concept for how to quantify the EIT data is missing. The definition of region of interest (ROI) is an essential point in the data analysis. To date, there are only limited data available on the different approaches to ROI definition to evaluate regional lung ventilation by EIT. For this survey we examined ten patients (mean age +/- SD: 60 +/- 10 years) under controlled ventilation. Regional tidal volumes were quantified as pixel values of inspiratory-to-expiratory impedance differences and four types of ROIs were subsequently applied. The definition of ROI contours was based on the calculation of the pixel values of (1) standard deviation from each pixel set of impedance data and (2) the regression coefficient from linear regression equations between the individual local (pixel) and average (whole scan) impedance signals. Additionally, arbitrary ROIs (four quadrants and four anteroposterior segments of equal height) were used. Our results indicate that both approaches to ROI definition using statistical parameters are suitable when impedance signals with high sensitivity to ventilation-related phenomena are to be analyzed. The definition of the ROI contour as 20-35% of the maximum standard deviation or regression coefficient is recommended. Simple segmental ROIs are less convenient because of the low ventilation-related signal component in the dorsal region.","container-title":"Physiological Measurement","DOI":"10.1088/0967-3334/27/5/S10","ISSN":"0967-3334","issue":"5","journalAbbreviation":"Physiol Meas","language":"eng","note":"PMID: 16636403","page":"S115-127","source":"PubMed","title":"Comparison of different methods to define regions of interest for evaluation of regional lung ventilation by EIT","volume":"27","author":[{"family":"Pulletz","given":"Sven"},{"family":"Genderingen","given":"Huibert R.","non-dropping-particle":"van"},{"family":"Schmitz","given":"Gunnar"},{"family":"Zick","given":"Günther"},{"family":"Schädler","given":"Dirk"},{"family":"Scholz","given":"Jens"},{"family":"Weiler","given":"Norbert"},{"family":"Frerichs","given":"Inez"}],"issued":{"date-parts":[["2006",5]]}}},{"id":1031,"uris":["http://zotero.org/users/12178336/items/4MAU343T"],"itemData":{"id":1031,"type":"article-journal","abstract":"Introduction\nPatients with acute respiratory distress syndrome (ARDS) typically show a high degree of ventilation inhomogeneity, which is associated with morbidity and unfavorable outcomes. Electrical impedance tomography (EIT) is able to detect ventilation inhomogeneity, but it is unclear which method for defining the region of interest (ROI) should be used for this purpose. The aim of our study was to compare the functional region of interest (fROI) method to both the lung area estimation method (LAEM) and no ROI when analysing global parameters of ventilation inhomogeneity. We assumed that a good method for ROI determination would lead to a high discriminatory power for ventilation inhomogeneity, as defined by the area under the receiver operating characteristics curve (AUC), comparing patients suffering from ARDS and control patients without pulmonary pathologies.\n\nMethods\nWe retrospectively analysed EIT data from 24 ARDS patients and 12 control patients without pulmonary pathology. In all patients, a standardized low-flow-pressure volume maneuver had been performed and was used for EIT image generation. We compared the AUC for global inhomogeneity (GI) index and coefficient of variation (CV) between ARDS and control patients using all EIT image pixels, the fROI method and the LAEM for ROI determination.\n\nResults\nWhen analysing all EIT image pixels, we found an acceptable AUC both for the GI index (AUC = 0.76; 95% confidence interval (CI) 0.58–0.94) and the CV (AUC = 0.74; 95% CI 0.55–0.92). With the fROI method, we found a deteriorating AUC with increasing threshold criteria. With the LAEM, we found the best AUC both for the GI index (AUC = 0.89; 95% CI 0.78–1.0) and the CV (AUC = 0.89; 95% CI 0.78–1.0) using a threshold criterion of 50% of the maximum tidal impedance change.\n\nConclusion\nIn the assessment of ventilation inhomogeneity with EIT, functional regions of interest obscure the difference between patients with ARDS and control patients without pulmonary pathologies. The LAEM is preferable to the fROI method when assessing ventilation inhomogeneity.","container-title":"PLoS ONE","DOI":"10.1371/journal.pone.0152267","ISSN":"1932-6203","issue":"3","journalAbbreviation":"PLoS One","note":"PMID: 27010320\nPMCID: PMC4806869","page":"e0152267","source":"PubMed Central","title":"Functional Regions of Interest in Electrical Impedance Tomography: A Secondary Analysis of Two Clinical Studies","title-short":"Functional Regions of Interest in Electrical Impedance Tomography","volume":"11","author":[{"family":"Becher","given":"Tobias"},{"family":"Vogt","given":"Barbara"},{"family":"Kott","given":"Matthias"},{"family":"Schädler","given":"Dirk"},{"family":"Weiler","given":"Norbert"},{"family":"Frerichs","given":"Inéz"}],"issued":{"date-parts":[["2016",3,24]]}}}],"schema":"https://github.com/citation-style-language/schema/raw/master/csl-citation.json"} </w:instrText>
      </w:r>
      <w:r w:rsidRPr="004A0217">
        <w:rPr>
          <w:rFonts w:ascii="Times New Roman" w:eastAsia="Times New Roman" w:hAnsi="Times New Roman" w:cs="Times New Roman"/>
          <w:iCs/>
          <w:color w:val="000000" w:themeColor="text1"/>
          <w:lang w:val="en-GB"/>
        </w:rPr>
        <w:fldChar w:fldCharType="separate"/>
      </w:r>
      <w:r w:rsidR="001E51E9" w:rsidRPr="004A0217">
        <w:rPr>
          <w:rFonts w:ascii="Times New Roman" w:hAnsi="Times New Roman" w:cs="Times New Roman"/>
          <w:color w:val="000000" w:themeColor="text1"/>
        </w:rPr>
        <w:t>[14, 15]</w:t>
      </w:r>
      <w:r w:rsidRPr="004A0217">
        <w:rPr>
          <w:rFonts w:ascii="Times New Roman" w:eastAsia="Times New Roman" w:hAnsi="Times New Roman" w:cs="Times New Roman"/>
          <w:iCs/>
          <w:color w:val="000000" w:themeColor="text1"/>
          <w:lang w:val="en-GB"/>
        </w:rPr>
        <w:fldChar w:fldCharType="end"/>
      </w:r>
      <w:r w:rsidRPr="004A0217">
        <w:rPr>
          <w:rFonts w:ascii="Times New Roman" w:eastAsia="Times New Roman" w:hAnsi="Times New Roman" w:cs="Times New Roman"/>
          <w:iCs/>
          <w:color w:val="000000" w:themeColor="text1"/>
          <w:lang w:val="en-GB"/>
        </w:rPr>
        <w:t>.</w:t>
      </w:r>
      <w:r w:rsidRPr="004A0217">
        <w:rPr>
          <w:rFonts w:ascii="Times New Roman" w:hAnsi="Times New Roman" w:cs="Times New Roman"/>
          <w:color w:val="000000" w:themeColor="text1"/>
          <w:lang w:val="en-GB"/>
        </w:rPr>
        <w:t xml:space="preserve"> Based on the set tidal volume, impedance changes were translated into corresponding millilitres of gas to obtain the regional (pixel-based) distribution of ventilation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{"citationID":"IHfzT41T","properties":{"formattedCitation":"[16]","plainCitation":"[16]","noteIndex":0},"citationItems":[{"id":862,"uris":["http://zotero.org/users/12178336/items/AGHWAGGK"],"itemData":{"id":862,"type":"article-journal","abstract":"Study objective\nThe validation of electrical impedance tomography (EIT) for measuring regional ventilation distribution by comparing it with single photon emission CT (SPECT) scanning.\nDesign\nRandomized, prospective animal study.\nSettings\nAnimal laboratories and nuclear medicine laboratories at a university hospital.\nParticipants\nTwelve anesthetized and mechanically ventilated pigs.\nInterventions\nLung injury was induced by central venous injection of oleic acid. Then pigs were randomized to pressure-controlled mechanical ventilation, airway pressure-release ventilation, or spontaneous breathing.\nMeasurements and results\nVentilation distribution was assessed by EIT using cross-sectional electrotomographic measurements of the thorax, and simultaneously by single SPECT scanning with the inhalation of 99mTc-labeled carbon particles. For both methods, the evaluation of ventilation distribution was performed in the same transverse slice that was approximately 4 cm in thickness. The transverse slice then was divided into 20 coronal segments (going from the sternum to the spine). We compared the percentage of ventilation in each segment, normalized to the entire ventilation in the observed slice. Our data showed an excellent linear correlation between the ventilation distribution measured by SPECT scanning and EIT according to the following equation: y = 0.82x + 0.7 (R2 = 0.92; range, 0.86 to 0.97).\nConclusion\nBased on these data, EIT seems to allow, at least in comparable states of lung injury, real-time monitoring of regional ventilation distribution at the bedside.","container-title":"Chest","DOI":"10.1378/chest.124.1.314","ISSN":"0012-3692","issue":"1","journalAbbreviation":"Chest","page":"314-322","source":"ScienceDirect","title":"Regional Ventilation by Electrical Impedance Tomography: A Comparison With Ventilation Scintigraphy in Pigs","title-short":"Regional Ventilation by Electrical Impedance Tomography","volume":"124","author":[{"family":"Hinz","given":"José"},{"family":"Neumann","given":"Peter"},{"family":"Dudykevych","given":"Taras"},{"family":"Andersson","given":"Lars Goran"},{"family":"Wrigge","given":"Hermann"},{"family":"Burchardi","given":"Hilmar"},{"family":"Hedenstierna","given":"Goran"}],"issued":{"date-parts":[["2003",7,1]]}}}],"schema":"https://github.com/citation-style-language/schema/raw/master/csl-citation.json"}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[16]</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Based on these EIT-derived images and the physiological rationale behind the RI ratio manoeuvre, the following three spirometric volume and volume maps, the latter providing pixel-wise information, were computed (see Figures 1 and 2):</w:t>
      </w:r>
    </w:p>
    <w:p w14:paraId="36806503"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76AFED11" w14:textId="77777777" w:rsidR="009965D8" w:rsidRPr="004A0217" w:rsidRDefault="009965D8" w:rsidP="009965D8">
      <w:pPr>
        <w:pStyle w:val="ListParagraph"/>
        <w:numPr>
          <w:ilvl w:val="0"/>
          <w:numId w:val="1"/>
        </w:numPr>
        <w:spacing w:after="0" w:line="480" w:lineRule="auto"/>
        <w:jc w:val="both"/>
        <w:rPr>
          <w:rFonts w:ascii="Times New Roman" w:hAnsi="Times New Roman" w:cs="Times New Roman"/>
          <w:color w:val="000000" w:themeColor="text1"/>
          <w:lang w:val="en-GB"/>
        </w:rPr>
      </w:pPr>
      <w:bookmarkStart w:id="9" w:name="_Hlk172552557"/>
      <w:r w:rsidRPr="004A0217">
        <w:rPr>
          <w:rFonts w:ascii="Times New Roman" w:hAnsi="Times New Roman" w:cs="Times New Roman"/>
          <w:b/>
          <w:bCs/>
          <w:color w:val="000000" w:themeColor="text1"/>
          <w:lang w:val="en-GB"/>
        </w:rPr>
        <w:t xml:space="preserve">Delta end-expiratory lung volume </w:t>
      </w:r>
      <w:bookmarkEnd w:id="9"/>
      <w:r w:rsidRPr="004A0217">
        <w:rPr>
          <w:rFonts w:ascii="Times New Roman" w:hAnsi="Times New Roman" w:cs="Times New Roman"/>
          <w:b/>
          <w:bCs/>
          <w:color w:val="000000" w:themeColor="text1"/>
          <w:lang w:val="en-GB"/>
        </w:rPr>
        <w:t>(</w:t>
      </w:r>
      <w:bookmarkStart w:id="10" w:name="_Hlk165388670"/>
      <w:r w:rsidRPr="004A0217">
        <w:rPr>
          <w:rFonts w:ascii="Times New Roman" w:hAnsi="Times New Roman" w:cs="Times New Roman"/>
          <w:b/>
          <w:bCs/>
          <w:color w:val="000000" w:themeColor="text1"/>
          <w:lang w:val="en-GB"/>
        </w:rPr>
        <w:t>ΔEELV</w:t>
      </w:r>
      <w:bookmarkEnd w:id="10"/>
      <w:r w:rsidRPr="004A0217">
        <w:rPr>
          <w:rFonts w:ascii="Times New Roman" w:hAnsi="Times New Roman" w:cs="Times New Roman"/>
          <w:b/>
          <w:bCs/>
          <w:color w:val="000000" w:themeColor="text1"/>
          <w:lang w:val="en-GB"/>
        </w:rPr>
        <w:t>)</w:t>
      </w:r>
      <w:r w:rsidRPr="004A0217">
        <w:rPr>
          <w:rFonts w:ascii="Times New Roman" w:hAnsi="Times New Roman" w:cs="Times New Roman"/>
          <w:color w:val="000000" w:themeColor="text1"/>
          <w:lang w:val="en-GB"/>
        </w:rPr>
        <w:t xml:space="preserve">: </w:t>
      </w:r>
      <w:bookmarkStart w:id="11" w:name="_Hlk172551365"/>
      <w:r w:rsidRPr="004A0217">
        <w:rPr>
          <w:rFonts w:ascii="Times New Roman" w:hAnsi="Times New Roman" w:cs="Times New Roman"/>
          <w:color w:val="000000" w:themeColor="text1"/>
          <w:lang w:val="en-GB"/>
        </w:rPr>
        <w:t>the global change in lung volume corresponding to a delta PEEP of 10 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O, between PEEP high and PEEP low</w:t>
      </w:r>
      <w:bookmarkEnd w:id="11"/>
      <w:r w:rsidRPr="004A0217">
        <w:rPr>
          <w:rFonts w:ascii="Times New Roman" w:hAnsi="Times New Roman" w:cs="Times New Roman"/>
          <w:color w:val="000000" w:themeColor="text1"/>
          <w:lang w:val="en-GB"/>
        </w:rPr>
        <w:t xml:space="preserve"> and calculated as follows:</w:t>
      </w:r>
    </w:p>
    <w:p w14:paraId="5626A23B" w14:textId="77777777" w:rsidR="009965D8" w:rsidRPr="004A0217" w:rsidRDefault="009965D8" w:rsidP="009965D8">
      <w:pPr>
        <w:pStyle w:val="ListParagraph"/>
        <w:spacing w:after="0" w:line="480" w:lineRule="auto"/>
        <w:ind w:left="1134" w:right="567"/>
        <w:jc w:val="both"/>
        <w:rPr>
          <w:rFonts w:ascii="Times New Roman" w:hAnsi="Times New Roman" w:cs="Times New Roman"/>
          <w:color w:val="000000" w:themeColor="text1"/>
          <w:lang w:val="en-GB"/>
        </w:rPr>
      </w:pPr>
      <w:bookmarkStart w:id="12" w:name="_Hlk173682741"/>
      <w:bookmarkStart w:id="13" w:name="_Hlk165389899"/>
      <w:r w:rsidRPr="004A0217">
        <w:rPr>
          <w:rFonts w:ascii="Times New Roman" w:hAnsi="Times New Roman" w:cs="Times New Roman"/>
          <w:b/>
          <w:bCs/>
          <w:color w:val="000000" w:themeColor="text1"/>
          <w:lang w:val="en-GB"/>
        </w:rPr>
        <w:t>ΔEELV</w:t>
      </w:r>
      <w:bookmarkEnd w:id="12"/>
      <w:r w:rsidRPr="004A0217">
        <w:rPr>
          <w:rFonts w:ascii="Times New Roman" w:hAnsi="Times New Roman" w:cs="Times New Roman"/>
          <w:b/>
          <w:bCs/>
          <w:color w:val="000000" w:themeColor="text1"/>
          <w:lang w:val="en-GB"/>
        </w:rPr>
        <w:t xml:space="preserve"> </w:t>
      </w:r>
      <w:bookmarkEnd w:id="13"/>
      <w:r w:rsidRPr="004A0217">
        <w:rPr>
          <w:rFonts w:ascii="Times New Roman" w:hAnsi="Times New Roman" w:cs="Times New Roman"/>
          <w:color w:val="000000" w:themeColor="text1"/>
          <w:lang w:val="en-GB"/>
        </w:rPr>
        <w:t>= (EIT image during expiratory hold PEEP high) – (EIT image during expiratory hold PEEP low)</w:t>
      </w:r>
    </w:p>
    <w:p w14:paraId="232A916B" w14:textId="77777777" w:rsidR="009965D8" w:rsidRPr="004A0217" w:rsidRDefault="009965D8" w:rsidP="009965D8">
      <w:pPr>
        <w:pStyle w:val="ListParagraph"/>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Where (EIT derived image during expiratory hold PEEP low) corresponds to the EIT baseline.</w:t>
      </w:r>
    </w:p>
    <w:p w14:paraId="3319837F" w14:textId="77777777" w:rsidR="009965D8" w:rsidRPr="004A0217" w:rsidRDefault="009965D8" w:rsidP="009965D8">
      <w:pPr>
        <w:pStyle w:val="ListParagraph"/>
        <w:spacing w:after="0" w:line="480" w:lineRule="auto"/>
        <w:jc w:val="both"/>
        <w:rPr>
          <w:rFonts w:ascii="Times New Roman" w:hAnsi="Times New Roman" w:cs="Times New Roman"/>
          <w:color w:val="000000" w:themeColor="text1"/>
          <w:lang w:val="en-GB"/>
        </w:rPr>
      </w:pPr>
    </w:p>
    <w:p w14:paraId="74D67FDE" w14:textId="77777777" w:rsidR="009965D8" w:rsidRPr="004A0217" w:rsidRDefault="009965D8" w:rsidP="009965D8">
      <w:pPr>
        <w:pStyle w:val="ListParagraph"/>
        <w:numPr>
          <w:ilvl w:val="0"/>
          <w:numId w:val="1"/>
        </w:num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b/>
          <w:bCs/>
          <w:color w:val="000000" w:themeColor="text1"/>
          <w:lang w:val="en-GB"/>
        </w:rPr>
        <w:t>Inflated volume (</w:t>
      </w:r>
      <w:bookmarkStart w:id="14" w:name="_Hlk172552575"/>
      <w:proofErr w:type="spellStart"/>
      <w:r w:rsidRPr="004A0217">
        <w:rPr>
          <w:rFonts w:ascii="Times New Roman" w:hAnsi="Times New Roman" w:cs="Times New Roman"/>
          <w:b/>
          <w:bCs/>
          <w:color w:val="000000" w:themeColor="text1"/>
          <w:lang w:val="en-GB"/>
        </w:rPr>
        <w:t>Vinfl</w:t>
      </w:r>
      <w:bookmarkEnd w:id="14"/>
      <w:proofErr w:type="spellEnd"/>
      <w:r w:rsidRPr="004A0217">
        <w:rPr>
          <w:rFonts w:ascii="Times New Roman" w:hAnsi="Times New Roman" w:cs="Times New Roman"/>
          <w:b/>
          <w:bCs/>
          <w:color w:val="000000" w:themeColor="text1"/>
          <w:lang w:val="en-GB"/>
        </w:rPr>
        <w:t>)</w:t>
      </w:r>
      <w:r w:rsidRPr="004A0217">
        <w:rPr>
          <w:rFonts w:ascii="Times New Roman" w:hAnsi="Times New Roman" w:cs="Times New Roman"/>
          <w:color w:val="000000" w:themeColor="text1"/>
          <w:lang w:val="en-GB"/>
        </w:rPr>
        <w:t xml:space="preserve">: </w:t>
      </w:r>
      <w:bookmarkStart w:id="15" w:name="_Hlk172566361"/>
      <w:r w:rsidRPr="004A0217">
        <w:rPr>
          <w:rFonts w:ascii="Times New Roman" w:hAnsi="Times New Roman" w:cs="Times New Roman"/>
          <w:color w:val="000000" w:themeColor="text1"/>
          <w:lang w:val="en-GB"/>
        </w:rPr>
        <w:t>the portion of ΔEELV inflating the already opened lung when going from PEEP low to PEEP high</w:t>
      </w:r>
      <w:bookmarkEnd w:id="15"/>
      <w:r w:rsidRPr="004A0217">
        <w:rPr>
          <w:rFonts w:ascii="Times New Roman" w:hAnsi="Times New Roman" w:cs="Times New Roman"/>
          <w:color w:val="000000" w:themeColor="text1"/>
          <w:lang w:val="en-GB"/>
        </w:rPr>
        <w:t xml:space="preserve"> and calculated as:</w:t>
      </w:r>
    </w:p>
    <w:p w14:paraId="63F45498" w14:textId="77777777" w:rsidR="009965D8" w:rsidRPr="004A0217" w:rsidRDefault="009965D8" w:rsidP="009965D8">
      <w:pPr>
        <w:pStyle w:val="ListParagraph"/>
        <w:spacing w:after="0" w:line="480" w:lineRule="auto"/>
        <w:ind w:left="1134" w:right="567"/>
        <w:jc w:val="both"/>
        <w:rPr>
          <w:rFonts w:ascii="Times New Roman" w:hAnsi="Times New Roman" w:cs="Times New Roman"/>
          <w:color w:val="000000" w:themeColor="text1"/>
          <w:lang w:val="en-GB"/>
        </w:rPr>
      </w:pPr>
      <w:bookmarkStart w:id="16" w:name="_Hlk173682305"/>
      <w:proofErr w:type="spellStart"/>
      <w:r w:rsidRPr="004A0217">
        <w:rPr>
          <w:rFonts w:ascii="Times New Roman" w:hAnsi="Times New Roman" w:cs="Times New Roman"/>
          <w:b/>
          <w:bCs/>
          <w:color w:val="000000" w:themeColor="text1"/>
          <w:lang w:val="en-GB"/>
        </w:rPr>
        <w:t>Vinfl</w:t>
      </w:r>
      <w:proofErr w:type="spellEnd"/>
      <w:r w:rsidRPr="004A0217">
        <w:rPr>
          <w:rFonts w:ascii="Times New Roman" w:hAnsi="Times New Roman" w:cs="Times New Roman"/>
          <w:color w:val="000000" w:themeColor="text1"/>
          <w:lang w:val="en-GB"/>
        </w:rPr>
        <w:t xml:space="preserve"> = [(EIT image during inspiratory hold PEEP low - EIT image during expiratory hold PEEP low)/ (plateau pressure – PEEP low)] x (PEEP high – PEEP low)</w:t>
      </w:r>
    </w:p>
    <w:p w14:paraId="2F5E2941" w14:textId="77777777" w:rsidR="009965D8" w:rsidRPr="004A0217" w:rsidRDefault="009965D8" w:rsidP="009965D8">
      <w:pPr>
        <w:pStyle w:val="ListParagraph"/>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Where [(EIT image during inspiratory hold PEEP low - EIT image during expiratory hold PEEP low)/ (plateau pressure – PEEP low)] is the compliance of the lung open at PEEP low.</w:t>
      </w:r>
    </w:p>
    <w:p w14:paraId="4A617AE1" w14:textId="77777777" w:rsidR="009965D8" w:rsidRPr="004A0217" w:rsidRDefault="009965D8" w:rsidP="009965D8">
      <w:pPr>
        <w:pStyle w:val="ListParagraph"/>
        <w:spacing w:after="0" w:line="480" w:lineRule="auto"/>
        <w:jc w:val="both"/>
        <w:rPr>
          <w:rFonts w:ascii="Times New Roman" w:hAnsi="Times New Roman" w:cs="Times New Roman"/>
          <w:color w:val="000000" w:themeColor="text1"/>
          <w:lang w:val="en-GB"/>
        </w:rPr>
      </w:pPr>
      <w:bookmarkStart w:id="17" w:name="_Hlk172566391"/>
      <w:bookmarkEnd w:id="16"/>
    </w:p>
    <w:p w14:paraId="18B3E288" w14:textId="77777777" w:rsidR="009965D8" w:rsidRPr="004A0217" w:rsidRDefault="009965D8" w:rsidP="009965D8">
      <w:pPr>
        <w:pStyle w:val="ListParagraph"/>
        <w:numPr>
          <w:ilvl w:val="0"/>
          <w:numId w:val="1"/>
        </w:num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b/>
          <w:bCs/>
          <w:color w:val="000000" w:themeColor="text1"/>
          <w:lang w:val="en-GB"/>
        </w:rPr>
        <w:t>The recruited</w:t>
      </w:r>
      <w:r w:rsidRPr="004A0217">
        <w:rPr>
          <w:rFonts w:ascii="Times New Roman" w:hAnsi="Times New Roman" w:cs="Times New Roman"/>
          <w:color w:val="000000" w:themeColor="text1"/>
          <w:lang w:val="en-GB"/>
        </w:rPr>
        <w:t xml:space="preserve"> </w:t>
      </w:r>
      <w:r w:rsidRPr="004A0217">
        <w:rPr>
          <w:rFonts w:ascii="Times New Roman" w:hAnsi="Times New Roman" w:cs="Times New Roman"/>
          <w:b/>
          <w:bCs/>
          <w:color w:val="000000" w:themeColor="text1"/>
          <w:lang w:val="en-GB"/>
        </w:rPr>
        <w:t>volume (</w:t>
      </w:r>
      <w:proofErr w:type="spellStart"/>
      <w:r w:rsidRPr="004A0217">
        <w:rPr>
          <w:rFonts w:ascii="Times New Roman" w:hAnsi="Times New Roman" w:cs="Times New Roman"/>
          <w:b/>
          <w:bCs/>
          <w:color w:val="000000" w:themeColor="text1"/>
          <w:lang w:val="en-GB"/>
        </w:rPr>
        <w:t>Vrec</w:t>
      </w:r>
      <w:bookmarkEnd w:id="17"/>
      <w:proofErr w:type="spellEnd"/>
      <w:r w:rsidRPr="004A0217">
        <w:rPr>
          <w:rFonts w:ascii="Times New Roman" w:hAnsi="Times New Roman" w:cs="Times New Roman"/>
          <w:b/>
          <w:bCs/>
          <w:color w:val="000000" w:themeColor="text1"/>
          <w:lang w:val="en-GB"/>
        </w:rPr>
        <w:t>)</w:t>
      </w:r>
      <w:r w:rsidRPr="004A0217">
        <w:rPr>
          <w:rFonts w:ascii="Times New Roman" w:hAnsi="Times New Roman" w:cs="Times New Roman"/>
          <w:color w:val="000000" w:themeColor="text1"/>
          <w:lang w:val="en-GB"/>
        </w:rPr>
        <w:t xml:space="preserve">: </w:t>
      </w:r>
      <w:bookmarkStart w:id="18" w:name="_Hlk172566490"/>
      <w:r w:rsidRPr="004A0217">
        <w:rPr>
          <w:rFonts w:ascii="Times New Roman" w:hAnsi="Times New Roman" w:cs="Times New Roman"/>
          <w:color w:val="000000" w:themeColor="text1"/>
          <w:lang w:val="en-GB"/>
        </w:rPr>
        <w:t xml:space="preserve">the portion of ΔEELV recruiting new portions of lung parenchyma when going from PEEP low to PEEP high </w:t>
      </w:r>
      <w:bookmarkEnd w:id="18"/>
      <w:r w:rsidRPr="004A0217">
        <w:rPr>
          <w:rFonts w:ascii="Times New Roman" w:hAnsi="Times New Roman" w:cs="Times New Roman"/>
          <w:color w:val="000000" w:themeColor="text1"/>
          <w:lang w:val="en-GB"/>
        </w:rPr>
        <w:t>and calculated as:</w:t>
      </w:r>
    </w:p>
    <w:p w14:paraId="4806383F" w14:textId="77777777" w:rsidR="009965D8" w:rsidRPr="004A0217" w:rsidRDefault="009965D8" w:rsidP="009965D8">
      <w:pPr>
        <w:pStyle w:val="ListParagraph"/>
        <w:spacing w:after="0" w:line="480" w:lineRule="auto"/>
        <w:ind w:left="1134"/>
        <w:jc w:val="both"/>
        <w:rPr>
          <w:rFonts w:ascii="Times New Roman" w:hAnsi="Times New Roman" w:cs="Times New Roman"/>
          <w:color w:val="000000" w:themeColor="text1"/>
          <w:lang w:val="en-GB"/>
        </w:rPr>
      </w:pPr>
      <w:bookmarkStart w:id="19" w:name="OLE_LINK2"/>
      <w:bookmarkStart w:id="20" w:name="_Hlk172550826"/>
      <w:proofErr w:type="spellStart"/>
      <w:r w:rsidRPr="004A0217">
        <w:rPr>
          <w:rFonts w:ascii="Times New Roman" w:hAnsi="Times New Roman" w:cs="Times New Roman"/>
          <w:b/>
          <w:bCs/>
          <w:color w:val="000000" w:themeColor="text1"/>
          <w:lang w:val="en-GB"/>
        </w:rPr>
        <w:t>Vrec</w:t>
      </w:r>
      <w:proofErr w:type="spellEnd"/>
      <w:r w:rsidRPr="004A0217">
        <w:rPr>
          <w:rFonts w:ascii="Times New Roman" w:hAnsi="Times New Roman" w:cs="Times New Roman"/>
          <w:b/>
          <w:bCs/>
          <w:color w:val="000000" w:themeColor="text1"/>
          <w:lang w:val="en-GB"/>
        </w:rPr>
        <w:t xml:space="preserve"> </w:t>
      </w:r>
      <w:bookmarkEnd w:id="19"/>
      <w:r w:rsidRPr="004A0217">
        <w:rPr>
          <w:rFonts w:ascii="Times New Roman" w:hAnsi="Times New Roman" w:cs="Times New Roman"/>
          <w:color w:val="000000" w:themeColor="text1"/>
          <w:lang w:val="en-GB"/>
        </w:rPr>
        <w:t>= ΔEELV-</w:t>
      </w:r>
      <w:r w:rsidRPr="004A0217">
        <w:rPr>
          <w:rFonts w:ascii="Times New Roman" w:hAnsi="Times New Roman" w:cs="Times New Roman"/>
          <w:color w:val="000000" w:themeColor="text1"/>
        </w:rPr>
        <w:t xml:space="preserve"> </w:t>
      </w:r>
      <w:proofErr w:type="spellStart"/>
      <w:r w:rsidRPr="004A0217">
        <w:rPr>
          <w:rFonts w:ascii="Times New Roman" w:hAnsi="Times New Roman" w:cs="Times New Roman"/>
          <w:color w:val="000000" w:themeColor="text1"/>
          <w:lang w:val="en-GB"/>
        </w:rPr>
        <w:t>Vinfl</w:t>
      </w:r>
      <w:proofErr w:type="spellEnd"/>
    </w:p>
    <w:bookmarkEnd w:id="20"/>
    <w:p w14:paraId="31A8B59C" w14:textId="77777777" w:rsidR="009965D8" w:rsidRPr="004A0217" w:rsidRDefault="009965D8" w:rsidP="009965D8">
      <w:pPr>
        <w:pStyle w:val="ListParagraph"/>
        <w:spacing w:after="0" w:line="480" w:lineRule="auto"/>
        <w:ind w:left="1134"/>
        <w:jc w:val="both"/>
        <w:rPr>
          <w:rFonts w:ascii="Times New Roman" w:hAnsi="Times New Roman" w:cs="Times New Roman"/>
          <w:color w:val="000000" w:themeColor="text1"/>
          <w:lang w:val="en-GB"/>
        </w:rPr>
      </w:pPr>
    </w:p>
    <w:p w14:paraId="304BEAA7"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This way, information about the distribution of inflated and recruited volumes was calculated globally and regionally (at a pixel level) for each included patient. The </w:t>
      </w:r>
      <w:proofErr w:type="spellStart"/>
      <w:r w:rsidRPr="004A0217">
        <w:rPr>
          <w:rFonts w:ascii="Times New Roman" w:hAnsi="Times New Roman" w:cs="Times New Roman"/>
          <w:color w:val="000000" w:themeColor="text1"/>
          <w:lang w:val="en-GB"/>
        </w:rPr>
        <w:t>Vrec</w:t>
      </w:r>
      <w:proofErr w:type="spellEnd"/>
      <w:r w:rsidRPr="004A0217">
        <w:rPr>
          <w:rFonts w:ascii="Times New Roman" w:hAnsi="Times New Roman" w:cs="Times New Roman"/>
          <w:color w:val="000000" w:themeColor="text1"/>
          <w:lang w:val="en-GB"/>
        </w:rPr>
        <w:t xml:space="preserve"> was then expressed as a percentage (</w:t>
      </w:r>
      <w:proofErr w:type="spellStart"/>
      <w:r w:rsidRPr="004A0217">
        <w:rPr>
          <w:rFonts w:ascii="Times New Roman" w:hAnsi="Times New Roman" w:cs="Times New Roman"/>
          <w:color w:val="000000" w:themeColor="text1"/>
          <w:lang w:val="en-GB"/>
        </w:rPr>
        <w:t>Vrec</w:t>
      </w:r>
      <w:proofErr w:type="spellEnd"/>
      <w:r w:rsidRPr="004A0217">
        <w:rPr>
          <w:rFonts w:ascii="Times New Roman" w:hAnsi="Times New Roman" w:cs="Times New Roman"/>
          <w:color w:val="000000" w:themeColor="text1"/>
          <w:lang w:val="en-GB"/>
        </w:rPr>
        <w:t>%) of the corresponding ΔEELV.</w:t>
      </w:r>
    </w:p>
    <w:p w14:paraId="6B75DF5C"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2406AC55"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eastAsia="Times New Roman" w:hAnsi="Times New Roman" w:cs="Times New Roman"/>
          <w:b/>
          <w:bCs/>
          <w:i/>
          <w:color w:val="000000" w:themeColor="text1"/>
          <w:u w:val="single"/>
          <w:lang w:val="en-GB"/>
        </w:rPr>
        <w:t>EIT analysis.</w:t>
      </w:r>
      <w:r w:rsidRPr="004A0217">
        <w:rPr>
          <w:rFonts w:ascii="Times New Roman" w:eastAsia="Times New Roman" w:hAnsi="Times New Roman" w:cs="Times New Roman"/>
          <w:i/>
          <w:color w:val="000000" w:themeColor="text1"/>
          <w:u w:val="single"/>
          <w:lang w:val="en-GB"/>
        </w:rPr>
        <w:t xml:space="preserve"> Compliance gain between the two tested PEEP.</w:t>
      </w:r>
      <w:r w:rsidRPr="004A0217">
        <w:rPr>
          <w:rFonts w:ascii="Times New Roman" w:eastAsia="Times New Roman" w:hAnsi="Times New Roman" w:cs="Times New Roman"/>
          <w:b/>
          <w:bCs/>
          <w:iCs/>
          <w:color w:val="000000" w:themeColor="text1"/>
          <w:lang w:val="en-GB"/>
        </w:rPr>
        <w:t xml:space="preserve"> </w:t>
      </w:r>
      <w:bookmarkStart w:id="21" w:name="_Hlk172205115"/>
      <w:r w:rsidRPr="004A0217">
        <w:rPr>
          <w:rFonts w:ascii="Times New Roman" w:hAnsi="Times New Roman" w:cs="Times New Roman"/>
          <w:color w:val="000000" w:themeColor="text1"/>
          <w:lang w:val="en-GB"/>
        </w:rPr>
        <w:t xml:space="preserve">To further investigate lung recruitability and confirm lung recruitment and inflation at the two tested PEEP, regional maps of compliance at both low and high PEEPs have been computed based on the tidal impedance changes between plateau pressure and the corresponding PEEP. </w:t>
      </w:r>
      <w:bookmarkEnd w:id="21"/>
      <w:r w:rsidRPr="004A0217">
        <w:rPr>
          <w:rFonts w:ascii="Times New Roman" w:hAnsi="Times New Roman" w:cs="Times New Roman"/>
          <w:color w:val="000000" w:themeColor="text1"/>
          <w:lang w:val="en-GB"/>
        </w:rPr>
        <w:t>The estimated tidal volume per pixel was then divided by the measured driving pressure to obtain the compliance maps (Figure E1). Subsequently, the compliance map at high PEEP was subtracted from the compliance map at low PEEP to obtain the distribution of differential compliance and, as such, identify pixels of compliance gain from pixels of compliance loss. The number of pixels with compliance gain was then expressed as a percentage of all pixels covering the lung area. Moreover, the mean compliance gain (or loss) was expressed in [ml/cm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O per pixel]. The pixel compliance gain (or loss) summation expressed as [ml/cm H</w:t>
      </w:r>
      <w:r w:rsidRPr="004A0217">
        <w:rPr>
          <w:rFonts w:ascii="Times New Roman" w:hAnsi="Times New Roman" w:cs="Times New Roman"/>
          <w:color w:val="000000" w:themeColor="text1"/>
          <w:vertAlign w:val="subscript"/>
          <w:lang w:val="en-GB"/>
        </w:rPr>
        <w:t>2</w:t>
      </w:r>
      <w:r w:rsidRPr="004A0217">
        <w:rPr>
          <w:rFonts w:ascii="Times New Roman" w:hAnsi="Times New Roman" w:cs="Times New Roman"/>
          <w:color w:val="000000" w:themeColor="text1"/>
          <w:lang w:val="en-GB"/>
        </w:rPr>
        <w:t>O] was subsequently calculated.</w:t>
      </w:r>
    </w:p>
    <w:p w14:paraId="2F0DFF8A"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47110F9F" w14:textId="7E72D0FD"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eastAsia="Times New Roman" w:hAnsi="Times New Roman" w:cs="Times New Roman"/>
          <w:b/>
          <w:bCs/>
          <w:i/>
          <w:color w:val="000000" w:themeColor="text1"/>
          <w:u w:val="single"/>
          <w:lang w:val="en-GB"/>
        </w:rPr>
        <w:t>EIT analysis.</w:t>
      </w:r>
      <w:r w:rsidRPr="004A0217">
        <w:rPr>
          <w:rFonts w:ascii="Times New Roman" w:eastAsia="Times New Roman" w:hAnsi="Times New Roman" w:cs="Times New Roman"/>
          <w:i/>
          <w:color w:val="000000" w:themeColor="text1"/>
          <w:u w:val="single"/>
          <w:lang w:val="en-GB"/>
        </w:rPr>
        <w:t xml:space="preserve"> </w:t>
      </w:r>
      <w:r w:rsidRPr="004A0217">
        <w:rPr>
          <w:rFonts w:ascii="Times New Roman" w:hAnsi="Times New Roman" w:cs="Times New Roman"/>
          <w:i/>
          <w:iCs/>
          <w:color w:val="000000" w:themeColor="text1"/>
          <w:u w:val="single"/>
          <w:lang w:val="en-GB"/>
        </w:rPr>
        <w:t>EIT-based inhomogeneity index.</w:t>
      </w:r>
      <w:r w:rsidRPr="004A0217">
        <w:rPr>
          <w:rFonts w:ascii="Times New Roman" w:hAnsi="Times New Roman" w:cs="Times New Roman"/>
          <w:b/>
          <w:bCs/>
          <w:color w:val="000000" w:themeColor="text1"/>
          <w:lang w:val="en-GB"/>
        </w:rPr>
        <w:t xml:space="preserve"> </w:t>
      </w:r>
      <w:r w:rsidRPr="004A0217">
        <w:rPr>
          <w:rFonts w:ascii="Times New Roman" w:hAnsi="Times New Roman" w:cs="Times New Roman"/>
          <w:color w:val="000000" w:themeColor="text1"/>
          <w:lang w:val="en-GB"/>
        </w:rPr>
        <w:t xml:space="preserve">To investigate the coupling between regional inhomogeneity of lung ventilation and neuromonitoring variables, two EIT-based indices were calculated for the ΔEELV delta volume maps: the global inhomogeneity index (GI) and the local inhomogeneity index (LI)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{"citationID":"SWArcoZ8","properties":{"formattedCitation":"[17]","plainCitation":"[17]","noteIndex":0},"citationItems":[{"id":856,"uris":["http://zotero.org/users/12178336/items/9UH25X6X"],"itemData":{"id":856,"type":"paper-conference","abstract":"Electrical impedance tomography (EIT) is a new, noninvasive, radiation-free imaging technique that is potentially capable of monitoring the regional lung aeration and tidal volume distribution. The aim of this study was to develop both global and local inhomogeneity indices of lung ventilation during mechanical ventilation in order to support an improved ventilation strategy.","container-title":"4th European Conference of the International Federation for Medical and Biological Engineering","DOI":"10.1007/978-3-540-89208-3_63","event-place":"Berlin, Heidelberg","ISBN":"978-3-540-89208-3","language":"en","page":"256-259","publisher":"Springer","publisher-place":"Berlin, Heidelberg","source":"Springer Link","title":"Global and local inhomogeneity indices of lung ventilation based on electrical impedance tomography","author":[{"family":"Zhao","given":"Zhanqi"},{"family":"Möller","given":"K."},{"family":"Steinmann","given":"D."},{"family":"Guttmann","given":"J."}],"editor":[{"family":"Vander Sloten","given":"Jos"},{"family":"Verdonck","given":"Pascal"},{"family":"Nyssen","given":"Marc"},{"family":"Haueisen","given":"Jens"}],"issued":{"date-parts":[["2009"]]}}}],"schema":"https://github.com/citation-style-language/schema/raw/master/csl-citation.json"}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[17]</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GI shows the variation of tidal volume distribution in the whole lung. GI is calculated as the summation of the absolute difference between the median value of the estimated gas volume for each analysed map and the estimated gas volume for every pixel. LI calculates the local differences among neighbour pixels. GI and LI were normalised by dividing them by the total gas content in the analysed volume map to make both indices comparable among patients. </w:t>
      </w:r>
    </w:p>
    <w:p w14:paraId="74913354" w14:textId="37A032B7"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GI and LI can be summarised with the following equations as in Zhao et al.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{"citationID":"AU0jAiEJ","properties":{"formattedCitation":"[17]","plainCitation":"[17]","noteIndex":0},"citationItems":[{"id":856,"uris":["http://zotero.org/users/12178336/items/9UH25X6X"],"itemData":{"id":856,"type":"paper-conference","abstract":"Electrical impedance tomography (EIT) is a new, noninvasive, radiation-free imaging technique that is potentially capable of monitoring the regional lung aeration and tidal volume distribution. The aim of this study was to develop both global and local inhomogeneity indices of lung ventilation during mechanical ventilation in order to support an improved ventilation strategy.","container-title":"4th European Conference of the International Federation for Medical and Biological Engineering","DOI":"10.1007/978-3-540-89208-3_63","event-place":"Berlin, Heidelberg","ISBN":"978-3-540-89208-3","language":"en","page":"256-259","publisher":"Springer","publisher-place":"Berlin, Heidelberg","source":"Springer Link","title":"Global and local inhomogeneity indices of lung ventilation based on electrical impedance tomography","author":[{"family":"Zhao","given":"Zhanqi"},{"family":"Möller","given":"K."},{"family":"Steinmann","given":"D."},{"family":"Guttmann","given":"J."}],"editor":[{"family":"Vander Sloten","given":"Jos"},{"family":"Verdonck","given":"Pascal"},{"family":"Nyssen","given":"Marc"},{"family":"Haueisen","given":"Jens"}],"issued":{"date-parts":[["2009"]]}}}],"schema":"https://github.com/citation-style-language/schema/raw/master/csl-citation.json"}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[17]</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w:t>
      </w:r>
    </w:p>
    <w:p w14:paraId="016B254A" w14:textId="77777777" w:rsidR="009965D8" w:rsidRPr="004A0217" w:rsidRDefault="009965D8" w:rsidP="009965D8">
      <w:pPr>
        <w:spacing w:after="0" w:line="480" w:lineRule="auto"/>
        <w:jc w:val="both"/>
        <w:rPr>
          <w:rFonts w:ascii="Times New Roman" w:eastAsiaTheme="minorEastAsia" w:hAnsi="Times New Roman" w:cs="Times New Roman"/>
          <w:color w:val="000000" w:themeColor="text1"/>
          <w:lang w:val="en-GB"/>
        </w:rPr>
      </w:pPr>
    </w:p>
    <w:p w14:paraId="06824075" w14:textId="77777777" w:rsidR="009965D8" w:rsidRPr="004A0217" w:rsidRDefault="009965D8" w:rsidP="009965D8">
      <w:pPr>
        <w:spacing w:after="0" w:line="480" w:lineRule="auto"/>
        <w:jc w:val="both"/>
        <w:rPr>
          <w:rFonts w:ascii="Times New Roman" w:eastAsiaTheme="minorEastAsia" w:hAnsi="Times New Roman" w:cs="Times New Roman"/>
          <w:color w:val="000000" w:themeColor="text1"/>
          <w:lang w:val="en-GB"/>
        </w:rPr>
      </w:pPr>
      <m:oMathPara>
        <m:oMathParaPr>
          <m:jc m:val="left"/>
        </m:oMathParaPr>
        <m:oMath>
          <m:r>
            <w:rPr>
              <w:rFonts w:ascii="Cambria Math" w:hAnsi="Cambria Math" w:cs="Times New Roman"/>
              <w:color w:val="000000" w:themeColor="text1"/>
              <w:lang w:val="en-GB"/>
            </w:rPr>
            <m:t>GI =</m:t>
          </m:r>
          <m:nary>
            <m:naryPr>
              <m:chr m:val="∑"/>
              <m:grow m:val="1"/>
              <m:supHide m:val="1"/>
              <m:ctrlPr>
                <w:rPr>
                  <w:rFonts w:ascii="Cambria Math" w:hAnsi="Cambria Math" w:cs="Times New Roman"/>
                  <w:color w:val="000000" w:themeColor="text1"/>
                  <w:lang w:val="en-GB"/>
                </w:rPr>
              </m:ctrlPr>
            </m:naryPr>
            <m:sub>
              <m:r>
                <w:rPr>
                  <w:rFonts w:ascii="Cambria Math" w:hAnsi="Cambria Math" w:cs="Times New Roman"/>
                  <w:color w:val="000000" w:themeColor="text1"/>
                  <w:lang w:val="en-GB"/>
                </w:rPr>
                <m:t>x,y ∈ lung</m:t>
              </m:r>
            </m:sub>
            <m:sup/>
            <m:e>
              <m:d>
                <m:dPr>
                  <m:begChr m:val="|"/>
                  <m:endChr m:val="|"/>
                  <m:ctrlPr>
                    <w:rPr>
                      <w:rFonts w:ascii="Cambria Math" w:hAnsi="Cambria Math" w:cs="Times New Roman"/>
                      <w:i/>
                      <w:color w:val="000000" w:themeColor="text1"/>
                      <w:lang w:val="en-GB"/>
                    </w:rPr>
                  </m:ctrlPr>
                </m:dPr>
                <m:e>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Dgas</m:t>
                      </m:r>
                    </m:e>
                    <m:sub>
                      <m:r>
                        <w:rPr>
                          <w:rFonts w:ascii="Cambria Math" w:hAnsi="Cambria Math" w:cs="Times New Roman"/>
                          <w:color w:val="000000" w:themeColor="text1"/>
                          <w:lang w:val="en-GB"/>
                        </w:rPr>
                        <m:t>xy</m:t>
                      </m:r>
                    </m:sub>
                  </m:sSub>
                  <m:r>
                    <w:rPr>
                      <w:rFonts w:ascii="Cambria Math" w:hAnsi="Cambria Math" w:cs="Times New Roman"/>
                      <w:color w:val="000000" w:themeColor="text1"/>
                      <w:lang w:val="en-GB"/>
                    </w:rPr>
                    <m:t>-Median (</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Dgas</m:t>
                      </m:r>
                    </m:e>
                    <m:sub>
                      <m:r>
                        <w:rPr>
                          <w:rFonts w:ascii="Cambria Math" w:hAnsi="Cambria Math" w:cs="Times New Roman"/>
                          <w:color w:val="000000" w:themeColor="text1"/>
                          <w:lang w:val="en-GB"/>
                        </w:rPr>
                        <m:t>lung</m:t>
                      </m:r>
                    </m:sub>
                  </m:sSub>
                  <m:r>
                    <w:rPr>
                      <w:rFonts w:ascii="Cambria Math" w:hAnsi="Cambria Math" w:cs="Times New Roman"/>
                      <w:color w:val="000000" w:themeColor="text1"/>
                      <w:lang w:val="en-GB"/>
                    </w:rPr>
                    <m:t>)</m:t>
                  </m:r>
                </m:e>
              </m:d>
              <m:r>
                <m:rPr>
                  <m:sty m:val="p"/>
                </m:rPr>
                <w:rPr>
                  <w:rFonts w:ascii="Cambria Math" w:hAnsi="Cambria Math" w:cs="Times New Roman"/>
                  <w:color w:val="000000" w:themeColor="text1"/>
                  <w:lang w:val="en-GB"/>
                </w:rPr>
                <m:t xml:space="preserve"> ÷</m:t>
              </m:r>
            </m:e>
          </m:nary>
          <m:r>
            <w:rPr>
              <w:rFonts w:ascii="Cambria Math" w:hAnsi="Cambria Math" w:cs="Times New Roman"/>
              <w:color w:val="000000" w:themeColor="text1"/>
              <w:lang w:val="en-GB"/>
            </w:rPr>
            <m:t xml:space="preserve"> </m:t>
          </m:r>
          <m:nary>
            <m:naryPr>
              <m:chr m:val="∑"/>
              <m:limLoc m:val="undOvr"/>
              <m:supHide m:val="1"/>
              <m:ctrlPr>
                <w:rPr>
                  <w:rFonts w:ascii="Cambria Math" w:hAnsi="Cambria Math" w:cs="Times New Roman"/>
                  <w:i/>
                  <w:color w:val="000000" w:themeColor="text1"/>
                  <w:lang w:val="en-GB"/>
                </w:rPr>
              </m:ctrlPr>
            </m:naryPr>
            <m:sub>
              <m:r>
                <w:rPr>
                  <w:rFonts w:ascii="Cambria Math" w:hAnsi="Cambria Math" w:cs="Times New Roman"/>
                  <w:color w:val="000000" w:themeColor="text1"/>
                  <w:lang w:val="en-GB"/>
                </w:rPr>
                <m:t>x,y ∈ lung</m:t>
              </m:r>
            </m:sub>
            <m:sup/>
            <m:e>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Dgas</m:t>
                  </m:r>
                </m:e>
                <m:sub>
                  <m:r>
                    <w:rPr>
                      <w:rFonts w:ascii="Cambria Math" w:hAnsi="Cambria Math" w:cs="Times New Roman"/>
                      <w:color w:val="000000" w:themeColor="text1"/>
                      <w:lang w:val="en-GB"/>
                    </w:rPr>
                    <m:t>xy</m:t>
                  </m:r>
                </m:sub>
              </m:sSub>
            </m:e>
          </m:nary>
        </m:oMath>
      </m:oMathPara>
    </w:p>
    <w:p w14:paraId="4DEF814D" w14:textId="77777777" w:rsidR="009965D8" w:rsidRPr="004A0217" w:rsidRDefault="009965D8" w:rsidP="009965D8">
      <w:pPr>
        <w:spacing w:after="0" w:line="480" w:lineRule="auto"/>
        <w:jc w:val="both"/>
        <w:rPr>
          <w:rFonts w:ascii="Times New Roman" w:eastAsiaTheme="minorEastAsia" w:hAnsi="Times New Roman" w:cs="Times New Roman"/>
          <w:color w:val="000000" w:themeColor="text1"/>
          <w:lang w:val="en-GB"/>
        </w:rPr>
      </w:pPr>
    </w:p>
    <w:p w14:paraId="7840402B" w14:textId="77777777" w:rsidR="009965D8" w:rsidRPr="004A0217" w:rsidRDefault="009965D8" w:rsidP="009965D8">
      <w:pPr>
        <w:spacing w:after="0" w:line="480" w:lineRule="auto"/>
        <w:jc w:val="both"/>
        <w:rPr>
          <w:rFonts w:ascii="Times New Roman" w:eastAsiaTheme="minorEastAsia" w:hAnsi="Times New Roman" w:cs="Times New Roman"/>
          <w:color w:val="000000" w:themeColor="text1"/>
          <w:lang w:val="en-GB"/>
        </w:rPr>
      </w:pPr>
      <m:oMathPara>
        <m:oMathParaPr>
          <m:jc m:val="left"/>
        </m:oMathParaPr>
        <m:oMath>
          <m:r>
            <w:rPr>
              <w:rFonts w:ascii="Cambria Math" w:hAnsi="Cambria Math" w:cs="Times New Roman"/>
              <w:color w:val="000000" w:themeColor="text1"/>
              <w:lang w:val="en-GB"/>
            </w:rPr>
            <m:t>LI =</m:t>
          </m:r>
          <m:nary>
            <m:naryPr>
              <m:chr m:val="∑"/>
              <m:grow m:val="1"/>
              <m:supHide m:val="1"/>
              <m:ctrlPr>
                <w:rPr>
                  <w:rFonts w:ascii="Cambria Math" w:hAnsi="Cambria Math" w:cs="Times New Roman"/>
                  <w:color w:val="000000" w:themeColor="text1"/>
                  <w:lang w:val="en-GB"/>
                </w:rPr>
              </m:ctrlPr>
            </m:naryPr>
            <m:sub>
              <m:r>
                <w:rPr>
                  <w:rFonts w:ascii="Cambria Math" w:hAnsi="Cambria Math" w:cs="Times New Roman"/>
                  <w:color w:val="000000" w:themeColor="text1"/>
                  <w:lang w:val="en-GB"/>
                </w:rPr>
                <m:t>x,y ∈ lung</m:t>
              </m:r>
            </m:sub>
            <m:sup/>
            <m:e>
              <m:d>
                <m:dPr>
                  <m:ctrlPr>
                    <w:rPr>
                      <w:rFonts w:ascii="Cambria Math" w:hAnsi="Cambria Math" w:cs="Times New Roman"/>
                      <w:i/>
                      <w:color w:val="000000" w:themeColor="text1"/>
                      <w:lang w:val="en-GB"/>
                    </w:rPr>
                  </m:ctrlPr>
                </m:dPr>
                <m:e>
                  <m:r>
                    <w:rPr>
                      <w:rFonts w:ascii="Cambria Math" w:hAnsi="Cambria Math" w:cs="Times New Roman"/>
                      <w:color w:val="000000" w:themeColor="text1"/>
                      <w:lang w:val="en-GB"/>
                    </w:rPr>
                    <m:t xml:space="preserve"> </m:t>
                  </m:r>
                  <m:f>
                    <m:fPr>
                      <m:ctrlPr>
                        <w:rPr>
                          <w:rFonts w:ascii="Cambria Math" w:hAnsi="Cambria Math" w:cs="Times New Roman"/>
                          <w:i/>
                          <w:color w:val="000000" w:themeColor="text1"/>
                          <w:lang w:val="en-GB"/>
                        </w:rPr>
                      </m:ctrlPr>
                    </m:fPr>
                    <m:num>
                      <m:r>
                        <w:rPr>
                          <w:rFonts w:ascii="Cambria Math" w:hAnsi="Cambria Math" w:cs="Times New Roman"/>
                          <w:color w:val="000000" w:themeColor="text1"/>
                          <w:lang w:val="en-GB"/>
                        </w:rPr>
                        <m:t>1</m:t>
                      </m:r>
                    </m:num>
                    <m:den>
                      <m:r>
                        <w:rPr>
                          <w:rFonts w:ascii="Cambria Math" w:hAnsi="Cambria Math" w:cs="Times New Roman"/>
                          <w:color w:val="000000" w:themeColor="text1"/>
                          <w:lang w:val="en-GB"/>
                        </w:rPr>
                        <m:t>m-1</m:t>
                      </m:r>
                    </m:den>
                  </m:f>
                  <m:r>
                    <w:rPr>
                      <w:rFonts w:ascii="Cambria Math" w:hAnsi="Cambria Math" w:cs="Times New Roman"/>
                      <w:color w:val="000000" w:themeColor="text1"/>
                      <w:lang w:val="en-GB"/>
                    </w:rPr>
                    <m:t xml:space="preserve">× </m:t>
                  </m:r>
                  <m:nary>
                    <m:naryPr>
                      <m:chr m:val="∑"/>
                      <m:limLoc m:val="undOvr"/>
                      <m:supHide m:val="1"/>
                      <m:ctrlPr>
                        <w:rPr>
                          <w:rFonts w:ascii="Cambria Math" w:hAnsi="Cambria Math" w:cs="Times New Roman"/>
                          <w:i/>
                          <w:color w:val="000000" w:themeColor="text1"/>
                          <w:lang w:val="en-GB"/>
                        </w:rPr>
                      </m:ctrlPr>
                    </m:naryPr>
                    <m:sub>
                      <m:r>
                        <w:rPr>
                          <w:rFonts w:ascii="Cambria Math" w:hAnsi="Cambria Math" w:cs="Times New Roman"/>
                          <w:color w:val="000000" w:themeColor="text1"/>
                          <w:lang w:val="en-GB"/>
                        </w:rPr>
                        <m:t xml:space="preserve">i,j ∈ </m:t>
                      </m:r>
                      <m:d>
                        <m:dPr>
                          <m:begChr m:val="⌊"/>
                          <m:endChr m:val="⌋"/>
                          <m:ctrlPr>
                            <w:rPr>
                              <w:rFonts w:ascii="Cambria Math" w:hAnsi="Cambria Math" w:cs="Times New Roman"/>
                              <w:i/>
                              <w:color w:val="000000" w:themeColor="text1"/>
                              <w:lang w:val="en-GB"/>
                            </w:rPr>
                          </m:ctrlPr>
                        </m:dPr>
                        <m:e>
                          <m:r>
                            <w:rPr>
                              <w:rFonts w:ascii="Cambria Math" w:hAnsi="Cambria Math" w:cs="Times New Roman"/>
                              <w:color w:val="000000" w:themeColor="text1"/>
                              <w:lang w:val="en-GB"/>
                            </w:rPr>
                            <m:t>-1,1</m:t>
                          </m:r>
                        </m:e>
                      </m:d>
                      <m:r>
                        <w:rPr>
                          <w:rFonts w:ascii="Cambria Math" w:hAnsi="Cambria Math" w:cs="Times New Roman"/>
                          <w:color w:val="000000" w:themeColor="text1"/>
                          <w:lang w:val="en-GB"/>
                        </w:rPr>
                        <m:t xml:space="preserve"> ∩x+1, y+i ∈lung</m:t>
                      </m:r>
                    </m:sub>
                    <m:sup/>
                    <m:e>
                      <m:d>
                        <m:dPr>
                          <m:begChr m:val="|"/>
                          <m:endChr m:val="|"/>
                          <m:ctrlPr>
                            <w:rPr>
                              <w:rFonts w:ascii="Cambria Math" w:hAnsi="Cambria Math" w:cs="Times New Roman"/>
                              <w:i/>
                              <w:color w:val="000000" w:themeColor="text1"/>
                              <w:lang w:val="en-GB"/>
                            </w:rPr>
                          </m:ctrlPr>
                        </m:dPr>
                        <m:e>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Dgas</m:t>
                              </m:r>
                            </m:e>
                            <m:sub>
                              <m:r>
                                <w:rPr>
                                  <w:rFonts w:ascii="Cambria Math" w:hAnsi="Cambria Math" w:cs="Times New Roman"/>
                                  <w:color w:val="000000" w:themeColor="text1"/>
                                  <w:lang w:val="en-GB"/>
                                </w:rPr>
                                <m:t>xy</m:t>
                              </m:r>
                            </m:sub>
                          </m:sSub>
                          <m:r>
                            <w:rPr>
                              <w:rFonts w:ascii="Cambria Math" w:hAnsi="Cambria Math" w:cs="Times New Roman"/>
                              <w:color w:val="000000" w:themeColor="text1"/>
                              <w:lang w:val="en-GB"/>
                            </w:rPr>
                            <m:t>-</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Dgas</m:t>
                              </m:r>
                            </m:e>
                            <m:sub>
                              <m:r>
                                <w:rPr>
                                  <w:rFonts w:ascii="Cambria Math" w:hAnsi="Cambria Math" w:cs="Times New Roman"/>
                                  <w:color w:val="000000" w:themeColor="text1"/>
                                  <w:lang w:val="en-GB"/>
                                </w:rPr>
                                <m:t>x+i, y+j</m:t>
                              </m:r>
                            </m:sub>
                          </m:sSub>
                        </m:e>
                      </m:d>
                    </m:e>
                  </m:nary>
                </m:e>
              </m:d>
              <m:r>
                <m:rPr>
                  <m:sty m:val="p"/>
                </m:rPr>
                <w:rPr>
                  <w:rFonts w:ascii="Cambria Math" w:hAnsi="Cambria Math" w:cs="Times New Roman"/>
                  <w:color w:val="000000" w:themeColor="text1"/>
                  <w:lang w:val="en-GB"/>
                </w:rPr>
                <m:t xml:space="preserve"> ÷</m:t>
              </m:r>
            </m:e>
          </m:nary>
          <m:r>
            <w:rPr>
              <w:rFonts w:ascii="Cambria Math" w:hAnsi="Cambria Math" w:cs="Times New Roman"/>
              <w:color w:val="000000" w:themeColor="text1"/>
              <w:lang w:val="en-GB"/>
            </w:rPr>
            <m:t xml:space="preserve"> </m:t>
          </m:r>
          <m:nary>
            <m:naryPr>
              <m:chr m:val="∑"/>
              <m:limLoc m:val="undOvr"/>
              <m:supHide m:val="1"/>
              <m:ctrlPr>
                <w:rPr>
                  <w:rFonts w:ascii="Cambria Math" w:hAnsi="Cambria Math" w:cs="Times New Roman"/>
                  <w:i/>
                  <w:color w:val="000000" w:themeColor="text1"/>
                  <w:lang w:val="en-GB"/>
                </w:rPr>
              </m:ctrlPr>
            </m:naryPr>
            <m:sub>
              <m:r>
                <w:rPr>
                  <w:rFonts w:ascii="Cambria Math" w:hAnsi="Cambria Math" w:cs="Times New Roman"/>
                  <w:color w:val="000000" w:themeColor="text1"/>
                  <w:lang w:val="en-GB"/>
                </w:rPr>
                <m:t>x,y ∈ lung</m:t>
              </m:r>
            </m:sub>
            <m:sup/>
            <m:e>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Dgas</m:t>
                  </m:r>
                </m:e>
                <m:sub>
                  <m:r>
                    <w:rPr>
                      <w:rFonts w:ascii="Cambria Math" w:hAnsi="Cambria Math" w:cs="Times New Roman"/>
                      <w:color w:val="000000" w:themeColor="text1"/>
                      <w:lang w:val="en-GB"/>
                    </w:rPr>
                    <m:t>xy</m:t>
                  </m:r>
                </m:sub>
              </m:sSub>
            </m:e>
          </m:nary>
        </m:oMath>
      </m:oMathPara>
    </w:p>
    <w:p w14:paraId="53EAA05D"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25B06169" w14:textId="7FB5C286"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eastAsiaTheme="minorEastAsia" w:hAnsi="Times New Roman" w:cs="Times New Roman"/>
          <w:color w:val="000000" w:themeColor="text1"/>
          <w:lang w:val="en-GB"/>
        </w:rPr>
        <w:t xml:space="preserve">Where </w:t>
      </w:r>
      <w:r w:rsidRPr="004A0217">
        <w:rPr>
          <w:rFonts w:ascii="Times New Roman" w:eastAsiaTheme="minorEastAsia" w:hAnsi="Times New Roman" w:cs="Times New Roman"/>
          <w:i/>
          <w:iCs/>
          <w:color w:val="000000" w:themeColor="text1"/>
          <w:lang w:val="en-GB"/>
        </w:rPr>
        <w:t>x</w:t>
      </w:r>
      <w:r w:rsidRPr="004A0217">
        <w:rPr>
          <w:rFonts w:ascii="Times New Roman" w:eastAsiaTheme="minorEastAsia" w:hAnsi="Times New Roman" w:cs="Times New Roman"/>
          <w:color w:val="000000" w:themeColor="text1"/>
          <w:lang w:val="en-GB"/>
        </w:rPr>
        <w:t xml:space="preserve"> and </w:t>
      </w:r>
      <w:r w:rsidRPr="004A0217">
        <w:rPr>
          <w:rFonts w:ascii="Times New Roman" w:eastAsiaTheme="minorEastAsia" w:hAnsi="Times New Roman" w:cs="Times New Roman"/>
          <w:i/>
          <w:iCs/>
          <w:color w:val="000000" w:themeColor="text1"/>
          <w:lang w:val="en-GB"/>
        </w:rPr>
        <w:t>y</w:t>
      </w:r>
      <w:r w:rsidRPr="004A0217">
        <w:rPr>
          <w:rFonts w:ascii="Times New Roman" w:eastAsiaTheme="minorEastAsia" w:hAnsi="Times New Roman" w:cs="Times New Roman"/>
          <w:color w:val="000000" w:themeColor="text1"/>
          <w:lang w:val="en-GB"/>
        </w:rPr>
        <w:t xml:space="preserve"> are the coordinates of each pixel; </w:t>
      </w:r>
      <w:proofErr w:type="spellStart"/>
      <w:r w:rsidRPr="004A0217">
        <w:rPr>
          <w:rFonts w:ascii="Times New Roman" w:eastAsiaTheme="minorEastAsia" w:hAnsi="Times New Roman" w:cs="Times New Roman"/>
          <w:color w:val="000000" w:themeColor="text1"/>
          <w:lang w:val="en-GB"/>
        </w:rPr>
        <w:t>Dgas</w:t>
      </w:r>
      <w:r w:rsidRPr="004A0217">
        <w:rPr>
          <w:rFonts w:ascii="Times New Roman" w:eastAsiaTheme="minorEastAsia" w:hAnsi="Times New Roman" w:cs="Times New Roman"/>
          <w:color w:val="000000" w:themeColor="text1"/>
          <w:vertAlign w:val="subscript"/>
          <w:lang w:val="en-GB"/>
        </w:rPr>
        <w:t>xy</w:t>
      </w:r>
      <w:proofErr w:type="spellEnd"/>
      <w:r w:rsidRPr="004A0217">
        <w:rPr>
          <w:rFonts w:ascii="Times New Roman" w:eastAsiaTheme="minorEastAsia" w:hAnsi="Times New Roman" w:cs="Times New Roman"/>
          <w:color w:val="000000" w:themeColor="text1"/>
          <w:lang w:val="en-GB"/>
        </w:rPr>
        <w:t xml:space="preserve"> is the value of the differential impedance for the single pixel; </w:t>
      </w:r>
      <w:r w:rsidRPr="004A0217">
        <w:rPr>
          <w:rFonts w:ascii="Times New Roman" w:hAnsi="Times New Roman" w:cs="Times New Roman"/>
          <w:color w:val="000000" w:themeColor="text1"/>
          <w:lang w:val="en-GB"/>
        </w:rPr>
        <w:t>Median (</w:t>
      </w:r>
      <w:proofErr w:type="spellStart"/>
      <w:r w:rsidRPr="004A0217">
        <w:rPr>
          <w:rFonts w:ascii="Times New Roman" w:eastAsiaTheme="minorEastAsia" w:hAnsi="Times New Roman" w:cs="Times New Roman"/>
          <w:color w:val="000000" w:themeColor="text1"/>
          <w:lang w:val="en-GB"/>
        </w:rPr>
        <w:t>Dgas</w:t>
      </w:r>
      <w:r w:rsidRPr="004A0217">
        <w:rPr>
          <w:rFonts w:ascii="Times New Roman" w:eastAsiaTheme="minorEastAsia" w:hAnsi="Times New Roman" w:cs="Times New Roman"/>
          <w:color w:val="000000" w:themeColor="text1"/>
          <w:vertAlign w:val="subscript"/>
          <w:lang w:val="en-GB"/>
        </w:rPr>
        <w:t>lung</w:t>
      </w:r>
      <w:proofErr w:type="spellEnd"/>
      <w:r w:rsidRPr="004A0217">
        <w:rPr>
          <w:rFonts w:ascii="Times New Roman" w:eastAsiaTheme="minorEastAsia" w:hAnsi="Times New Roman" w:cs="Times New Roman"/>
          <w:color w:val="000000" w:themeColor="text1"/>
          <w:lang w:val="en-GB"/>
        </w:rPr>
        <w:t>)is the median value of impedance in the lung area;</w:t>
      </w:r>
      <w:r w:rsidRPr="004A0217">
        <w:rPr>
          <w:rFonts w:ascii="Times New Roman" w:hAnsi="Times New Roman" w:cs="Times New Roman"/>
          <w:color w:val="000000" w:themeColor="text1"/>
        </w:rPr>
        <w:t xml:space="preserve"> m-1 is the number of </w:t>
      </w:r>
      <w:r w:rsidRPr="004A0217">
        <w:rPr>
          <w:rFonts w:ascii="Times New Roman" w:eastAsiaTheme="minorEastAsia" w:hAnsi="Times New Roman" w:cs="Times New Roman"/>
          <w:color w:val="000000" w:themeColor="text1"/>
          <w:lang w:val="en-GB"/>
        </w:rPr>
        <w:t xml:space="preserve">neighbour </w:t>
      </w:r>
      <w:r w:rsidRPr="004A0217">
        <w:rPr>
          <w:rFonts w:ascii="Times New Roman" w:hAnsi="Times New Roman" w:cs="Times New Roman"/>
          <w:color w:val="000000" w:themeColor="text1"/>
        </w:rPr>
        <w:t xml:space="preserve">pixels equal to eight; </w:t>
      </w:r>
      <w:proofErr w:type="spellStart"/>
      <w:r w:rsidRPr="004A0217">
        <w:rPr>
          <w:rFonts w:ascii="Times New Roman" w:eastAsiaTheme="minorEastAsia" w:hAnsi="Times New Roman" w:cs="Times New Roman"/>
          <w:color w:val="000000" w:themeColor="text1"/>
          <w:lang w:val="en-GB"/>
        </w:rPr>
        <w:t>Dgas</w:t>
      </w:r>
      <w:r w:rsidRPr="004A0217">
        <w:rPr>
          <w:rFonts w:ascii="Times New Roman" w:eastAsiaTheme="minorEastAsia" w:hAnsi="Times New Roman" w:cs="Times New Roman"/>
          <w:color w:val="000000" w:themeColor="text1"/>
          <w:vertAlign w:val="subscript"/>
          <w:lang w:val="en-GB"/>
        </w:rPr>
        <w:t>x+i,y+j</w:t>
      </w:r>
      <w:proofErr w:type="spellEnd"/>
      <w:r w:rsidRPr="004A0217">
        <w:rPr>
          <w:rFonts w:ascii="Times New Roman" w:eastAsiaTheme="minorEastAsia" w:hAnsi="Times New Roman" w:cs="Times New Roman"/>
          <w:color w:val="000000" w:themeColor="text1"/>
          <w:lang w:val="en-GB"/>
        </w:rPr>
        <w:t xml:space="preserve"> is the differential impedance for the neighbouring pixels of </w:t>
      </w:r>
      <w:proofErr w:type="spellStart"/>
      <w:r w:rsidRPr="004A0217">
        <w:rPr>
          <w:rFonts w:ascii="Times New Roman" w:eastAsiaTheme="minorEastAsia" w:hAnsi="Times New Roman" w:cs="Times New Roman"/>
          <w:color w:val="000000" w:themeColor="text1"/>
          <w:lang w:val="en-GB"/>
        </w:rPr>
        <w:t>Dgas</w:t>
      </w:r>
      <w:r w:rsidRPr="004A0217">
        <w:rPr>
          <w:rFonts w:ascii="Times New Roman" w:eastAsiaTheme="minorEastAsia" w:hAnsi="Times New Roman" w:cs="Times New Roman"/>
          <w:color w:val="000000" w:themeColor="text1"/>
          <w:vertAlign w:val="subscript"/>
          <w:lang w:val="en-GB"/>
        </w:rPr>
        <w:t>xy</w:t>
      </w:r>
      <w:proofErr w:type="spellEnd"/>
      <w:r w:rsidRPr="004A0217">
        <w:rPr>
          <w:rFonts w:ascii="Times New Roman" w:eastAsiaTheme="minorEastAsia" w:hAnsi="Times New Roman" w:cs="Times New Roman"/>
          <w:color w:val="000000" w:themeColor="text1"/>
          <w:lang w:val="en-GB"/>
        </w:rPr>
        <w:t>.</w:t>
      </w:r>
      <w:r w:rsidR="00913B40" w:rsidRPr="004A0217">
        <w:rPr>
          <w:rFonts w:ascii="Times New Roman" w:eastAsiaTheme="minorEastAsia" w:hAnsi="Times New Roman" w:cs="Times New Roman"/>
          <w:color w:val="000000" w:themeColor="text1"/>
          <w:lang w:val="en-GB"/>
        </w:rPr>
        <w:t xml:space="preserve"> </w:t>
      </w:r>
      <w:r w:rsidRPr="004A0217">
        <w:rPr>
          <w:rFonts w:ascii="Times New Roman" w:hAnsi="Times New Roman" w:cs="Times New Roman"/>
          <w:color w:val="000000" w:themeColor="text1"/>
          <w:lang w:val="en-GB"/>
        </w:rPr>
        <w:t xml:space="preserve">These two indices report different information about gas distribution. GI is an index of global lung inhomogeneity, while LI quantifies local inhomogeneity among </w:t>
      </w:r>
      <w:r w:rsidR="00D21EB7" w:rsidRPr="004A0217">
        <w:rPr>
          <w:rFonts w:ascii="Times New Roman" w:hAnsi="Times New Roman" w:cs="Times New Roman"/>
          <w:color w:val="000000" w:themeColor="text1"/>
          <w:lang w:val="en-GB"/>
        </w:rPr>
        <w:t>neighbour</w:t>
      </w:r>
      <w:r w:rsidRPr="004A0217">
        <w:rPr>
          <w:rFonts w:ascii="Times New Roman" w:hAnsi="Times New Roman" w:cs="Times New Roman"/>
          <w:color w:val="000000" w:themeColor="text1"/>
          <w:lang w:val="en-GB"/>
        </w:rPr>
        <w:t xml:space="preserve"> pixels. </w:t>
      </w:r>
    </w:p>
    <w:p w14:paraId="7A95BC34"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5D620688" w14:textId="54EEDC75"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b/>
          <w:bCs/>
          <w:color w:val="000000" w:themeColor="text1"/>
          <w:lang w:val="en-GB"/>
        </w:rPr>
        <w:t xml:space="preserve">Neuromonitoring. </w:t>
      </w:r>
      <w:r w:rsidRPr="004A0217">
        <w:rPr>
          <w:rFonts w:ascii="Times New Roman" w:hAnsi="Times New Roman" w:cs="Times New Roman"/>
          <w:color w:val="000000" w:themeColor="text1"/>
          <w:lang w:val="en-GB"/>
        </w:rPr>
        <w:t xml:space="preserve">A catheter for continuous invasive ICP monitoring (intraparenchymal or external ventricular drain) has been inserted based on patients’ needs and according to local clinical practice. In the current study, to investigate the association between ventilatory variables (i.e., percentage of recruitable lung and indices of regional inhomogeneity) and neuromonitoring variables, we referred to changes of ICP </w:t>
      </w:r>
      <w:r w:rsidR="00BF553B" w:rsidRPr="004A0217">
        <w:rPr>
          <w:rFonts w:ascii="Times New Roman" w:hAnsi="Times New Roman" w:cs="Times New Roman"/>
          <w:color w:val="000000" w:themeColor="text1"/>
          <w:lang w:val="en-GB"/>
        </w:rPr>
        <w:t>and CPP</w:t>
      </w:r>
      <w:r w:rsidRPr="004A0217">
        <w:rPr>
          <w:rFonts w:ascii="Times New Roman" w:hAnsi="Times New Roman" w:cs="Times New Roman"/>
          <w:color w:val="000000" w:themeColor="text1"/>
          <w:lang w:val="en-GB"/>
        </w:rPr>
        <w:t xml:space="preserve"> (ΔICP, </w:t>
      </w:r>
      <w:r w:rsidR="00BF553B" w:rsidRPr="004A0217">
        <w:rPr>
          <w:rFonts w:ascii="Times New Roman" w:hAnsi="Times New Roman" w:cs="Times New Roman"/>
          <w:color w:val="000000" w:themeColor="text1"/>
          <w:lang w:val="en-GB"/>
        </w:rPr>
        <w:t>ΔCPP</w:t>
      </w:r>
      <w:r w:rsidRPr="004A0217">
        <w:rPr>
          <w:rFonts w:ascii="Times New Roman" w:hAnsi="Times New Roman" w:cs="Times New Roman"/>
          <w:color w:val="000000" w:themeColor="text1"/>
          <w:lang w:val="en-GB"/>
        </w:rPr>
        <w:t>) going from low PEEP to high PEEP levels, positive changes indicating a worse ICP dynamics at low PEEP compared to high PEEP.</w:t>
      </w:r>
    </w:p>
    <w:p w14:paraId="14A18220" w14:textId="77777777" w:rsidR="009965D8" w:rsidRPr="004A0217" w:rsidRDefault="009965D8" w:rsidP="009965D8">
      <w:pPr>
        <w:spacing w:after="0" w:line="480" w:lineRule="auto"/>
        <w:jc w:val="both"/>
        <w:rPr>
          <w:rFonts w:ascii="Times New Roman" w:hAnsi="Times New Roman" w:cs="Times New Roman"/>
          <w:color w:val="000000" w:themeColor="text1"/>
          <w:lang w:val="en-GB"/>
        </w:rPr>
      </w:pPr>
    </w:p>
    <w:p w14:paraId="1309BCA0" w14:textId="77777777" w:rsidR="009965D8" w:rsidRPr="004A0217" w:rsidRDefault="009965D8" w:rsidP="009965D8">
      <w:pPr>
        <w:spacing w:after="0" w:line="480" w:lineRule="auto"/>
        <w:jc w:val="both"/>
        <w:rPr>
          <w:rFonts w:ascii="Times New Roman" w:hAnsi="Times New Roman" w:cs="Times New Roman"/>
          <w:b/>
          <w:bCs/>
          <w:color w:val="000000" w:themeColor="text1"/>
          <w:lang w:val="en-GB"/>
        </w:rPr>
      </w:pPr>
      <w:r w:rsidRPr="004A0217">
        <w:rPr>
          <w:rFonts w:ascii="Times New Roman" w:hAnsi="Times New Roman" w:cs="Times New Roman"/>
          <w:b/>
          <w:bCs/>
          <w:color w:val="000000" w:themeColor="text1"/>
          <w:lang w:val="en-GB"/>
        </w:rPr>
        <w:t>Statistical analysis</w:t>
      </w:r>
    </w:p>
    <w:p w14:paraId="77960609" w14:textId="590A0AD8" w:rsidR="009965D8" w:rsidRPr="004A0217" w:rsidRDefault="009965D8" w:rsidP="009965D8">
      <w:pPr>
        <w:spacing w:after="0" w:line="480" w:lineRule="auto"/>
        <w:jc w:val="both"/>
        <w:rPr>
          <w:rFonts w:ascii="Times New Roman" w:hAnsi="Times New Roman" w:cs="Times New Roman"/>
          <w:color w:val="000000" w:themeColor="text1"/>
          <w:lang w:val="en-GB"/>
        </w:rPr>
      </w:pPr>
      <w:r w:rsidRPr="004A0217">
        <w:rPr>
          <w:rFonts w:ascii="Times New Roman" w:hAnsi="Times New Roman" w:cs="Times New Roman"/>
          <w:color w:val="000000" w:themeColor="text1"/>
          <w:lang w:val="en-GB"/>
        </w:rPr>
        <w:t xml:space="preserve">An a priori sample size calculation was not feasible as no studies investigated the association between EIT-derived indices of lung recruitability and intracranial pressure in brain-injured patients. Our sample size was comparable to previous physiologic studies regarding PEEP changes in ABI patients </w:t>
      </w:r>
      <w:r w:rsidRPr="004A0217">
        <w:rPr>
          <w:rFonts w:ascii="Times New Roman" w:hAnsi="Times New Roman" w:cs="Times New Roman"/>
          <w:color w:val="000000" w:themeColor="text1"/>
          <w:lang w:val="en-GB"/>
        </w:rPr>
        <w:fldChar w:fldCharType="begin"/>
      </w:r>
      <w:r w:rsidR="001E51E9" w:rsidRPr="004A0217">
        <w:rPr>
          <w:rFonts w:ascii="Times New Roman" w:hAnsi="Times New Roman" w:cs="Times New Roman"/>
          <w:color w:val="000000" w:themeColor="text1"/>
          <w:lang w:val="en-GB"/>
        </w:rPr>
        <w:instrText xml:space="preserve"> ADDIN ZOTERO_ITEM CSL_CITATION {"citationID":"NPFIcoAP","properties":{"formattedCitation":"[18]","plainCitation":"[18]","noteIndex":0},"citationItems":[{"id":688,"uris":["http://zotero.org/users/12178336/items/588I5QLP"],"itemData":{"id":688,"type":"article-journal","abstract":"Background: The pathophysiological effects of positive end-expiratory pressure (PEEP) on respiratory mechanics, lung recruitment, and intracranial pressure (ICP) in acute brain-injured patients have not been completely elucidated. The primary aim of this study was to assess the effects of PEEP augmentation on respiratory mechanics, quantitative computed lung tomography (qCT) findings, and its relationship with ICP modifications. Secondary aims included the assessment of the correlations between different factors (respiratory mechanics and qCT features) with the changes of ICP and how these factors at baseline may predict ICP response after greater PEEP levels. Methods: A prospective, observational study included mechanically ventilated patients with acute brain injury requiring invasive ICP and who underwent two-PEEP levels lung CT scan. Respiratory system compliance (Crs), arterial partial pressure of carbon dioxide (PaCO2), mean arterial pressure (MAP), data from qCT and ICP were obtained at PEEP 5 and 15 cmH2O. Results: Sixteen examinations (double PEEP lung CT and neuromonitoring) in 15 patients were analyzed. The median age of the patients was 54 years (interquartile range, IQR = 39-65) and 53% were men. The median Glasgow Coma Scale (GCS) at intensive care unit (ICU) admission was 8 (IQR = 3-12). Median alveolar recruitment was 2.5% of total lung weight (-1.5 to 4.7). PEEP from 5 to 15 cmH2O increased ICP [median values from 14.0 (11.2-17.5) to 23.5 (19.5-26.8) mmHg, p &lt; 0.001, respectively]. The amount of recruited lung tissue on CT was inversely correlated with the change (Δ) in ICP (rho = -0.78; p = 0.0006). Additionally, ΔCrs (rho = -0.77, p = 0.008), ΔPaCO2 (rho = 0.81, p = 0.0003), and ΔMAP (rho = -0.64, p = 0.009) were correlated with ΔICP. Baseline Crs was not predictive of ICP response to PEEP. Conclusions: The main factors associated with increased ICP after PEEP augmentation included reduced Crs, lower MAP and lung recruitment, and increased PaCO2, but none of these factors was able to predict, at baseline, ICP response to PEEP. To assess the potential benefits of increased PEEP in patients with acute brain injury, hemodynamic status, respiratory mechanics, and lung morphology should be taken into account.","container-title":"Frontiers in Physiology","DOI":"10.3389/fphys.2021.711273","ISSN":"1664-042X","journalAbbreviation":"Front Physiol","language":"eng","note":"PMID: 34733173\nPMCID: PMC8558243","page":"711273","source":"PubMed","title":"Effects of Positive End-Expiratory Pressure on Lung Recruitment, Respiratory Mechanics, and Intracranial Pressure in Mechanically Ventilated Brain-Injured Patients","volume":"12","author":[{"family":"Robba","given":"Chiara"},{"family":"Ball","given":"Lorenzo"},{"family":"Nogas","given":"Stefano"},{"family":"Battaglini","given":"Denise"},{"family":"Messina","given":"Antonio"},{"family":"Brunetti","given":"Iole"},{"family":"Minetti","given":"Giuseppe"},{"family":"Castellan","given":"Lucio"},{"family":"Rocco","given":"Patricia R. M."},{"family":"Pelosi","given":"Paolo"}],"issued":{"date-parts":[["2021"]]}}}],"schema":"https://github.com/citation-style-language/schema/raw/master/csl-citation.json"} </w:instrText>
      </w:r>
      <w:r w:rsidRPr="004A0217">
        <w:rPr>
          <w:rFonts w:ascii="Times New Roman" w:hAnsi="Times New Roman" w:cs="Times New Roman"/>
          <w:color w:val="000000" w:themeColor="text1"/>
          <w:lang w:val="en-GB"/>
        </w:rPr>
        <w:fldChar w:fldCharType="separate"/>
      </w:r>
      <w:r w:rsidR="001E51E9" w:rsidRPr="004A0217">
        <w:rPr>
          <w:rFonts w:ascii="Times New Roman" w:hAnsi="Times New Roman" w:cs="Times New Roman"/>
          <w:color w:val="000000" w:themeColor="text1"/>
        </w:rPr>
        <w:t>[18]</w:t>
      </w:r>
      <w:r w:rsidRPr="004A0217">
        <w:rPr>
          <w:rFonts w:ascii="Times New Roman" w:hAnsi="Times New Roman" w:cs="Times New Roman"/>
          <w:color w:val="000000" w:themeColor="text1"/>
          <w:lang w:val="en-GB"/>
        </w:rPr>
        <w:fldChar w:fldCharType="end"/>
      </w:r>
      <w:r w:rsidRPr="004A0217">
        <w:rPr>
          <w:rFonts w:ascii="Times New Roman" w:hAnsi="Times New Roman" w:cs="Times New Roman"/>
          <w:color w:val="000000" w:themeColor="text1"/>
          <w:lang w:val="en-GB"/>
        </w:rPr>
        <w:t xml:space="preserve">. The primary outcome was to test the association between recruited volume and ΔICP and the association between inhomogeneity (GI, LI) in gas distribution in the ΔEELV and ΔICP. Data were expressed as median and interquartile range (interquartile range, IQR) or mean (± standard deviation, SD). The correlation between different variables was assessed using Spearman’s rank correlation coefficient with a 95% confidence interval. F-test statistic (α=0.05) was used for linear regression analysis. Wilcoxon matched-pairs signed-rank test was used to test statistically significant changes in respiratory and neuromonitoring variables between the two tested PEEP levels. In case of missing values in the data range, the whole pair was excluded from the analysis. Friedman's test, followed by Bonferroni’s correction, was used to test statistical differences for neuromonitoring parameters among baseline ventilation, high PEEP and low PEEP. Statistical analysis was performed using </w:t>
      </w:r>
      <w:proofErr w:type="spellStart"/>
      <w:r w:rsidRPr="004A0217">
        <w:rPr>
          <w:rFonts w:ascii="Times New Roman" w:hAnsi="Times New Roman" w:cs="Times New Roman"/>
          <w:color w:val="000000" w:themeColor="text1"/>
          <w:lang w:val="en-GB"/>
        </w:rPr>
        <w:t>MatLab</w:t>
      </w:r>
      <w:proofErr w:type="spellEnd"/>
      <w:r w:rsidRPr="004A0217">
        <w:rPr>
          <w:rFonts w:ascii="Times New Roman" w:hAnsi="Times New Roman" w:cs="Times New Roman"/>
          <w:color w:val="000000" w:themeColor="text1"/>
          <w:lang w:val="en-GB"/>
        </w:rPr>
        <w:t xml:space="preserve"> (</w:t>
      </w:r>
      <w:r w:rsidRPr="004A0217">
        <w:rPr>
          <w:rFonts w:ascii="Times New Roman" w:eastAsia="Times New Roman" w:hAnsi="Times New Roman" w:cs="Times New Roman"/>
          <w:iCs/>
          <w:color w:val="000000" w:themeColor="text1"/>
          <w:lang w:val="en-GB"/>
        </w:rPr>
        <w:t xml:space="preserve">MATLAB R2023b, </w:t>
      </w:r>
      <w:proofErr w:type="spellStart"/>
      <w:r w:rsidRPr="004A0217">
        <w:rPr>
          <w:rFonts w:ascii="Times New Roman" w:eastAsia="Times New Roman" w:hAnsi="Times New Roman" w:cs="Times New Roman"/>
          <w:iCs/>
          <w:color w:val="000000" w:themeColor="text1"/>
          <w:lang w:val="en-GB"/>
        </w:rPr>
        <w:t>MathWorks</w:t>
      </w:r>
      <w:proofErr w:type="spellEnd"/>
      <w:r w:rsidRPr="004A0217">
        <w:rPr>
          <w:rFonts w:ascii="Times New Roman" w:eastAsia="Times New Roman" w:hAnsi="Times New Roman" w:cs="Times New Roman"/>
          <w:iCs/>
          <w:color w:val="000000" w:themeColor="text1"/>
          <w:lang w:val="en-GB"/>
        </w:rPr>
        <w:t>, MA, USA</w:t>
      </w:r>
      <w:r w:rsidRPr="004A0217">
        <w:rPr>
          <w:rFonts w:ascii="Times New Roman" w:hAnsi="Times New Roman" w:cs="Times New Roman"/>
          <w:color w:val="000000" w:themeColor="text1"/>
          <w:lang w:val="en-GB"/>
        </w:rPr>
        <w:t xml:space="preserve">) and GraphPad (GraphPad Prism v10, California, USA). </w:t>
      </w:r>
    </w:p>
    <w:p w14:paraId="5378BEE9" w14:textId="77777777" w:rsidR="00B81314" w:rsidRPr="004A0217" w:rsidRDefault="00B81314">
      <w:pPr>
        <w:rPr>
          <w:rFonts w:ascii="Times New Roman" w:hAnsi="Times New Roman" w:cs="Times New Roman"/>
          <w:color w:val="000000" w:themeColor="text1"/>
        </w:rPr>
      </w:pPr>
      <w:r w:rsidRPr="004A0217">
        <w:rPr>
          <w:rFonts w:ascii="Times New Roman" w:hAnsi="Times New Roman" w:cs="Times New Roman"/>
          <w:color w:val="000000" w:themeColor="text1"/>
        </w:rPr>
        <w:br w:type="page"/>
      </w:r>
    </w:p>
    <w:p w14:paraId="57EBA070" w14:textId="5A40CF47" w:rsidR="002E1723" w:rsidRPr="004A0217" w:rsidRDefault="00B81314">
      <w:pPr>
        <w:rPr>
          <w:rFonts w:ascii="Times New Roman" w:hAnsi="Times New Roman" w:cs="Times New Roman"/>
          <w:b/>
          <w:bCs/>
          <w:color w:val="000000" w:themeColor="text1"/>
        </w:rPr>
      </w:pPr>
      <w:r w:rsidRPr="004A0217">
        <w:rPr>
          <w:rFonts w:ascii="Times New Roman" w:hAnsi="Times New Roman" w:cs="Times New Roman"/>
          <w:b/>
          <w:bCs/>
          <w:color w:val="000000" w:themeColor="text1"/>
        </w:rPr>
        <w:t>REFERENCES</w:t>
      </w:r>
    </w:p>
    <w:p w14:paraId="035CC072" w14:textId="77777777" w:rsidR="00B81314" w:rsidRPr="004A0217" w:rsidRDefault="00B81314">
      <w:pPr>
        <w:rPr>
          <w:rFonts w:ascii="Times New Roman" w:hAnsi="Times New Roman" w:cs="Times New Roman"/>
          <w:color w:val="000000" w:themeColor="text1"/>
        </w:rPr>
      </w:pPr>
    </w:p>
    <w:p w14:paraId="086A1559" w14:textId="77777777" w:rsidR="001E51E9" w:rsidRPr="004A0217" w:rsidRDefault="00B81314"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fldChar w:fldCharType="begin"/>
      </w:r>
      <w:r w:rsidR="001E51E9" w:rsidRPr="004A0217">
        <w:rPr>
          <w:rFonts w:ascii="Times New Roman" w:hAnsi="Times New Roman" w:cs="Times New Roman"/>
          <w:color w:val="000000" w:themeColor="text1"/>
        </w:rPr>
        <w:instrText xml:space="preserve"> ADDIN ZOTERO_BIBL {"uncited":[],"omitted":[],"custom":[]} CSL_BIBLIOGRAPHY </w:instrText>
      </w:r>
      <w:r w:rsidRPr="004A0217">
        <w:rPr>
          <w:rFonts w:ascii="Times New Roman" w:hAnsi="Times New Roman" w:cs="Times New Roman"/>
          <w:color w:val="000000" w:themeColor="text1"/>
        </w:rPr>
        <w:fldChar w:fldCharType="separate"/>
      </w:r>
      <w:r w:rsidR="001E51E9" w:rsidRPr="004A0217">
        <w:rPr>
          <w:rFonts w:ascii="Times New Roman" w:hAnsi="Times New Roman" w:cs="Times New Roman"/>
          <w:color w:val="000000" w:themeColor="text1"/>
        </w:rPr>
        <w:t xml:space="preserve">1. </w:t>
      </w:r>
      <w:r w:rsidR="001E51E9" w:rsidRPr="004A0217">
        <w:rPr>
          <w:rFonts w:ascii="Times New Roman" w:hAnsi="Times New Roman" w:cs="Times New Roman"/>
          <w:color w:val="000000" w:themeColor="text1"/>
        </w:rPr>
        <w:tab/>
        <w:t>Chen L, Del Sorbo L, Grieco DL, et al (2018) Airway Closure in Acute Respiratory Distress Syndrome: An Underestimated and Misinterpreted Phenomenon. Am J Respir Crit Care Med 197:132–136. https://doi.org/10.1164/rccm.201702-0388LE</w:t>
      </w:r>
    </w:p>
    <w:p w14:paraId="68C19F1E"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2. </w:t>
      </w:r>
      <w:r w:rsidRPr="004A0217">
        <w:rPr>
          <w:rFonts w:ascii="Times New Roman" w:hAnsi="Times New Roman" w:cs="Times New Roman"/>
          <w:color w:val="000000" w:themeColor="text1"/>
        </w:rPr>
        <w:tab/>
        <w:t>Chen L, Del Sorbo L, Grieco DL, et al (2020) Potential for Lung Recruitment Estimated by the Recruitment-to-Inflation Ratio in Acute Respiratory Distress Syndrome. A Clinical Trial. Am J Respir Crit Care Med 201:178–187. https://doi.org/10.1164/rccm.201902-0334OC</w:t>
      </w:r>
    </w:p>
    <w:p w14:paraId="67022D0B"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3. </w:t>
      </w:r>
      <w:r w:rsidRPr="004A0217">
        <w:rPr>
          <w:rFonts w:ascii="Times New Roman" w:hAnsi="Times New Roman" w:cs="Times New Roman"/>
          <w:color w:val="000000" w:themeColor="text1"/>
        </w:rPr>
        <w:tab/>
        <w:t>Dellamonica J, Lerolle N, Sargentini C, et al (2011) PEEP-induced changes in lung volume in acute respiratory distress syndrome. Two methods to estimate alveolar recruitment. Intensive Care Med 37:1595–1604. https://doi.org/10.1007/s00134-011-2333-y</w:t>
      </w:r>
    </w:p>
    <w:p w14:paraId="5986F575"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4. </w:t>
      </w:r>
      <w:r w:rsidRPr="004A0217">
        <w:rPr>
          <w:rFonts w:ascii="Times New Roman" w:hAnsi="Times New Roman" w:cs="Times New Roman"/>
          <w:color w:val="000000" w:themeColor="text1"/>
        </w:rPr>
        <w:tab/>
        <w:t>Gattinoni L, Chiumello D, Carlesso E, Valenza F (2004) Bench-to-bedside review: chest wall elastance in acute lung injury/acute respiratory distress syndrome patients. Crit Care 8:350–355. https://doi.org/10.1186/cc2854</w:t>
      </w:r>
    </w:p>
    <w:p w14:paraId="29836A03"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5. </w:t>
      </w:r>
      <w:r w:rsidRPr="004A0217">
        <w:rPr>
          <w:rFonts w:ascii="Times New Roman" w:hAnsi="Times New Roman" w:cs="Times New Roman"/>
          <w:color w:val="000000" w:themeColor="text1"/>
        </w:rPr>
        <w:tab/>
        <w:t>Yoshida T, Amato MBP, Grieco DL, et al (2018) Esophageal Manometry and Regional Transpulmonary Pressure in Lung Injury. Am J Respir Crit Care Med 197:1018–1026. https://doi.org/10.1164/rccm.201709-1806OC</w:t>
      </w:r>
    </w:p>
    <w:p w14:paraId="3186CD22"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6. </w:t>
      </w:r>
      <w:r w:rsidRPr="004A0217">
        <w:rPr>
          <w:rFonts w:ascii="Times New Roman" w:hAnsi="Times New Roman" w:cs="Times New Roman"/>
          <w:color w:val="000000" w:themeColor="text1"/>
        </w:rPr>
        <w:tab/>
        <w:t>Chen H, Zhou J, Lin Y-Q, et al (2018) Intracranial pressure responsiveness to positive end-expiratory pressure in different respiratory mechanics: a preliminary experimental study in pigs. BMC Neurol 18:183. https://doi.org/10.1186/s12883-018-1191-4</w:t>
      </w:r>
    </w:p>
    <w:p w14:paraId="1B78553D"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7. </w:t>
      </w:r>
      <w:r w:rsidRPr="004A0217">
        <w:rPr>
          <w:rFonts w:ascii="Times New Roman" w:hAnsi="Times New Roman" w:cs="Times New Roman"/>
          <w:color w:val="000000" w:themeColor="text1"/>
        </w:rPr>
        <w:tab/>
        <w:t>Chen H, Chen K, Xu J-Q, et al (2018) Intracranial pressure responsiveness to positive end-expiratory pressure is influenced by chest wall elastance: a physiological study in patients with aneurysmal subarachnoid hemorrhage. BMC Neurol 18:1–8. https://doi.org/10.1186/s12883-018-1132-2</w:t>
      </w:r>
    </w:p>
    <w:p w14:paraId="726ACE5D"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8. </w:t>
      </w:r>
      <w:r w:rsidRPr="004A0217">
        <w:rPr>
          <w:rFonts w:ascii="Times New Roman" w:hAnsi="Times New Roman" w:cs="Times New Roman"/>
          <w:color w:val="000000" w:themeColor="text1"/>
        </w:rPr>
        <w:tab/>
        <w:t>Wahlster S, Sharma M, Taran S, et al (2023) Utilization of mechanical power and associations with clinical outcomes in brain injured patients: a secondary analysis of the extubation strategies in neuro-intensive care unit patients and associations with outcome (ENIO) trial. Crit Care 27:1–16. https://doi.org/10.1186/s13054-023-04410-z</w:t>
      </w:r>
    </w:p>
    <w:p w14:paraId="067BB163"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9. </w:t>
      </w:r>
      <w:r w:rsidRPr="004A0217">
        <w:rPr>
          <w:rFonts w:ascii="Times New Roman" w:hAnsi="Times New Roman" w:cs="Times New Roman"/>
          <w:color w:val="000000" w:themeColor="text1"/>
        </w:rPr>
        <w:tab/>
        <w:t>Gattinoni L, Tonetti T, Cressoni M, et al (2016) Ventilator-related causes of lung injury: the mechanical power. Intensive Care Med 42:1567–1575. https://doi.org/10.1007/s00134-016-4505-2</w:t>
      </w:r>
    </w:p>
    <w:p w14:paraId="5250D025"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10. </w:t>
      </w:r>
      <w:r w:rsidRPr="004A0217">
        <w:rPr>
          <w:rFonts w:ascii="Times New Roman" w:hAnsi="Times New Roman" w:cs="Times New Roman"/>
          <w:color w:val="000000" w:themeColor="text1"/>
        </w:rPr>
        <w:tab/>
        <w:t>Czosnyka M, Smielewski P, Kirkpatrick P, et al (1997) Continuous Assessment of the Cerebral Vasomotor Reactivity in Head Injury. Neurosurgery 41:11</w:t>
      </w:r>
    </w:p>
    <w:p w14:paraId="014E0997"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11. </w:t>
      </w:r>
      <w:r w:rsidRPr="004A0217">
        <w:rPr>
          <w:rFonts w:ascii="Times New Roman" w:hAnsi="Times New Roman" w:cs="Times New Roman"/>
          <w:color w:val="000000" w:themeColor="text1"/>
        </w:rPr>
        <w:tab/>
        <w:t>Cucciolini G, Motroni V, Czosnyka M (2023) Intracranial pressure for clinicians: it is not just a number. J Anesth Analg Crit Care 3:31. https://doi.org/10.1186/s44158-023-00115-5</w:t>
      </w:r>
    </w:p>
    <w:p w14:paraId="29D299C8"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12. </w:t>
      </w:r>
      <w:r w:rsidRPr="004A0217">
        <w:rPr>
          <w:rFonts w:ascii="Times New Roman" w:hAnsi="Times New Roman" w:cs="Times New Roman"/>
          <w:color w:val="000000" w:themeColor="text1"/>
        </w:rPr>
        <w:tab/>
        <w:t>Sinha P, Calfee CS, Beitler JR, et al (2019) Physiologic Analysis and Clinical Performance of the Ventilatory Ratio in Acute Respiratory Distress Syndrome. Am J Respir Crit Care Med 199:333–341. https://doi.org/10.1164/rccm.201804-0692OC</w:t>
      </w:r>
    </w:p>
    <w:p w14:paraId="0F6262C7"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13. </w:t>
      </w:r>
      <w:r w:rsidRPr="004A0217">
        <w:rPr>
          <w:rFonts w:ascii="Times New Roman" w:hAnsi="Times New Roman" w:cs="Times New Roman"/>
          <w:color w:val="000000" w:themeColor="text1"/>
        </w:rPr>
        <w:tab/>
        <w:t>Tahvanainen J, Meretoja O, Nikki P (1982) Can central venous blood replace mixed venous blood samples? Crit Care Med 10:758–761. https://doi.org/10.1097/00003246-198211000-00012</w:t>
      </w:r>
    </w:p>
    <w:p w14:paraId="4C743875"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14. </w:t>
      </w:r>
      <w:r w:rsidRPr="004A0217">
        <w:rPr>
          <w:rFonts w:ascii="Times New Roman" w:hAnsi="Times New Roman" w:cs="Times New Roman"/>
          <w:color w:val="000000" w:themeColor="text1"/>
        </w:rPr>
        <w:tab/>
        <w:t>Pulletz S, van Genderingen HR, Schmitz G, et al (2006) Comparison of different methods to define regions of interest for evaluation of regional lung ventilation by EIT. Physiol Meas 27:S115-127. https://doi.org/10.1088/0967-3334/27/5/S10</w:t>
      </w:r>
    </w:p>
    <w:p w14:paraId="21A6BFA1"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15. </w:t>
      </w:r>
      <w:r w:rsidRPr="004A0217">
        <w:rPr>
          <w:rFonts w:ascii="Times New Roman" w:hAnsi="Times New Roman" w:cs="Times New Roman"/>
          <w:color w:val="000000" w:themeColor="text1"/>
        </w:rPr>
        <w:tab/>
        <w:t>Becher T, Vogt B, Kott M, et al (2016) Functional Regions of Interest in Electrical Impedance Tomography: A Secondary Analysis of Two Clinical Studies. PLoS One 11:e0152267. https://doi.org/10.1371/journal.pone.0152267</w:t>
      </w:r>
    </w:p>
    <w:p w14:paraId="15123A7D"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16. </w:t>
      </w:r>
      <w:r w:rsidRPr="004A0217">
        <w:rPr>
          <w:rFonts w:ascii="Times New Roman" w:hAnsi="Times New Roman" w:cs="Times New Roman"/>
          <w:color w:val="000000" w:themeColor="text1"/>
        </w:rPr>
        <w:tab/>
        <w:t>Hinz J, Neumann P, Dudykevych T, et al (2003) Regional Ventilation by Electrical Impedance Tomography: A Comparison With Ventilation Scintigraphy in Pigs. Chest 124:314–322. https://doi.org/10.1378/chest.124.1.314</w:t>
      </w:r>
    </w:p>
    <w:p w14:paraId="775A8D52"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17. </w:t>
      </w:r>
      <w:r w:rsidRPr="004A0217">
        <w:rPr>
          <w:rFonts w:ascii="Times New Roman" w:hAnsi="Times New Roman" w:cs="Times New Roman"/>
          <w:color w:val="000000" w:themeColor="text1"/>
        </w:rPr>
        <w:tab/>
        <w:t>Zhao Z, Möller K, Steinmann D, Guttmann J (2009) Global and local inhomogeneity indices of lung ventilation based on electrical impedance tomography. In: Vander Sloten J, Verdonck P, Nyssen M, Haueisen J (eds) 4th European Conference of the International Federation for Medical and Biological Engineering. Springer, Berlin, Heidelberg, pp 256–259</w:t>
      </w:r>
    </w:p>
    <w:p w14:paraId="67EC80AB" w14:textId="77777777" w:rsidR="001E51E9" w:rsidRPr="004A0217" w:rsidRDefault="001E51E9" w:rsidP="001E51E9">
      <w:pPr>
        <w:pStyle w:val="Bibliography"/>
        <w:rPr>
          <w:rFonts w:ascii="Times New Roman" w:hAnsi="Times New Roman" w:cs="Times New Roman"/>
          <w:color w:val="000000" w:themeColor="text1"/>
        </w:rPr>
      </w:pPr>
      <w:r w:rsidRPr="004A0217">
        <w:rPr>
          <w:rFonts w:ascii="Times New Roman" w:hAnsi="Times New Roman" w:cs="Times New Roman"/>
          <w:color w:val="000000" w:themeColor="text1"/>
        </w:rPr>
        <w:t xml:space="preserve">18. </w:t>
      </w:r>
      <w:r w:rsidRPr="004A0217">
        <w:rPr>
          <w:rFonts w:ascii="Times New Roman" w:hAnsi="Times New Roman" w:cs="Times New Roman"/>
          <w:color w:val="000000" w:themeColor="text1"/>
        </w:rPr>
        <w:tab/>
        <w:t>Robba C, Ball L, Nogas S, et al (2021) Effects of Positive End-Expiratory Pressure on Lung Recruitment, Respiratory Mechanics, and Intracranial Pressure in Mechanically Ventilated Brain-Injured Patients. Front Physiol 12:711273. https://doi.org/10.3389/fphys.2021.711273</w:t>
      </w:r>
    </w:p>
    <w:p w14:paraId="5B347B03" w14:textId="623819B1" w:rsidR="00B81314" w:rsidRPr="004A0217" w:rsidRDefault="00B81314">
      <w:pPr>
        <w:rPr>
          <w:rFonts w:ascii="Times New Roman" w:hAnsi="Times New Roman" w:cs="Times New Roman"/>
          <w:color w:val="000000" w:themeColor="text1"/>
        </w:rPr>
      </w:pPr>
      <w:r w:rsidRPr="004A0217">
        <w:rPr>
          <w:rFonts w:ascii="Times New Roman" w:hAnsi="Times New Roman" w:cs="Times New Roman"/>
          <w:color w:val="000000" w:themeColor="text1"/>
        </w:rPr>
        <w:fldChar w:fldCharType="end"/>
      </w:r>
    </w:p>
    <w:sectPr w:rsidR="00B81314" w:rsidRPr="004A0217" w:rsidSect="004A02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1717F"/>
    <w:multiLevelType w:val="hybridMultilevel"/>
    <w:tmpl w:val="724C384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revisionView w:markup="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986"/>
    <w:rsid w:val="001E0D5A"/>
    <w:rsid w:val="001E51E9"/>
    <w:rsid w:val="002E1723"/>
    <w:rsid w:val="003B074D"/>
    <w:rsid w:val="004A0217"/>
    <w:rsid w:val="005053BB"/>
    <w:rsid w:val="0051337D"/>
    <w:rsid w:val="005C1145"/>
    <w:rsid w:val="00623A77"/>
    <w:rsid w:val="00763986"/>
    <w:rsid w:val="00913B40"/>
    <w:rsid w:val="009965D8"/>
    <w:rsid w:val="00AB4BF5"/>
    <w:rsid w:val="00AC1C0F"/>
    <w:rsid w:val="00B81314"/>
    <w:rsid w:val="00BF553B"/>
    <w:rsid w:val="00D21EB7"/>
    <w:rsid w:val="00ED56C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F1D6F"/>
  <w15:chartTrackingRefBased/>
  <w15:docId w15:val="{E0FD0073-A4D8-4B93-BA4F-D8EFD63D0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5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5D8"/>
    <w:pPr>
      <w:ind w:left="720"/>
      <w:contextualSpacing/>
    </w:pPr>
  </w:style>
  <w:style w:type="paragraph" w:styleId="Bibliography">
    <w:name w:val="Bibliography"/>
    <w:basedOn w:val="Normal"/>
    <w:next w:val="Normal"/>
    <w:uiPriority w:val="37"/>
    <w:unhideWhenUsed/>
    <w:rsid w:val="00B81314"/>
    <w:pPr>
      <w:tabs>
        <w:tab w:val="left" w:pos="504"/>
      </w:tabs>
      <w:spacing w:after="240" w:line="240" w:lineRule="auto"/>
      <w:ind w:left="504" w:hanging="504"/>
    </w:pPr>
  </w:style>
  <w:style w:type="character" w:styleId="Hyperlink">
    <w:name w:val="Hyperlink"/>
    <w:basedOn w:val="DefaultParagraphFont"/>
    <w:uiPriority w:val="99"/>
    <w:unhideWhenUsed/>
    <w:rsid w:val="00B813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iangela.pellegrini@uu.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10591</Words>
  <Characters>60374</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Uppsala universitet</Company>
  <LinksUpToDate>false</LinksUpToDate>
  <CharactersWithSpaces>70824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Pellegrini</dc:creator>
  <cp:keywords/>
  <dc:description/>
  <cp:lastModifiedBy>Mythili  Venkatesan</cp:lastModifiedBy>
  <cp:revision>5</cp:revision>
  <dcterms:created xsi:type="dcterms:W3CDTF">2025-01-16T22:33:00Z</dcterms:created>
  <dcterms:modified xsi:type="dcterms:W3CDTF">2025-04-06T05:48:00Z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f07aed043b921998cc5e031d42be1692e2df43146154a60fc4f08813ed1d9961</vt:lpwstr>
  </property>
  <property fmtid="{D5CDD505-2E9C-101B-9397-08002B2CF9AE}" pid="3" name="ZOTERO_PREF_1">
    <vt:lpwstr>&lt;data data-version="3" zotero-version="7.0.11"&gt;&lt;session id="jB62mxmg"/&gt;&lt;style id="http://www.zotero.org/styles/intensive-care-medicine-experimental" hasBibliography="1" bibliographyStyleHasBeenSet="1"/&gt;&lt;prefs&gt;&lt;pref name="fieldType" value="Field"/&gt;&lt;/prefs&gt;</vt:lpwstr>
  </property>
  <property fmtid="{D5CDD505-2E9C-101B-9397-08002B2CF9AE}" pid="4" name="ZOTERO_PREF_2">
    <vt:lpwstr>&lt;/data&gt;</vt:lpwstr>
  </property>
</Properties>
</file>