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EAE66" w14:textId="1FB9DE33" w:rsidR="00E402EC" w:rsidRPr="00BB2BCA" w:rsidRDefault="00E402EC" w:rsidP="00E402E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en-GB"/>
        </w:rPr>
      </w:pPr>
      <w:r w:rsidRPr="00BB2BCA">
        <w:rPr>
          <w:rFonts w:ascii="Times New Roman" w:hAnsi="Times New Roman" w:cs="Times New Roman"/>
          <w:b/>
          <w:bCs/>
          <w:sz w:val="40"/>
          <w:szCs w:val="40"/>
          <w:u w:val="single"/>
          <w:lang w:val="en-GB"/>
        </w:rPr>
        <w:t>Supplementary Appendix</w:t>
      </w:r>
    </w:p>
    <w:p w14:paraId="23491454" w14:textId="77777777" w:rsidR="00E402EC" w:rsidRPr="00BB2BCA" w:rsidRDefault="00E402EC" w:rsidP="00E402EC">
      <w:pPr>
        <w:rPr>
          <w:rFonts w:ascii="Times New Roman" w:hAnsi="Times New Roman" w:cs="Times New Roman"/>
          <w:lang w:val="en-GB"/>
        </w:rPr>
      </w:pPr>
    </w:p>
    <w:p w14:paraId="2831CD7C" w14:textId="19D88A94" w:rsidR="00E402EC" w:rsidRPr="00BB2BCA" w:rsidRDefault="00E402EC" w:rsidP="00E402EC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</w:pPr>
      <w:r w:rsidRPr="00BB2BCA"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  <w:t>1. Supplementary Material and Methods</w:t>
      </w:r>
    </w:p>
    <w:p w14:paraId="1180DDCD" w14:textId="5DB0B8C4" w:rsidR="00E402EC" w:rsidRPr="00BB2BCA" w:rsidRDefault="00E402EC" w:rsidP="00E402EC">
      <w:pPr>
        <w:rPr>
          <w:rFonts w:ascii="Times New Roman" w:hAnsi="Times New Roman" w:cs="Times New Roman"/>
          <w:sz w:val="28"/>
          <w:szCs w:val="28"/>
          <w:u w:val="single"/>
          <w:lang w:val="en-GB"/>
        </w:rPr>
      </w:pPr>
      <w:r w:rsidRPr="00BB2BCA">
        <w:rPr>
          <w:rFonts w:ascii="Times New Roman" w:hAnsi="Times New Roman" w:cs="Times New Roman"/>
          <w:sz w:val="28"/>
          <w:szCs w:val="28"/>
          <w:u w:val="single"/>
          <w:lang w:val="en-GB"/>
        </w:rPr>
        <w:t>Power calculation and interim analysis plan</w:t>
      </w:r>
    </w:p>
    <w:p w14:paraId="188A306D" w14:textId="6CB0EDC3" w:rsidR="00E402EC" w:rsidRPr="00BB2BCA" w:rsidRDefault="00E402EC" w:rsidP="00E402EC">
      <w:pPr>
        <w:pStyle w:val="Heading4"/>
        <w:ind w:firstLine="720"/>
        <w:jc w:val="both"/>
        <w:rPr>
          <w:rFonts w:ascii="Times New Roman" w:hAnsi="Times New Roman" w:cs="Times New Roman"/>
          <w:color w:val="auto"/>
          <w:u w:val="single"/>
          <w:lang w:val="en-US"/>
        </w:rPr>
      </w:pPr>
      <w:r w:rsidRPr="00BB2BCA">
        <w:rPr>
          <w:rStyle w:val="Strong"/>
          <w:rFonts w:ascii="Times New Roman" w:hAnsi="Times New Roman" w:cs="Times New Roman"/>
          <w:b w:val="0"/>
          <w:bCs w:val="0"/>
          <w:color w:val="auto"/>
          <w:u w:val="single"/>
          <w:lang w:val="en-US"/>
        </w:rPr>
        <w:t>A. Power calculation for the originally planned sample</w:t>
      </w:r>
    </w:p>
    <w:p w14:paraId="0870977F" w14:textId="77777777" w:rsidR="00E402EC" w:rsidRPr="00BB2BCA" w:rsidRDefault="00E402EC" w:rsidP="00E402EC">
      <w:pPr>
        <w:pStyle w:val="NormalWeb"/>
        <w:jc w:val="both"/>
        <w:rPr>
          <w:lang w:val="en-US"/>
        </w:rPr>
      </w:pPr>
      <w:r w:rsidRPr="00BB2BCA">
        <w:rPr>
          <w:lang w:val="en-US"/>
        </w:rPr>
        <w:t xml:space="preserve">The primary endpoint was the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change in brain tissue oxygenation (</w:t>
      </w:r>
      <w:r w:rsidRPr="00BB2BCA">
        <w:rPr>
          <w:rStyle w:val="Strong"/>
          <w:rFonts w:eastAsiaTheme="majorEastAsia"/>
          <w:b w:val="0"/>
          <w:bCs w:val="0"/>
        </w:rPr>
        <w:t>Δ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PbtO₂, mmHg)</w:t>
      </w:r>
      <w:r w:rsidRPr="00BB2BCA">
        <w:rPr>
          <w:lang w:val="en-US"/>
        </w:rPr>
        <w:t xml:space="preserve"> over time, analyzed with a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linear mixed-effects model</w:t>
      </w:r>
      <w:r w:rsidRPr="00BB2BCA">
        <w:rPr>
          <w:lang w:val="en-US"/>
        </w:rPr>
        <w:t xml:space="preserve"> adjusted for baseline.</w:t>
      </w:r>
    </w:p>
    <w:p w14:paraId="6270AB11" w14:textId="77777777" w:rsidR="00E402EC" w:rsidRPr="00BB2BCA" w:rsidRDefault="00E402EC" w:rsidP="00E402EC">
      <w:pPr>
        <w:pStyle w:val="NormalWeb"/>
        <w:jc w:val="both"/>
        <w:rPr>
          <w:lang w:val="en-US"/>
        </w:rPr>
      </w:pPr>
      <w:r w:rsidRPr="00BB2BCA">
        <w:rPr>
          <w:lang w:val="en-US"/>
        </w:rPr>
        <w:t>Assumptions for the original sample size calculation were:</w:t>
      </w:r>
    </w:p>
    <w:p w14:paraId="175F9367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BB2BCA">
        <w:rPr>
          <w:lang w:val="en-US"/>
        </w:rPr>
        <w:t xml:space="preserve">Expected mean difference (treatment–control): </w:t>
      </w:r>
      <w:r w:rsidRPr="00BB2BCA">
        <w:rPr>
          <w:rStyle w:val="Strong"/>
          <w:rFonts w:eastAsiaTheme="majorEastAsia"/>
          <w:b w:val="0"/>
          <w:bCs w:val="0"/>
        </w:rPr>
        <w:t>Δ</w:t>
      </w:r>
      <w:r w:rsidRPr="00BB2BCA">
        <w:rPr>
          <w:rStyle w:val="Strong"/>
          <w:rFonts w:eastAsiaTheme="majorEastAsia"/>
          <w:b w:val="0"/>
          <w:bCs w:val="0"/>
          <w:lang w:val="en-US"/>
        </w:rPr>
        <w:t xml:space="preserve"> = 5 mmHg</w:t>
      </w:r>
      <w:r w:rsidRPr="00BB2BCA">
        <w:rPr>
          <w:lang w:val="en-US"/>
        </w:rPr>
        <w:t xml:space="preserve"> (minimal clinically important difference from prior PbtO₂-guided studies).</w:t>
      </w:r>
    </w:p>
    <w:p w14:paraId="48A6A34B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BB2BCA">
        <w:rPr>
          <w:lang w:val="en-US"/>
        </w:rPr>
        <w:t xml:space="preserve">Within-subject SD: </w:t>
      </w:r>
      <w:r w:rsidRPr="00BB2BCA">
        <w:rPr>
          <w:rStyle w:val="Strong"/>
          <w:rFonts w:eastAsiaTheme="majorEastAsia"/>
          <w:b w:val="0"/>
          <w:bCs w:val="0"/>
        </w:rPr>
        <w:t>σ</w:t>
      </w:r>
      <w:r w:rsidRPr="00BB2BCA">
        <w:rPr>
          <w:rStyle w:val="Strong"/>
          <w:rFonts w:eastAsiaTheme="majorEastAsia"/>
          <w:b w:val="0"/>
          <w:bCs w:val="0"/>
          <w:lang w:val="en-US"/>
        </w:rPr>
        <w:t xml:space="preserve"> = 6 mmHg</w:t>
      </w:r>
      <w:r w:rsidRPr="00BB2BCA">
        <w:rPr>
          <w:lang w:val="en-US"/>
        </w:rPr>
        <w:t>.</w:t>
      </w:r>
    </w:p>
    <w:p w14:paraId="3BD35C06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BB2BCA">
        <w:rPr>
          <w:lang w:val="en-US"/>
        </w:rPr>
        <w:t xml:space="preserve">Correlation between repeated measures: </w:t>
      </w:r>
      <w:r w:rsidRPr="00BB2BCA">
        <w:rPr>
          <w:rStyle w:val="Strong"/>
          <w:rFonts w:eastAsiaTheme="majorEastAsia"/>
          <w:b w:val="0"/>
          <w:bCs w:val="0"/>
        </w:rPr>
        <w:t>ρ</w:t>
      </w:r>
      <w:r w:rsidRPr="00BB2BCA">
        <w:rPr>
          <w:rStyle w:val="Strong"/>
          <w:rFonts w:eastAsiaTheme="majorEastAsia"/>
          <w:b w:val="0"/>
          <w:bCs w:val="0"/>
          <w:lang w:val="en-US"/>
        </w:rPr>
        <w:t xml:space="preserve"> = 0.6</w:t>
      </w:r>
      <w:r w:rsidRPr="00BB2BCA">
        <w:rPr>
          <w:lang w:val="en-US"/>
        </w:rPr>
        <w:t>.</w:t>
      </w:r>
    </w:p>
    <w:p w14:paraId="367E1B9C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BB2BCA">
        <w:rPr>
          <w:lang w:val="en-US"/>
        </w:rPr>
        <w:t xml:space="preserve">Number of repeated measurements per animal: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m = 12</w:t>
      </w:r>
      <w:r w:rsidRPr="00BB2BCA">
        <w:rPr>
          <w:lang w:val="en-US"/>
        </w:rPr>
        <w:t>.</w:t>
      </w:r>
    </w:p>
    <w:p w14:paraId="1EF609D0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</w:pPr>
      <w:r w:rsidRPr="00BB2BCA">
        <w:t xml:space="preserve">Dropout rate : </w:t>
      </w:r>
      <w:r w:rsidRPr="00BB2BCA">
        <w:rPr>
          <w:rStyle w:val="Strong"/>
          <w:rFonts w:eastAsiaTheme="majorEastAsia"/>
          <w:b w:val="0"/>
          <w:bCs w:val="0"/>
        </w:rPr>
        <w:t>10%</w:t>
      </w:r>
      <w:r w:rsidRPr="00BB2BCA">
        <w:t>.</w:t>
      </w:r>
    </w:p>
    <w:p w14:paraId="5FE337BE" w14:textId="77777777" w:rsidR="00E402EC" w:rsidRPr="00BB2BCA" w:rsidRDefault="00E402EC" w:rsidP="00E402EC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BB2BCA">
        <w:rPr>
          <w:lang w:val="en-US"/>
        </w:rPr>
        <w:t xml:space="preserve">Two-sided </w:t>
      </w:r>
      <w:r w:rsidRPr="00BB2BCA">
        <w:t>α</w:t>
      </w:r>
      <w:r w:rsidRPr="00BB2BCA">
        <w:rPr>
          <w:lang w:val="en-US"/>
        </w:rPr>
        <w:t xml:space="preserve"> = 0.05 (O’Brien–Fleming overall), target power =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80%</w:t>
      </w:r>
      <w:r w:rsidRPr="00BB2BCA">
        <w:rPr>
          <w:lang w:val="en-US"/>
        </w:rPr>
        <w:t>.</w:t>
      </w:r>
    </w:p>
    <w:p w14:paraId="2ADE634B" w14:textId="77777777" w:rsidR="00E402EC" w:rsidRPr="00BB2BCA" w:rsidRDefault="00E402EC" w:rsidP="00E402EC">
      <w:pPr>
        <w:pStyle w:val="NormalWeb"/>
        <w:jc w:val="both"/>
        <w:rPr>
          <w:lang w:val="en-US"/>
        </w:rPr>
      </w:pPr>
      <w:r w:rsidRPr="00BB2BCA">
        <w:rPr>
          <w:lang w:val="en-US"/>
        </w:rPr>
        <w:t xml:space="preserve">Using these assumptions, sample size of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17 animals per arm</w:t>
      </w:r>
      <w:r w:rsidRPr="00BB2BCA">
        <w:rPr>
          <w:lang w:val="en-US"/>
        </w:rPr>
        <w:t xml:space="preserve"> were required to achieve 80% power at </w:t>
      </w:r>
      <w:r w:rsidRPr="00BB2BCA">
        <w:t>α</w:t>
      </w:r>
      <w:r w:rsidRPr="00BB2BCA">
        <w:rPr>
          <w:lang w:val="en-US"/>
        </w:rPr>
        <w:t xml:space="preserve"> = 0.05.</w:t>
      </w:r>
    </w:p>
    <w:p w14:paraId="309403F9" w14:textId="61074F71" w:rsidR="00E402EC" w:rsidRPr="00BB2BCA" w:rsidRDefault="00E402EC" w:rsidP="00E402EC">
      <w:pPr>
        <w:pStyle w:val="Heading4"/>
        <w:ind w:firstLine="720"/>
        <w:jc w:val="both"/>
        <w:rPr>
          <w:rFonts w:ascii="Times New Roman" w:hAnsi="Times New Roman" w:cs="Times New Roman"/>
          <w:color w:val="auto"/>
          <w:u w:val="single"/>
          <w:lang w:val="en-US"/>
        </w:rPr>
      </w:pPr>
      <w:r w:rsidRPr="00BB2BCA">
        <w:rPr>
          <w:rStyle w:val="Strong"/>
          <w:rFonts w:ascii="Times New Roman" w:hAnsi="Times New Roman" w:cs="Times New Roman"/>
          <w:b w:val="0"/>
          <w:bCs w:val="0"/>
          <w:color w:val="auto"/>
          <w:u w:val="single"/>
          <w:lang w:val="en-US"/>
        </w:rPr>
        <w:t>B. Interim analysis plan</w:t>
      </w:r>
    </w:p>
    <w:p w14:paraId="39692520" w14:textId="77777777" w:rsidR="00E402EC" w:rsidRPr="00BB2BCA" w:rsidRDefault="00E402EC" w:rsidP="00E402EC">
      <w:pPr>
        <w:pStyle w:val="NormalWeb"/>
        <w:jc w:val="both"/>
        <w:rPr>
          <w:lang w:val="en-US"/>
        </w:rPr>
      </w:pPr>
      <w:r w:rsidRPr="00BB2BCA">
        <w:rPr>
          <w:lang w:val="en-US"/>
        </w:rPr>
        <w:t xml:space="preserve">One interim analysis was pre-specified after inclusion of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n = 6 animals per arm.</w:t>
      </w:r>
      <w:r w:rsidRPr="00BB2BCA">
        <w:rPr>
          <w:lang w:val="en-US"/>
        </w:rPr>
        <w:t xml:space="preserve"> The interim analysis was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unblinded</w:t>
      </w:r>
      <w:r w:rsidRPr="00BB2BCA">
        <w:rPr>
          <w:lang w:val="en-US"/>
        </w:rPr>
        <w:t xml:space="preserve">, conducted by the study investigators according to the pre-specified statistical analysis plan. The interim analysis served to evaluate potential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futility.</w:t>
      </w:r>
    </w:p>
    <w:p w14:paraId="11C202E9" w14:textId="77777777" w:rsidR="00E402EC" w:rsidRPr="00BB2BCA" w:rsidRDefault="00E402EC" w:rsidP="00E402EC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B2BCA">
        <w:rPr>
          <w:rStyle w:val="Strong"/>
          <w:rFonts w:eastAsiaTheme="majorEastAsia"/>
          <w:b w:val="0"/>
          <w:bCs w:val="0"/>
          <w:lang w:val="en-US"/>
        </w:rPr>
        <w:t>Alpha spending:</w:t>
      </w:r>
      <w:r w:rsidRPr="00BB2BCA">
        <w:rPr>
          <w:lang w:val="en-US"/>
        </w:rPr>
        <w:t xml:space="preserve"> The overall two-sided </w:t>
      </w:r>
      <w:r w:rsidRPr="00BB2BCA">
        <w:rPr>
          <w:rStyle w:val="Strong"/>
          <w:rFonts w:eastAsiaTheme="majorEastAsia"/>
          <w:b w:val="0"/>
          <w:bCs w:val="0"/>
        </w:rPr>
        <w:t>α</w:t>
      </w:r>
      <w:r w:rsidRPr="00BB2BCA">
        <w:rPr>
          <w:rStyle w:val="Strong"/>
          <w:rFonts w:eastAsiaTheme="majorEastAsia"/>
          <w:b w:val="0"/>
          <w:bCs w:val="0"/>
          <w:lang w:val="en-US"/>
        </w:rPr>
        <w:t xml:space="preserve"> = 0.05</w:t>
      </w:r>
      <w:r w:rsidRPr="00BB2BCA">
        <w:rPr>
          <w:lang w:val="en-US"/>
        </w:rPr>
        <w:t xml:space="preserve"> was preserved using an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O’Brien–Fleming–type alpha spending function</w:t>
      </w:r>
      <w:r w:rsidRPr="00BB2BCA">
        <w:rPr>
          <w:lang w:val="en-US"/>
        </w:rPr>
        <w:t xml:space="preserve"> (interim boundary p &lt; 0.005; final boundary p &lt; 0.048).</w:t>
      </w:r>
    </w:p>
    <w:p w14:paraId="5AF666A8" w14:textId="77777777" w:rsidR="00E402EC" w:rsidRPr="00BB2BCA" w:rsidRDefault="00E402EC" w:rsidP="00E402EC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B2BCA">
        <w:rPr>
          <w:rStyle w:val="Strong"/>
          <w:rFonts w:eastAsiaTheme="majorEastAsia"/>
          <w:b w:val="0"/>
          <w:bCs w:val="0"/>
          <w:lang w:val="en-US"/>
        </w:rPr>
        <w:t>Decision rules: Futility:</w:t>
      </w:r>
      <w:r w:rsidRPr="00BB2BCA">
        <w:rPr>
          <w:lang w:val="en-US"/>
        </w:rPr>
        <w:t xml:space="preserve"> Stop if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conditional power &lt; 15%</w:t>
      </w:r>
      <w:r w:rsidRPr="00BB2BCA">
        <w:rPr>
          <w:lang w:val="en-US"/>
        </w:rPr>
        <w:t xml:space="preserve"> under the assumed treatment effect (</w:t>
      </w:r>
      <w:r w:rsidRPr="00BB2BCA">
        <w:t>Δ</w:t>
      </w:r>
      <w:r w:rsidRPr="00BB2BCA">
        <w:rPr>
          <w:lang w:val="en-US"/>
        </w:rPr>
        <w:t xml:space="preserve"> = 5 mmHg)</w:t>
      </w:r>
    </w:p>
    <w:p w14:paraId="39CD15D8" w14:textId="77777777" w:rsidR="00E402EC" w:rsidRPr="00BB2BCA" w:rsidRDefault="00E402EC" w:rsidP="00E402EC">
      <w:pPr>
        <w:pStyle w:val="NormalWeb"/>
        <w:jc w:val="both"/>
        <w:rPr>
          <w:lang w:val="en-US"/>
        </w:rPr>
      </w:pPr>
      <w:r w:rsidRPr="00BB2BCA">
        <w:rPr>
          <w:lang w:val="en-US"/>
        </w:rPr>
        <w:t xml:space="preserve">At the interim analysis (n = 6 per arm),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no difference in PbtO₂ was observed</w:t>
      </w:r>
      <w:r w:rsidRPr="00BB2BCA">
        <w:rPr>
          <w:lang w:val="en-US"/>
        </w:rPr>
        <w:t xml:space="preserve">, and the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conditional power was below 15%</w:t>
      </w:r>
      <w:r w:rsidRPr="00BB2BCA">
        <w:rPr>
          <w:lang w:val="en-US"/>
        </w:rPr>
        <w:t xml:space="preserve">, fulfilling the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pre-specified futility criterion</w:t>
      </w:r>
      <w:r w:rsidRPr="00BB2BCA">
        <w:rPr>
          <w:lang w:val="en-US"/>
        </w:rPr>
        <w:t>.</w:t>
      </w:r>
      <w:r w:rsidRPr="00BB2BCA">
        <w:rPr>
          <w:lang w:val="en-US"/>
        </w:rPr>
        <w:br/>
        <w:t xml:space="preserve">The study was therefore </w:t>
      </w:r>
      <w:r w:rsidRPr="00BB2BCA">
        <w:rPr>
          <w:rStyle w:val="Strong"/>
          <w:rFonts w:eastAsiaTheme="majorEastAsia"/>
          <w:b w:val="0"/>
          <w:bCs w:val="0"/>
          <w:lang w:val="en-US"/>
        </w:rPr>
        <w:t>stopped early for futility</w:t>
      </w:r>
      <w:r w:rsidRPr="00BB2BCA">
        <w:rPr>
          <w:lang w:val="en-US"/>
        </w:rPr>
        <w:t>, as planned.</w:t>
      </w:r>
    </w:p>
    <w:p w14:paraId="6F45F342" w14:textId="77777777" w:rsidR="00E402EC" w:rsidRPr="00BB2BCA" w:rsidRDefault="00E402EC" w:rsidP="00E402EC">
      <w:pPr>
        <w:rPr>
          <w:rFonts w:ascii="Times New Roman" w:hAnsi="Times New Roman" w:cs="Times New Roman"/>
          <w:lang w:val="en-US"/>
        </w:rPr>
      </w:pPr>
    </w:p>
    <w:p w14:paraId="48CBD3A2" w14:textId="77777777" w:rsidR="00E402EC" w:rsidRPr="00BB2BCA" w:rsidRDefault="00E402EC" w:rsidP="00E402EC">
      <w:pPr>
        <w:rPr>
          <w:rFonts w:ascii="Times New Roman" w:hAnsi="Times New Roman" w:cs="Times New Roman"/>
          <w:lang w:val="en-US"/>
        </w:rPr>
      </w:pPr>
    </w:p>
    <w:p w14:paraId="0B645545" w14:textId="77777777" w:rsidR="00E402EC" w:rsidRPr="00BB2BCA" w:rsidRDefault="00E402EC" w:rsidP="00E402EC">
      <w:pPr>
        <w:rPr>
          <w:rFonts w:ascii="Times New Roman" w:hAnsi="Times New Roman" w:cs="Times New Roman"/>
          <w:lang w:val="en-US"/>
        </w:rPr>
      </w:pPr>
    </w:p>
    <w:p w14:paraId="4B399F8D" w14:textId="77777777" w:rsidR="00E402EC" w:rsidRPr="00BB2BCA" w:rsidRDefault="00E402EC" w:rsidP="00E402EC">
      <w:pPr>
        <w:rPr>
          <w:rFonts w:ascii="Times New Roman" w:hAnsi="Times New Roman" w:cs="Times New Roman"/>
          <w:lang w:val="en-US"/>
        </w:rPr>
      </w:pPr>
    </w:p>
    <w:p w14:paraId="339698C4" w14:textId="0966F416" w:rsidR="00E402EC" w:rsidRPr="00BB2BCA" w:rsidRDefault="00E402EC" w:rsidP="00E402EC">
      <w:pPr>
        <w:rPr>
          <w:rFonts w:ascii="Times New Roman" w:hAnsi="Times New Roman" w:cs="Times New Roman"/>
          <w:b/>
          <w:bCs/>
          <w:sz w:val="30"/>
          <w:szCs w:val="30"/>
          <w:u w:val="single"/>
          <w:lang w:val="en-GB"/>
        </w:rPr>
      </w:pPr>
      <w:r w:rsidRPr="00BB2BCA">
        <w:rPr>
          <w:rFonts w:ascii="Times New Roman" w:hAnsi="Times New Roman" w:cs="Times New Roman"/>
          <w:b/>
          <w:bCs/>
          <w:sz w:val="30"/>
          <w:szCs w:val="30"/>
          <w:u w:val="single"/>
          <w:lang w:val="en-GB"/>
        </w:rPr>
        <w:lastRenderedPageBreak/>
        <w:t>2. Supplementary Tables and Figures</w:t>
      </w:r>
    </w:p>
    <w:p w14:paraId="5B3C22CC" w14:textId="4084EB30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  <w:r w:rsidRPr="00BB2BCA">
        <w:rPr>
          <w:rFonts w:ascii="Times New Roman" w:hAnsi="Times New Roman" w:cs="Times New Roman"/>
          <w:u w:val="single"/>
        </w:rPr>
        <w:t>Figure S1: Time-course of sedation</w:t>
      </w:r>
      <w:r w:rsidR="00A53A57" w:rsidRPr="00BB2BCA">
        <w:rPr>
          <w:rFonts w:ascii="Times New Roman" w:hAnsi="Times New Roman" w:cs="Times New Roman"/>
          <w:u w:val="single"/>
        </w:rPr>
        <w:t xml:space="preserve"> dose (Sevoflurane Minimal Alveolar Concentration)</w:t>
      </w:r>
      <w:r w:rsidRPr="00BB2BCA">
        <w:rPr>
          <w:rFonts w:ascii="Times New Roman" w:hAnsi="Times New Roman" w:cs="Times New Roman"/>
          <w:u w:val="single"/>
        </w:rPr>
        <w:t>, analgesia</w:t>
      </w:r>
      <w:r w:rsidR="00A53A57" w:rsidRPr="00BB2BCA">
        <w:rPr>
          <w:rFonts w:ascii="Times New Roman" w:hAnsi="Times New Roman" w:cs="Times New Roman"/>
          <w:u w:val="single"/>
        </w:rPr>
        <w:t xml:space="preserve"> (morphine infusion rate), </w:t>
      </w:r>
      <w:r w:rsidRPr="00BB2BCA">
        <w:rPr>
          <w:rFonts w:ascii="Times New Roman" w:hAnsi="Times New Roman" w:cs="Times New Roman"/>
          <w:u w:val="single"/>
        </w:rPr>
        <w:t xml:space="preserve">respiratory support </w:t>
      </w:r>
      <w:r w:rsidR="00A53A57" w:rsidRPr="00BB2BCA">
        <w:rPr>
          <w:rFonts w:ascii="Times New Roman" w:hAnsi="Times New Roman" w:cs="Times New Roman"/>
          <w:u w:val="single"/>
        </w:rPr>
        <w:t xml:space="preserve">(minute ventilation) and ECMO sweep gas flow </w:t>
      </w:r>
      <w:r w:rsidRPr="00BB2BCA">
        <w:rPr>
          <w:rFonts w:ascii="Times New Roman" w:hAnsi="Times New Roman" w:cs="Times New Roman"/>
          <w:u w:val="single"/>
        </w:rPr>
        <w:t>throughout the experiment</w:t>
      </w:r>
    </w:p>
    <w:p w14:paraId="54D8A288" w14:textId="4AB6912A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  <w:r w:rsidRPr="00BB2BCA">
        <w:rPr>
          <w:noProof/>
          <w:lang w:val="en-IN" w:eastAsia="en-IN"/>
        </w:rPr>
        <w:drawing>
          <wp:inline distT="0" distB="0" distL="0" distR="0" wp14:anchorId="58EBDB9D" wp14:editId="29F3F16B">
            <wp:extent cx="5779452" cy="3956703"/>
            <wp:effectExtent l="0" t="0" r="0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93" cy="398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33AD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20EFF10E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73DC26CF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58535B1E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4EFECE9D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32B42D98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252FEA4F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42F0E874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76F0483D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37CAA5F0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3D8331D2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46017597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1323911B" w14:textId="6D1B2904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  <w:r w:rsidRPr="00BB2BCA">
        <w:rPr>
          <w:rFonts w:ascii="Times New Roman" w:hAnsi="Times New Roman" w:cs="Times New Roman"/>
          <w:u w:val="single"/>
        </w:rPr>
        <w:lastRenderedPageBreak/>
        <w:t xml:space="preserve">Table S2: Effect Sizes and 95% Confidence Intervals for the Temperature Variable Showing a Significant Group × Time Interaction (p </w:t>
      </w:r>
      <w:r w:rsidRPr="00BB2BCA">
        <w:rPr>
          <w:rFonts w:ascii="Times New Roman" w:hAnsi="Times New Roman" w:cs="Times New Roman"/>
          <w:sz w:val="20"/>
          <w:szCs w:val="20"/>
          <w:u w:val="single"/>
          <w:lang w:val="en-US"/>
        </w:rPr>
        <w:t>group x time interaction</w:t>
      </w:r>
      <w:r w:rsidRPr="00BB2BCA">
        <w:rPr>
          <w:i/>
          <w:iCs/>
          <w:sz w:val="20"/>
          <w:szCs w:val="20"/>
          <w:u w:val="single"/>
          <w:lang w:val="en-US"/>
        </w:rPr>
        <w:t xml:space="preserve"> </w:t>
      </w:r>
      <w:r w:rsidRPr="00BB2BCA">
        <w:rPr>
          <w:rFonts w:ascii="Times New Roman" w:hAnsi="Times New Roman" w:cs="Times New Roman"/>
          <w:u w:val="single"/>
        </w:rPr>
        <w:t>&lt; 0.0001)</w:t>
      </w:r>
    </w:p>
    <w:p w14:paraId="56828276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  <w:lang w:val="en-GB"/>
        </w:rPr>
      </w:pPr>
    </w:p>
    <w:tbl>
      <w:tblPr>
        <w:tblW w:w="4536" w:type="dxa"/>
        <w:jc w:val="center"/>
        <w:tblLook w:val="04A0" w:firstRow="1" w:lastRow="0" w:firstColumn="1" w:lastColumn="0" w:noHBand="0" w:noVBand="1"/>
      </w:tblPr>
      <w:tblGrid>
        <w:gridCol w:w="1560"/>
        <w:gridCol w:w="1275"/>
        <w:gridCol w:w="1701"/>
      </w:tblGrid>
      <w:tr w:rsidR="00E402EC" w:rsidRPr="00BB2BCA" w14:paraId="69F91A84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3D7E9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Mean difference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EE6D4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 of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A1D0B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95% CIs</w:t>
            </w:r>
          </w:p>
        </w:tc>
      </w:tr>
      <w:tr w:rsidR="00E402EC" w:rsidRPr="00BB2BCA" w14:paraId="09392A7F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2CE5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0,8429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1918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87A2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0,30; 1,39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252A9B3F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F90A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E998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5AE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1,10; 2,18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60A1341F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7F20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2,174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D428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BACD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1,63; 2,72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0210A6DF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677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2,664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669E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BF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2,12; 3,21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11D9FA61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785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3,567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F4A7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75BF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3,00; 4,14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487B7CBC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147B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4,026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AA31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0F36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3,48; 4,57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1A7948FA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0459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4,183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B22F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857A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3,64; 4,73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58B72D80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6661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5C9E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213E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3,58; 4,72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002B4068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698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6A2F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4B45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3,71; 4,80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06A2D24F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7AF3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4,363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7359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18F2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3,76; 4,97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0EFEC54B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E4BC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4,255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D771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C70B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3,71; 4,80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4D35C01A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8EFC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30FD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32C6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3,88; 5,02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3E44C840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8E1F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4,323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0B95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488B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3,72; 4,93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50689B68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0B3A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4,497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90F4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B53D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3,89; 5,10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7E41A16C" w14:textId="77777777" w:rsidTr="001E3553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D21A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4,267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09CF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0,2558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264A" w14:textId="77777777" w:rsidR="00E402EC" w:rsidRPr="00BB2BCA" w:rsidRDefault="00E402EC" w:rsidP="001E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3,70; 4,84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</w:tbl>
    <w:p w14:paraId="4F31B3DA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76E16D74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</w:rPr>
      </w:pPr>
    </w:p>
    <w:p w14:paraId="74405494" w14:textId="1E0F033F" w:rsidR="00E402EC" w:rsidRPr="00BB2BCA" w:rsidRDefault="00E402EC" w:rsidP="00B97C0F">
      <w:pPr>
        <w:jc w:val="center"/>
        <w:rPr>
          <w:rFonts w:ascii="Times New Roman" w:hAnsi="Times New Roman" w:cs="Times New Roman"/>
          <w:u w:val="single"/>
          <w:lang w:val="en-GB"/>
        </w:rPr>
      </w:pPr>
      <w:r w:rsidRPr="00BB2BCA">
        <w:rPr>
          <w:rFonts w:ascii="Times New Roman" w:hAnsi="Times New Roman" w:cs="Times New Roman"/>
          <w:u w:val="single"/>
        </w:rPr>
        <w:t>Table S</w:t>
      </w:r>
      <w:r w:rsidR="00B97C0F" w:rsidRPr="00BB2BCA">
        <w:rPr>
          <w:rFonts w:ascii="Times New Roman" w:hAnsi="Times New Roman" w:cs="Times New Roman"/>
          <w:u w:val="single"/>
        </w:rPr>
        <w:t>3</w:t>
      </w:r>
      <w:r w:rsidRPr="00BB2BCA">
        <w:rPr>
          <w:rFonts w:ascii="Times New Roman" w:hAnsi="Times New Roman" w:cs="Times New Roman"/>
          <w:u w:val="single"/>
        </w:rPr>
        <w:t xml:space="preserve">: Effect Sizes and 95% Confidence Intervals for the NfL Variable Showing a Significant Group × Time Interaction (p </w:t>
      </w:r>
      <w:r w:rsidRPr="00BB2BCA">
        <w:rPr>
          <w:rFonts w:ascii="Times New Roman" w:hAnsi="Times New Roman" w:cs="Times New Roman"/>
          <w:sz w:val="20"/>
          <w:szCs w:val="20"/>
          <w:u w:val="single"/>
          <w:lang w:val="en-US"/>
        </w:rPr>
        <w:t>group x time interaction</w:t>
      </w:r>
      <w:r w:rsidRPr="00BB2BCA">
        <w:rPr>
          <w:i/>
          <w:iCs/>
          <w:sz w:val="20"/>
          <w:szCs w:val="20"/>
          <w:u w:val="single"/>
          <w:lang w:val="en-US"/>
        </w:rPr>
        <w:t xml:space="preserve"> </w:t>
      </w:r>
      <w:r w:rsidRPr="00BB2BCA">
        <w:rPr>
          <w:rFonts w:ascii="Times New Roman" w:hAnsi="Times New Roman" w:cs="Times New Roman"/>
          <w:u w:val="single"/>
          <w:lang w:val="en-US"/>
        </w:rPr>
        <w:t>= 0.03</w:t>
      </w:r>
      <w:r w:rsidRPr="00BB2BCA">
        <w:rPr>
          <w:rFonts w:ascii="Times New Roman" w:hAnsi="Times New Roman" w:cs="Times New Roman"/>
          <w:u w:val="single"/>
        </w:rPr>
        <w:t>)</w:t>
      </w:r>
    </w:p>
    <w:p w14:paraId="274E833E" w14:textId="77777777" w:rsidR="00E402EC" w:rsidRPr="00BB2BCA" w:rsidRDefault="00E402EC" w:rsidP="00E402EC">
      <w:pPr>
        <w:jc w:val="center"/>
        <w:rPr>
          <w:rFonts w:ascii="Times New Roman" w:hAnsi="Times New Roman" w:cs="Times New Roman"/>
          <w:u w:val="single"/>
          <w:lang w:val="en-GB"/>
        </w:rPr>
      </w:pPr>
    </w:p>
    <w:tbl>
      <w:tblPr>
        <w:tblW w:w="4820" w:type="dxa"/>
        <w:jc w:val="center"/>
        <w:tblLook w:val="04A0" w:firstRow="1" w:lastRow="0" w:firstColumn="1" w:lastColumn="0" w:noHBand="0" w:noVBand="1"/>
      </w:tblPr>
      <w:tblGrid>
        <w:gridCol w:w="1560"/>
        <w:gridCol w:w="1275"/>
        <w:gridCol w:w="1985"/>
      </w:tblGrid>
      <w:tr w:rsidR="00E402EC" w:rsidRPr="00BB2BCA" w14:paraId="72BF28EC" w14:textId="77777777" w:rsidTr="00E402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67A1D" w14:textId="2F844119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Mean difference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77563" w14:textId="7FC23BB0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 of difference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F426B" w14:textId="477A6992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95% CIs</w:t>
            </w:r>
          </w:p>
        </w:tc>
      </w:tr>
      <w:tr w:rsidR="00E402EC" w:rsidRPr="00BB2BCA" w14:paraId="2F9828ED" w14:textId="77777777" w:rsidTr="00E402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D72F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0,805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F5F2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1,745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E88D" w14:textId="03B9F3E4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-3,09; 4,70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35F52ED7" w14:textId="77777777" w:rsidTr="00E402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CDBB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-4,725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83A2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4,817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F99E" w14:textId="0FCE3438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-15,47; 6,02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1DE93951" w14:textId="77777777" w:rsidTr="00E402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AFD2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-16,56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CA3A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12,29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A02D" w14:textId="74B5F945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-44,34;  11,22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  <w:tr w:rsidR="00E402EC" w:rsidRPr="00BB2BCA" w14:paraId="68329370" w14:textId="77777777" w:rsidTr="00E402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A528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-20,94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A301" w14:textId="77777777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8,552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3155" w14:textId="0428BD5D" w:rsidR="00E402EC" w:rsidRPr="00BB2BCA" w:rsidRDefault="00E402EC" w:rsidP="00E4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B"/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-40,01; -1,87</w:t>
            </w:r>
            <w:r w:rsidRPr="00BB2BC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sym w:font="Symbol" w:char="F05D"/>
            </w:r>
          </w:p>
        </w:tc>
      </w:tr>
    </w:tbl>
    <w:p w14:paraId="1989F6E8" w14:textId="77777777" w:rsidR="00E402EC" w:rsidRPr="00BB2BCA" w:rsidRDefault="00E402EC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1154F2A3" w14:textId="77777777" w:rsidR="001B63D2" w:rsidRPr="00BB2BCA" w:rsidRDefault="001B63D2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5C32C94A" w14:textId="77777777" w:rsidR="001B63D2" w:rsidRPr="00BB2BCA" w:rsidRDefault="001B63D2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5A803A37" w14:textId="77777777" w:rsidR="001B63D2" w:rsidRPr="00BB2BCA" w:rsidRDefault="001B63D2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2F825806" w14:textId="77777777" w:rsidR="001B63D2" w:rsidRPr="00BB2BCA" w:rsidRDefault="001B63D2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15EF8A3C" w14:textId="77777777" w:rsidR="001B63D2" w:rsidRPr="00BB2BCA" w:rsidRDefault="001B63D2" w:rsidP="00E402EC">
      <w:pPr>
        <w:rPr>
          <w:rFonts w:ascii="Times New Roman" w:hAnsi="Times New Roman" w:cs="Times New Roman"/>
          <w:sz w:val="30"/>
          <w:szCs w:val="30"/>
          <w:u w:val="single"/>
          <w:lang w:val="en-GB"/>
        </w:rPr>
      </w:pPr>
    </w:p>
    <w:p w14:paraId="070B7B2F" w14:textId="77777777" w:rsidR="001B63D2" w:rsidRPr="00BB2BCA" w:rsidRDefault="001B63D2" w:rsidP="001B63D2">
      <w:pPr>
        <w:jc w:val="center"/>
        <w:rPr>
          <w:rFonts w:ascii="Times New Roman" w:hAnsi="Times New Roman" w:cs="Times New Roman"/>
          <w:u w:val="single"/>
        </w:rPr>
      </w:pPr>
      <w:r w:rsidRPr="00BB2BCA">
        <w:rPr>
          <w:rFonts w:ascii="Times New Roman" w:hAnsi="Times New Roman" w:cs="Times New Roman"/>
          <w:u w:val="single"/>
          <w:lang w:val="en-GB"/>
        </w:rPr>
        <w:lastRenderedPageBreak/>
        <w:t xml:space="preserve">Figure S4: </w:t>
      </w:r>
      <w:r w:rsidRPr="00BB2BCA">
        <w:rPr>
          <w:rFonts w:ascii="Times New Roman" w:hAnsi="Times New Roman" w:cs="Times New Roman"/>
          <w:u w:val="single"/>
        </w:rPr>
        <w:t>Representative EEG Trace of an animal from the HT (A) and NT (B) Groups</w:t>
      </w:r>
    </w:p>
    <w:p w14:paraId="3058EB56" w14:textId="5E8170D8" w:rsidR="001B63D2" w:rsidRPr="001B63D2" w:rsidRDefault="001B63D2" w:rsidP="001B63D2">
      <w:pPr>
        <w:jc w:val="center"/>
        <w:rPr>
          <w:rFonts w:ascii="Times New Roman" w:hAnsi="Times New Roman" w:cs="Times New Roman"/>
          <w:u w:val="single"/>
          <w:lang w:val="en-GB"/>
        </w:rPr>
      </w:pPr>
      <w:r w:rsidRPr="00BB2BCA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DA1B6C9" wp14:editId="7780F996">
            <wp:extent cx="5731510" cy="3041650"/>
            <wp:effectExtent l="0" t="0" r="0" b="6350"/>
            <wp:docPr id="1765391106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91106" name="Picture 1" descr="A graph of a graph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3D2" w:rsidRPr="001B63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D0584"/>
    <w:multiLevelType w:val="multilevel"/>
    <w:tmpl w:val="8FC0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AF3DED"/>
    <w:multiLevelType w:val="hybridMultilevel"/>
    <w:tmpl w:val="BD781B42"/>
    <w:lvl w:ilvl="0" w:tplc="18BE74A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EC"/>
    <w:rsid w:val="001B63D2"/>
    <w:rsid w:val="005E7457"/>
    <w:rsid w:val="00A53A57"/>
    <w:rsid w:val="00B97C0F"/>
    <w:rsid w:val="00BB2BCA"/>
    <w:rsid w:val="00E402EC"/>
    <w:rsid w:val="00E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F6C9"/>
  <w15:chartTrackingRefBased/>
  <w15:docId w15:val="{37D5C0CE-0E85-8544-B58F-0C78475C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0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40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2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4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BE" w:eastAsia="fr-BE"/>
      <w14:ligatures w14:val="none"/>
    </w:rPr>
  </w:style>
  <w:style w:type="character" w:styleId="Strong">
    <w:name w:val="Strong"/>
    <w:basedOn w:val="DefaultParagraphFont"/>
    <w:uiPriority w:val="22"/>
    <w:qFormat/>
    <w:rsid w:val="00E402EC"/>
    <w:rPr>
      <w:b/>
      <w:bCs/>
    </w:rPr>
  </w:style>
  <w:style w:type="table" w:styleId="TableGrid">
    <w:name w:val="Table Grid"/>
    <w:basedOn w:val="TableNormal"/>
    <w:uiPriority w:val="39"/>
    <w:rsid w:val="00E4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MOREAU Anthony</dc:creator>
  <cp:keywords/>
  <dc:description/>
  <cp:lastModifiedBy>Jasmine Mohammad Hidayath</cp:lastModifiedBy>
  <cp:revision>5</cp:revision>
  <dcterms:created xsi:type="dcterms:W3CDTF">2025-11-19T08:05:00Z</dcterms:created>
  <dcterms:modified xsi:type="dcterms:W3CDTF">2025-12-10T11:02:00Z</dcterms:modified>
</cp:coreProperties>
</file>