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161"/>
        <w:tblW w:w="9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8"/>
        <w:gridCol w:w="2258"/>
        <w:gridCol w:w="1314"/>
        <w:gridCol w:w="2372"/>
        <w:gridCol w:w="1430"/>
      </w:tblGrid>
      <w:tr w:rsidR="00AF1EDD" w:rsidRPr="00AF1EDD" w14:paraId="09B2459A" w14:textId="77777777" w:rsidTr="005D330C">
        <w:trPr>
          <w:trHeight w:val="431"/>
        </w:trPr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14:paraId="34F19196" w14:textId="77777777" w:rsidR="005D330C" w:rsidRPr="00AF1EDD" w:rsidRDefault="005D330C" w:rsidP="005D330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</w:tcPr>
          <w:p w14:paraId="326AE9E1" w14:textId="77777777" w:rsidR="005D330C" w:rsidRPr="00AF1EDD" w:rsidRDefault="005D330C" w:rsidP="005D33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Intra-observer variability (%)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9B3408" w14:textId="77777777" w:rsidR="005D330C" w:rsidRPr="00AF1EDD" w:rsidRDefault="005D330C" w:rsidP="005D33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IQR</w:t>
            </w:r>
          </w:p>
        </w:tc>
        <w:tc>
          <w:tcPr>
            <w:tcW w:w="2372" w:type="dxa"/>
            <w:tcBorders>
              <w:top w:val="single" w:sz="4" w:space="0" w:color="auto"/>
              <w:bottom w:val="single" w:sz="4" w:space="0" w:color="auto"/>
            </w:tcBorders>
          </w:tcPr>
          <w:p w14:paraId="3F27E1D6" w14:textId="77777777" w:rsidR="005D330C" w:rsidRPr="00AF1EDD" w:rsidRDefault="005D330C" w:rsidP="005D33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Intraclass Correlation Coefficient 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780F9ACB" w14:textId="77777777" w:rsidR="005D330C" w:rsidRPr="00AF1EDD" w:rsidRDefault="005D330C" w:rsidP="005D33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CI95%</w:t>
            </w:r>
          </w:p>
        </w:tc>
      </w:tr>
      <w:tr w:rsidR="00AF1EDD" w:rsidRPr="00AF1EDD" w14:paraId="3B8DA27B" w14:textId="77777777" w:rsidTr="005D330C">
        <w:trPr>
          <w:trHeight w:val="431"/>
        </w:trPr>
        <w:tc>
          <w:tcPr>
            <w:tcW w:w="2528" w:type="dxa"/>
            <w:tcBorders>
              <w:top w:val="single" w:sz="4" w:space="0" w:color="auto"/>
            </w:tcBorders>
          </w:tcPr>
          <w:p w14:paraId="1724CF22" w14:textId="77777777" w:rsidR="005D330C" w:rsidRPr="00AF1EDD" w:rsidRDefault="005D330C" w:rsidP="005D330C">
            <w:pPr>
              <w:spacing w:before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eastAsia="Arial" w:hAnsi="Times New Roman" w:cs="Times New Roman"/>
                <w:sz w:val="20"/>
                <w:szCs w:val="22"/>
              </w:rPr>
              <w:t>IVC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14:paraId="7A2B08F0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>10.5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002EB3A" w14:textId="16541039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[4.0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18.8]</w:t>
            </w:r>
          </w:p>
        </w:tc>
        <w:tc>
          <w:tcPr>
            <w:tcW w:w="2372" w:type="dxa"/>
            <w:tcBorders>
              <w:top w:val="single" w:sz="4" w:space="0" w:color="auto"/>
            </w:tcBorders>
          </w:tcPr>
          <w:p w14:paraId="6B06FCA4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061700FD" w14:textId="4C897D88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[0.69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0.91]</w:t>
            </w:r>
          </w:p>
        </w:tc>
      </w:tr>
      <w:tr w:rsidR="00AF1EDD" w:rsidRPr="00AF1EDD" w14:paraId="6679E16A" w14:textId="77777777" w:rsidTr="005D330C">
        <w:trPr>
          <w:trHeight w:val="431"/>
        </w:trPr>
        <w:tc>
          <w:tcPr>
            <w:tcW w:w="2528" w:type="dxa"/>
          </w:tcPr>
          <w:p w14:paraId="439F27D8" w14:textId="77777777" w:rsidR="005D330C" w:rsidRPr="00AF1EDD" w:rsidRDefault="005D330C" w:rsidP="005D330C">
            <w:pPr>
              <w:spacing w:before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Portal </w:t>
            </w:r>
            <w:proofErr w:type="spellStart"/>
            <w:r w:rsidRPr="00AF1EDD">
              <w:rPr>
                <w:rFonts w:ascii="Times New Roman" w:eastAsia="Arial" w:hAnsi="Times New Roman" w:cs="Times New Roman"/>
                <w:sz w:val="20"/>
                <w:szCs w:val="22"/>
              </w:rPr>
              <w:t>Pulsatility</w:t>
            </w:r>
            <w:proofErr w:type="spellEnd"/>
          </w:p>
        </w:tc>
        <w:tc>
          <w:tcPr>
            <w:tcW w:w="2258" w:type="dxa"/>
          </w:tcPr>
          <w:p w14:paraId="4BC8572B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1314" w:type="dxa"/>
          </w:tcPr>
          <w:p w14:paraId="5FC4F452" w14:textId="20EF9153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[4.0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16.0]</w:t>
            </w:r>
          </w:p>
        </w:tc>
        <w:tc>
          <w:tcPr>
            <w:tcW w:w="2372" w:type="dxa"/>
          </w:tcPr>
          <w:p w14:paraId="21DDD69E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0.88 </w:t>
            </w:r>
          </w:p>
        </w:tc>
        <w:tc>
          <w:tcPr>
            <w:tcW w:w="1430" w:type="dxa"/>
          </w:tcPr>
          <w:p w14:paraId="567F234B" w14:textId="43997A5E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[0.72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0.95]</w:t>
            </w:r>
          </w:p>
        </w:tc>
      </w:tr>
      <w:tr w:rsidR="00AF1EDD" w:rsidRPr="00AF1EDD" w14:paraId="4CCE0072" w14:textId="77777777" w:rsidTr="005D330C">
        <w:trPr>
          <w:trHeight w:val="431"/>
        </w:trPr>
        <w:tc>
          <w:tcPr>
            <w:tcW w:w="2528" w:type="dxa"/>
          </w:tcPr>
          <w:p w14:paraId="6CC9924C" w14:textId="77777777" w:rsidR="005D330C" w:rsidRPr="00AF1EDD" w:rsidRDefault="005D330C" w:rsidP="005D330C">
            <w:pPr>
              <w:spacing w:before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eastAsia="Arial" w:hAnsi="Times New Roman" w:cs="Times New Roman"/>
                <w:sz w:val="20"/>
                <w:szCs w:val="22"/>
              </w:rPr>
              <w:t>Supra-hepatic vein S/D ratio</w:t>
            </w:r>
          </w:p>
        </w:tc>
        <w:tc>
          <w:tcPr>
            <w:tcW w:w="2258" w:type="dxa"/>
          </w:tcPr>
          <w:p w14:paraId="0BFE51F1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>13.4</w:t>
            </w:r>
          </w:p>
        </w:tc>
        <w:tc>
          <w:tcPr>
            <w:tcW w:w="1314" w:type="dxa"/>
          </w:tcPr>
          <w:p w14:paraId="369A466B" w14:textId="1C41ACC0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[1.9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26.5]</w:t>
            </w:r>
          </w:p>
        </w:tc>
        <w:tc>
          <w:tcPr>
            <w:tcW w:w="2372" w:type="dxa"/>
          </w:tcPr>
          <w:p w14:paraId="578C55BB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1430" w:type="dxa"/>
          </w:tcPr>
          <w:p w14:paraId="3DC1BF20" w14:textId="598FF508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[0.70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0.87]</w:t>
            </w:r>
          </w:p>
        </w:tc>
      </w:tr>
      <w:tr w:rsidR="00AF1EDD" w:rsidRPr="00AF1EDD" w14:paraId="2666518C" w14:textId="77777777" w:rsidTr="005D330C">
        <w:trPr>
          <w:trHeight w:val="431"/>
        </w:trPr>
        <w:tc>
          <w:tcPr>
            <w:tcW w:w="2528" w:type="dxa"/>
            <w:tcBorders>
              <w:bottom w:val="single" w:sz="4" w:space="0" w:color="auto"/>
            </w:tcBorders>
          </w:tcPr>
          <w:p w14:paraId="15F3FCBE" w14:textId="77777777" w:rsidR="005D330C" w:rsidRPr="00AF1EDD" w:rsidRDefault="005D330C" w:rsidP="005D330C">
            <w:pPr>
              <w:spacing w:before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eastAsia="Arial" w:hAnsi="Times New Roman" w:cs="Times New Roman"/>
                <w:sz w:val="20"/>
                <w:szCs w:val="22"/>
              </w:rPr>
              <w:t>Renal venous impedance index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4C33CB02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 5.9</w:t>
            </w:r>
          </w:p>
          <w:p w14:paraId="79FFD83A" w14:textId="77777777" w:rsidR="005D330C" w:rsidRPr="00AF1EDD" w:rsidRDefault="005D330C" w:rsidP="005D33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717145E" w14:textId="243D7A7D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[2.6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10.1]</w:t>
            </w:r>
          </w:p>
        </w:tc>
        <w:tc>
          <w:tcPr>
            <w:tcW w:w="2372" w:type="dxa"/>
            <w:tcBorders>
              <w:bottom w:val="single" w:sz="4" w:space="0" w:color="auto"/>
            </w:tcBorders>
          </w:tcPr>
          <w:p w14:paraId="7B75382E" w14:textId="77777777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0.73 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5AF93B57" w14:textId="6D8C00AC" w:rsidR="005D330C" w:rsidRPr="00AF1EDD" w:rsidRDefault="005D330C" w:rsidP="005D330C">
            <w:pPr>
              <w:spacing w:befor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[0.51 </w:t>
            </w:r>
            <w:r w:rsidR="00B03992" w:rsidRPr="00AF1E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F1EDD">
              <w:rPr>
                <w:rFonts w:ascii="Times New Roman" w:hAnsi="Times New Roman" w:cs="Times New Roman"/>
                <w:sz w:val="22"/>
                <w:szCs w:val="22"/>
              </w:rPr>
              <w:t xml:space="preserve"> 0.84]</w:t>
            </w:r>
          </w:p>
        </w:tc>
      </w:tr>
    </w:tbl>
    <w:p w14:paraId="3E5332A3" w14:textId="45D3D504" w:rsidR="005D330C" w:rsidRPr="00AF1EDD" w:rsidRDefault="005D330C" w:rsidP="005D330C">
      <w:pPr>
        <w:spacing w:before="240" w:line="360" w:lineRule="auto"/>
        <w:rPr>
          <w:sz w:val="22"/>
          <w:szCs w:val="22"/>
        </w:rPr>
      </w:pPr>
      <w:r w:rsidRPr="00AF1EDD">
        <w:rPr>
          <w:rFonts w:ascii="Times New Roman" w:hAnsi="Times New Roman" w:cs="Times New Roman"/>
          <w:b/>
          <w:bCs/>
          <w:sz w:val="22"/>
          <w:szCs w:val="22"/>
        </w:rPr>
        <w:t>Supplementar</w:t>
      </w:r>
      <w:bookmarkStart w:id="0" w:name="_GoBack"/>
      <w:bookmarkEnd w:id="0"/>
      <w:r w:rsidRPr="00AF1EDD">
        <w:rPr>
          <w:rFonts w:ascii="Times New Roman" w:hAnsi="Times New Roman" w:cs="Times New Roman"/>
          <w:b/>
          <w:bCs/>
          <w:sz w:val="22"/>
          <w:szCs w:val="22"/>
        </w:rPr>
        <w:t xml:space="preserve">y Table 2. </w:t>
      </w:r>
      <w:r w:rsidRPr="00AF1EDD">
        <w:rPr>
          <w:rFonts w:ascii="Times New Roman" w:hAnsi="Times New Roman" w:cs="Times New Roman"/>
          <w:sz w:val="22"/>
          <w:szCs w:val="22"/>
        </w:rPr>
        <w:t>Intra-observer variability and intra</w:t>
      </w:r>
      <w:r w:rsidR="00D9502A" w:rsidRPr="00AF1EDD">
        <w:rPr>
          <w:rFonts w:ascii="Times New Roman" w:hAnsi="Times New Roman" w:cs="Times New Roman"/>
          <w:sz w:val="22"/>
          <w:szCs w:val="22"/>
        </w:rPr>
        <w:t xml:space="preserve">class correlation coefficient </w:t>
      </w:r>
      <w:r w:rsidRPr="00AF1EDD">
        <w:rPr>
          <w:rFonts w:ascii="Times New Roman" w:hAnsi="Times New Roman" w:cs="Times New Roman"/>
          <w:sz w:val="22"/>
          <w:szCs w:val="22"/>
        </w:rPr>
        <w:t xml:space="preserve">of ultrasound measurements. </w:t>
      </w:r>
      <w:r w:rsidR="00D9502A" w:rsidRPr="00AF1EDD">
        <w:rPr>
          <w:rFonts w:ascii="Times New Roman" w:hAnsi="Times New Roman" w:cs="Times New Roman"/>
          <w:i/>
          <w:iCs/>
          <w:sz w:val="22"/>
          <w:szCs w:val="22"/>
        </w:rPr>
        <w:t>IQR stands for interquartile range (</w:t>
      </w:r>
      <w:r w:rsidRPr="00AF1EDD">
        <w:rPr>
          <w:rFonts w:ascii="Times New Roman" w:hAnsi="Times New Roman" w:cs="Times New Roman"/>
          <w:i/>
          <w:iCs/>
          <w:sz w:val="22"/>
        </w:rPr>
        <w:t>25</w:t>
      </w:r>
      <w:r w:rsidRPr="00AF1EDD">
        <w:rPr>
          <w:rFonts w:ascii="Times New Roman" w:hAnsi="Times New Roman" w:cs="Times New Roman"/>
          <w:i/>
          <w:iCs/>
          <w:sz w:val="22"/>
          <w:vertAlign w:val="superscript"/>
        </w:rPr>
        <w:t>th</w:t>
      </w:r>
      <w:r w:rsidR="00C66FC8" w:rsidRPr="00AF1EDD">
        <w:rPr>
          <w:rFonts w:ascii="Times New Roman" w:hAnsi="Times New Roman" w:cs="Times New Roman"/>
          <w:i/>
          <w:iCs/>
          <w:sz w:val="22"/>
        </w:rPr>
        <w:t xml:space="preserve"> to </w:t>
      </w:r>
      <w:r w:rsidRPr="00AF1EDD">
        <w:rPr>
          <w:rFonts w:ascii="Times New Roman" w:hAnsi="Times New Roman" w:cs="Times New Roman"/>
          <w:i/>
          <w:iCs/>
          <w:sz w:val="22"/>
        </w:rPr>
        <w:t>75</w:t>
      </w:r>
      <w:r w:rsidR="00C66FC8" w:rsidRPr="00AF1EDD">
        <w:rPr>
          <w:rFonts w:ascii="Times New Roman" w:hAnsi="Times New Roman" w:cs="Times New Roman"/>
          <w:i/>
          <w:iCs/>
          <w:sz w:val="22"/>
          <w:vertAlign w:val="superscript"/>
        </w:rPr>
        <w:t>th</w:t>
      </w:r>
      <w:r w:rsidRPr="00AF1EDD">
        <w:rPr>
          <w:rFonts w:ascii="Times New Roman" w:hAnsi="Times New Roman" w:cs="Times New Roman"/>
          <w:i/>
          <w:iCs/>
          <w:sz w:val="22"/>
        </w:rPr>
        <w:t xml:space="preserve"> percentile</w:t>
      </w:r>
      <w:r w:rsidR="00C66FC8" w:rsidRPr="00AF1EDD">
        <w:rPr>
          <w:rFonts w:ascii="Times New Roman" w:hAnsi="Times New Roman" w:cs="Times New Roman"/>
          <w:i/>
          <w:iCs/>
          <w:sz w:val="22"/>
        </w:rPr>
        <w:t xml:space="preserve">) and CI95% stands for </w:t>
      </w:r>
      <w:r w:rsidR="00EE36D9" w:rsidRPr="00AF1EDD">
        <w:rPr>
          <w:rFonts w:ascii="Times New Roman" w:hAnsi="Times New Roman" w:cs="Times New Roman"/>
          <w:i/>
          <w:iCs/>
          <w:sz w:val="22"/>
        </w:rPr>
        <w:t>95% confidence interval</w:t>
      </w:r>
      <w:r w:rsidRPr="00AF1EDD">
        <w:rPr>
          <w:rFonts w:ascii="Times New Roman" w:hAnsi="Times New Roman" w:cs="Times New Roman"/>
          <w:i/>
          <w:iCs/>
          <w:sz w:val="22"/>
        </w:rPr>
        <w:t>.</w:t>
      </w:r>
      <w:r w:rsidRPr="00AF1EDD">
        <w:rPr>
          <w:rFonts w:ascii="Times New Roman" w:hAnsi="Times New Roman" w:cs="Times New Roman"/>
          <w:sz w:val="22"/>
        </w:rPr>
        <w:t xml:space="preserve"> </w:t>
      </w:r>
    </w:p>
    <w:p w14:paraId="440DBD7D" w14:textId="308654E0" w:rsidR="00C81D46" w:rsidRPr="00AF1EDD" w:rsidRDefault="00C81D46" w:rsidP="005D330C">
      <w:pPr>
        <w:spacing w:before="240" w:line="360" w:lineRule="auto"/>
        <w:rPr>
          <w:sz w:val="22"/>
          <w:szCs w:val="22"/>
        </w:rPr>
      </w:pPr>
    </w:p>
    <w:sectPr w:rsidR="00C81D46" w:rsidRPr="00AF1EDD" w:rsidSect="002D2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D6"/>
    <w:rsid w:val="0004318F"/>
    <w:rsid w:val="000A606C"/>
    <w:rsid w:val="000C4995"/>
    <w:rsid w:val="001A0ABA"/>
    <w:rsid w:val="001B2FB7"/>
    <w:rsid w:val="002700E5"/>
    <w:rsid w:val="002825D1"/>
    <w:rsid w:val="002C5EB9"/>
    <w:rsid w:val="002D2EED"/>
    <w:rsid w:val="002E6F0C"/>
    <w:rsid w:val="003279B6"/>
    <w:rsid w:val="003400CD"/>
    <w:rsid w:val="003E378F"/>
    <w:rsid w:val="0040293B"/>
    <w:rsid w:val="00406933"/>
    <w:rsid w:val="00456114"/>
    <w:rsid w:val="00470B6B"/>
    <w:rsid w:val="004F5AE7"/>
    <w:rsid w:val="00585D91"/>
    <w:rsid w:val="00591884"/>
    <w:rsid w:val="00596977"/>
    <w:rsid w:val="005D330C"/>
    <w:rsid w:val="005D79C3"/>
    <w:rsid w:val="00640126"/>
    <w:rsid w:val="006A7865"/>
    <w:rsid w:val="006B73DD"/>
    <w:rsid w:val="006F18EC"/>
    <w:rsid w:val="00707CA9"/>
    <w:rsid w:val="0071454C"/>
    <w:rsid w:val="0073058B"/>
    <w:rsid w:val="007A606B"/>
    <w:rsid w:val="007B3469"/>
    <w:rsid w:val="00805916"/>
    <w:rsid w:val="0080657B"/>
    <w:rsid w:val="0085174A"/>
    <w:rsid w:val="009A7F03"/>
    <w:rsid w:val="009C289E"/>
    <w:rsid w:val="00A4674A"/>
    <w:rsid w:val="00A51F85"/>
    <w:rsid w:val="00AB7C67"/>
    <w:rsid w:val="00AE283A"/>
    <w:rsid w:val="00AF1EDD"/>
    <w:rsid w:val="00B03992"/>
    <w:rsid w:val="00B045D0"/>
    <w:rsid w:val="00B75F6C"/>
    <w:rsid w:val="00C15F82"/>
    <w:rsid w:val="00C43D58"/>
    <w:rsid w:val="00C66FC8"/>
    <w:rsid w:val="00C81D46"/>
    <w:rsid w:val="00D1763F"/>
    <w:rsid w:val="00D928AD"/>
    <w:rsid w:val="00D9502A"/>
    <w:rsid w:val="00D95817"/>
    <w:rsid w:val="00E12941"/>
    <w:rsid w:val="00EE36D9"/>
    <w:rsid w:val="00EE5EA1"/>
    <w:rsid w:val="00F7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7C14EA"/>
  <w15:chartTrackingRefBased/>
  <w15:docId w15:val="{2F37D624-7908-4E30-99F8-AC1F439B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5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5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5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5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5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5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5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5D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72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Corentin EVEZARD</dc:creator>
  <cp:keywords/>
  <dc:description/>
  <cp:lastModifiedBy>Revathi   Thangaraj</cp:lastModifiedBy>
  <cp:revision>4</cp:revision>
  <dcterms:created xsi:type="dcterms:W3CDTF">2026-01-12T14:37:00Z</dcterms:created>
  <dcterms:modified xsi:type="dcterms:W3CDTF">2026-03-18T06:21:00Z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28749220-3740-49a5-9075-4e80a1349894</vt:lpwstr>
  </property>
</Properties>
</file>