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84857" w14:textId="75CC1110" w:rsidR="00CA6006" w:rsidRDefault="0090455C" w:rsidP="0090455C">
      <w:bookmarkStart w:id="0" w:name="_Toc160713053"/>
      <w:bookmarkStart w:id="1" w:name="_Toc160723115"/>
      <w:r w:rsidRPr="0090455C">
        <w:rPr>
          <w:b/>
          <w:bCs/>
        </w:rPr>
        <w:t>Additional file 3:</w:t>
      </w:r>
      <w:r>
        <w:t xml:space="preserve"> </w:t>
      </w:r>
      <w:r w:rsidR="00664E3A" w:rsidRPr="00137AAA">
        <w:t>Organ function</w:t>
      </w:r>
      <w:bookmarkEnd w:id="0"/>
      <w:bookmarkEnd w:id="1"/>
      <w:r w:rsidR="005E07F6">
        <w:t xml:space="preserve"> and injury markers</w:t>
      </w:r>
    </w:p>
    <w:p w14:paraId="4C1E7B8F" w14:textId="2FBDACD4" w:rsidR="0090455C" w:rsidRPr="005E07F6" w:rsidRDefault="0090455C" w:rsidP="0090455C">
      <w:pPr>
        <w:rPr>
          <w:b/>
          <w:bCs/>
        </w:rPr>
      </w:pPr>
      <w:r w:rsidRPr="005E07F6">
        <w:rPr>
          <w:b/>
          <w:bCs/>
        </w:rPr>
        <w:t>1. Methods</w:t>
      </w:r>
    </w:p>
    <w:p w14:paraId="36F8C81D" w14:textId="183EC57E" w:rsidR="00A633D3" w:rsidRDefault="00664E3A" w:rsidP="0090455C">
      <w:r w:rsidRPr="00137AAA">
        <w:t xml:space="preserve">Liver function was assessed using indocyanine green (ICG) clearance </w:t>
      </w:r>
      <w:r w:rsidRPr="00137AAA">
        <w:rPr>
          <w:rFonts w:cs="Arial"/>
          <w:szCs w:val="20"/>
        </w:rPr>
        <w:t>expressed as the ICG plasma disappearance rate (ICG-PDR) in % per minute</w:t>
      </w:r>
      <w:r w:rsidRPr="00137AAA">
        <w:t xml:space="preserve">. ICG is a dye that binds to plasma proteins and is exclusively excreted by the liver without undergoing enterohepatic circulation, making it suitable for hepatic function evaluation </w:t>
      </w:r>
      <w:r w:rsidRPr="00137AAA">
        <w:fldChar w:fldCharType="begin">
          <w:fldData xml:space="preserve">PEVuZE5vdGU+PENpdGU+PEF1dGhvcj5EZSBHYXNwZXJpPC9BdXRob3I+PFllYXI+MjAxNjwvWWVh
cj48UmVjTnVtPjU8L1JlY051bT48RGlzcGxheVRleHQ+WzEsIDJdPC9EaXNwbGF5VGV4dD48cmVj
b3JkPjxyZWMtbnVtYmVyPjU8L3JlYy1udW1iZXI+PGZvcmVpZ24ta2V5cz48a2V5IGFwcD0iRU4i
IGRiLWlkPSJwZGYyOWF3MHcydHYweWVkdzV5djJyYW0wcHQwZnp0YTVzeHMiIHRpbWVzdGFtcD0i
MTY5NjMyMDI0NyI+NTwva2V5PjwvZm9yZWlnbi1rZXlzPjxyZWYtdHlwZSBuYW1lPSJKb3VybmFs
IEFydGljbGUiPjE3PC9yZWYtdHlwZT48Y29udHJpYnV0b3JzPjxhdXRob3JzPjxhdXRob3I+RGUg
R2FzcGVyaSwgQS48L2F1dGhvcj48YXV0aG9yPk1henphLCBFLjwvYXV0aG9yPjxhdXRob3I+UHJv
c3BlcmksIE0uPC9hdXRob3I+PC9hdXRob3JzPjwvY29udHJpYnV0b3JzPjxhdXRoLWFkZHJlc3M+
QW5kcmVhIERlIEdhc3BlcmksIEVybmVzdGluYSBNYXp6YSwgTWFubGlvIFByb3NwZXJpLCAyIGRl
Z3JlZXMgU2Vydml6aW8gQW5lc3Rlc2lhIGUgUmlhbmltYXppb25lLCBPc3BlZGFsZSBOaWd1YXJk
YSBDYSZhcG9zOyBHcmFuZGEsIDIwMTYyIE1pbGFubywgSXRhbHkuPC9hdXRoLWFkZHJlc3M+PHRp
dGxlcz48dGl0bGU+SW5kb2N5YW5pbmUgZ3JlZW4ga2luZXRpY3MgdG8gYXNzZXNzIGxpdmVyIGZ1
bmN0aW9uOiBSZWFkeSBmb3IgYSBjbGluaWNhbCBkeW5hbWljIGFzc2Vzc21lbnQgaW4gbWFqb3Ig
bGl2ZXIgc3VyZ2VyeT88L3RpdGxlPjxzZWNvbmRhcnktdGl0bGU+V29ybGQgSiBIZXBhdG9sPC9z
ZWNvbmRhcnktdGl0bGU+PC90aXRsZXM+PHBhZ2VzPjM1NS02NzwvcGFnZXM+PHZvbHVtZT44PC92
b2x1bWU+PG51bWJlcj43PC9udW1iZXI+PGVkaXRpb24+MjAxNi8wMy8xNzwvZWRpdGlvbj48ZGF0
ZXM+PHllYXI+MjAxNjwveWVhcj48cHViLWRhdGVzPjxkYXRlPk1hciA4PC9kYXRlPjwvcHViLWRh
dGVzPjwvZGF0ZXM+PGlzYm4+MTk0OC01MTgyIChQcmludCkmI3hEOzE5NDgtNTE4MiAoRWxlY3Ry
b25pYyk8L2lzYm4+PGFjY2Vzc2lvbi1udW0+MjY5ODExNzM8L2FjY2Vzc2lvbi1udW0+PHVybHM+
PHJlbGF0ZWQtdXJscz48dXJsPmh0dHBzOi8vd3d3Lm5jYmkubmxtLm5paC5nb3YvcHVibWVkLzI2
OTgxMTczPC91cmw+PC9yZWxhdGVkLXVybHM+PC91cmxzPjxjdXN0b20yPjQ3NzkxNjQ8L2N1c3Rv
bTI+PGVsZWN0cm9uaWMtcmVzb3VyY2UtbnVtPjEwLjQyNTQvd2poLnY4Lmk3LjM1NTwvZWxlY3Ry
b25pYy1yZXNvdXJjZS1udW0+PGxhbmd1YWdlPmVuZzwvbGFuZ3VhZ2U+PC9yZWNvcmQ+PC9DaXRl
PjxDaXRlPjxBdXRob3I+TGVldnk8L0F1dGhvcj48WWVhcj4xOTY3PC9ZZWFyPjxSZWNOdW0+NDwv
UmVjTnVtPjxyZWNvcmQ+PHJlYy1udW1iZXI+NDwvcmVjLW51bWJlcj48Zm9yZWlnbi1rZXlzPjxr
ZXkgYXBwPSJFTiIgZGItaWQ9InBkZjI5YXcwdzJ0djB5ZWR3NXl2MnJhbTBwdDBmenRhNXN4cyIg
dGltZXN0YW1wPSIxNjk2MzIwMjE5Ij40PC9rZXk+PC9mb3JlaWduLWtleXM+PHJlZi10eXBlIG5h
bWU9IkpvdXJuYWwgQXJ0aWNsZSI+MTc8L3JlZi10eXBlPjxjb250cmlidXRvcnM+PGF1dGhvcnM+
PGF1dGhvcj5MZWV2eSwgQy4gTS48L2F1dGhvcj48YXV0aG9yPlNtaXRoLCBGLjwvYXV0aG9yPjxh
dXRob3I+TG9uZ3VldmlsbGUsIEouPC9hdXRob3I+PGF1dGhvcj5QYXVtZ2FydG5lciwgRy48L2F1
dGhvcj48YXV0aG9yPkhvd2FyZCwgTS4gTS48L2F1dGhvcj48L2F1dGhvcnM+PC9jb250cmlidXRv
cnM+PHRpdGxlcz48dGl0bGU+SW5kb2N5YW5pbmUgZ3JlZW4gY2xlYXJhbmNlIGFzIGEgdGVzdCBm
b3IgaGVwYXRpYyBmdW5jdGlvbi4gRXZhbHVhdGlvbiBieSBkaWNocm9tYXRpYyBlYXIgZGVuc2l0
b21ldHJ5PC90aXRsZT48c2Vjb25kYXJ5LXRpdGxlPkpBTUE8L3NlY29uZGFyeS10aXRsZT48L3Rp
dGxlcz48cGFnZXM+MjM2LTQwPC9wYWdlcz48dm9sdW1lPjIwMDwvdm9sdW1lPjxudW1iZXI+Mzwv
bnVtYmVyPjxlZGl0aW9uPjE5NjcvMDQvMTc8L2VkaXRpb24+PGtleXdvcmRzPjxrZXl3b3JkPkFk
dWx0PC9rZXl3b3JkPjxrZXl3b3JkPipDb2xvcmluZyBBZ2VudHM8L2tleXdvcmQ+PGtleXdvcmQ+
RGVuc2l0b21ldHJ5PC9rZXl3b3JkPjxrZXl3b3JkPkV2YWx1YXRpb24gU3R1ZGllcyBhcyBUb3Bp
Yzwva2V5d29yZD48a2V5d29yZD5IdW1hbnM8L2tleXdvcmQ+PGtleXdvcmQ+SW5kb2N5YW5pbmUg
R3JlZW48L2tleXdvcmQ+PGtleXdvcmQ+KkluZG9sZXM8L2tleXdvcmQ+PGtleXdvcmQ+TGl2ZXIv
KmluanVyaWVzPC9rZXl3b3JkPjxrZXl3b3JkPkxpdmVyIERpc2Vhc2VzLypkaWFnbm9zaXM8L2tl
eXdvcmQ+PGtleXdvcmQ+TGl2ZXIgRnVuY3Rpb24gVGVzdHM8L2tleXdvcmQ+PGtleXdvcmQ+TWlk
ZGxlIEFnZWQ8L2tleXdvcmQ+PC9rZXl3b3Jkcz48ZGF0ZXM+PHllYXI+MTk2NzwveWVhcj48cHVi
LWRhdGVzPjxkYXRlPkFwciAxNzwvZGF0ZT48L3B1Yi1kYXRlcz48L2RhdGVzPjxpc2JuPjAwOTgt
NzQ4NCAoUHJpbnQpJiN4RDswMDk4LTc0ODQgKExpbmtpbmcpPC9pc2JuPjxhY2Nlc3Npb24tbnVt
PjYwNzE0NjI8L2FjY2Vzc2lvbi1udW0+PHVybHM+PHJlbGF0ZWQtdXJscz48dXJsPmh0dHBzOi8v
d3d3Lm5jYmkubmxtLm5paC5nb3YvcHVibWVkLzYwNzE0NjI8L3VybD48L3JlbGF0ZWQtdXJscz48
L3VybHM+PGxhbmd1YWdlPmVuZzwvbGFuZ3VhZ2U+PC9yZWNvcmQ+PC9DaXRlPjwvRW5kTm90ZT4A
</w:fldData>
        </w:fldChar>
      </w:r>
      <w:r w:rsidR="00CA6006">
        <w:instrText xml:space="preserve"> ADDIN EN.CITE </w:instrText>
      </w:r>
      <w:r w:rsidR="00CA6006">
        <w:fldChar w:fldCharType="begin">
          <w:fldData xml:space="preserve">PEVuZE5vdGU+PENpdGU+PEF1dGhvcj5EZSBHYXNwZXJpPC9BdXRob3I+PFllYXI+MjAxNjwvWWVh
cj48UmVjTnVtPjU8L1JlY051bT48RGlzcGxheVRleHQ+WzEsIDJdPC9EaXNwbGF5VGV4dD48cmVj
b3JkPjxyZWMtbnVtYmVyPjU8L3JlYy1udW1iZXI+PGZvcmVpZ24ta2V5cz48a2V5IGFwcD0iRU4i
IGRiLWlkPSJwZGYyOWF3MHcydHYweWVkdzV5djJyYW0wcHQwZnp0YTVzeHMiIHRpbWVzdGFtcD0i
MTY5NjMyMDI0NyI+NTwva2V5PjwvZm9yZWlnbi1rZXlzPjxyZWYtdHlwZSBuYW1lPSJKb3VybmFs
IEFydGljbGUiPjE3PC9yZWYtdHlwZT48Y29udHJpYnV0b3JzPjxhdXRob3JzPjxhdXRob3I+RGUg
R2FzcGVyaSwgQS48L2F1dGhvcj48YXV0aG9yPk1henphLCBFLjwvYXV0aG9yPjxhdXRob3I+UHJv
c3BlcmksIE0uPC9hdXRob3I+PC9hdXRob3JzPjwvY29udHJpYnV0b3JzPjxhdXRoLWFkZHJlc3M+
QW5kcmVhIERlIEdhc3BlcmksIEVybmVzdGluYSBNYXp6YSwgTWFubGlvIFByb3NwZXJpLCAyIGRl
Z3JlZXMgU2Vydml6aW8gQW5lc3Rlc2lhIGUgUmlhbmltYXppb25lLCBPc3BlZGFsZSBOaWd1YXJk
YSBDYSZhcG9zOyBHcmFuZGEsIDIwMTYyIE1pbGFubywgSXRhbHkuPC9hdXRoLWFkZHJlc3M+PHRp
dGxlcz48dGl0bGU+SW5kb2N5YW5pbmUgZ3JlZW4ga2luZXRpY3MgdG8gYXNzZXNzIGxpdmVyIGZ1
bmN0aW9uOiBSZWFkeSBmb3IgYSBjbGluaWNhbCBkeW5hbWljIGFzc2Vzc21lbnQgaW4gbWFqb3Ig
bGl2ZXIgc3VyZ2VyeT88L3RpdGxlPjxzZWNvbmRhcnktdGl0bGU+V29ybGQgSiBIZXBhdG9sPC9z
ZWNvbmRhcnktdGl0bGU+PC90aXRsZXM+PHBhZ2VzPjM1NS02NzwvcGFnZXM+PHZvbHVtZT44PC92
b2x1bWU+PG51bWJlcj43PC9udW1iZXI+PGVkaXRpb24+MjAxNi8wMy8xNzwvZWRpdGlvbj48ZGF0
ZXM+PHllYXI+MjAxNjwveWVhcj48cHViLWRhdGVzPjxkYXRlPk1hciA4PC9kYXRlPjwvcHViLWRh
dGVzPjwvZGF0ZXM+PGlzYm4+MTk0OC01MTgyIChQcmludCkmI3hEOzE5NDgtNTE4MiAoRWxlY3Ry
b25pYyk8L2lzYm4+PGFjY2Vzc2lvbi1udW0+MjY5ODExNzM8L2FjY2Vzc2lvbi1udW0+PHVybHM+
PHJlbGF0ZWQtdXJscz48dXJsPmh0dHBzOi8vd3d3Lm5jYmkubmxtLm5paC5nb3YvcHVibWVkLzI2
OTgxMTczPC91cmw+PC9yZWxhdGVkLXVybHM+PC91cmxzPjxjdXN0b20yPjQ3NzkxNjQ8L2N1c3Rv
bTI+PGVsZWN0cm9uaWMtcmVzb3VyY2UtbnVtPjEwLjQyNTQvd2poLnY4Lmk3LjM1NTwvZWxlY3Ry
b25pYy1yZXNvdXJjZS1udW0+PGxhbmd1YWdlPmVuZzwvbGFuZ3VhZ2U+PC9yZWNvcmQ+PC9DaXRl
PjxDaXRlPjxBdXRob3I+TGVldnk8L0F1dGhvcj48WWVhcj4xOTY3PC9ZZWFyPjxSZWNOdW0+NDwv
UmVjTnVtPjxyZWNvcmQ+PHJlYy1udW1iZXI+NDwvcmVjLW51bWJlcj48Zm9yZWlnbi1rZXlzPjxr
ZXkgYXBwPSJFTiIgZGItaWQ9InBkZjI5YXcwdzJ0djB5ZWR3NXl2MnJhbTBwdDBmenRhNXN4cyIg
dGltZXN0YW1wPSIxNjk2MzIwMjE5Ij40PC9rZXk+PC9mb3JlaWduLWtleXM+PHJlZi10eXBlIG5h
bWU9IkpvdXJuYWwgQXJ0aWNsZSI+MTc8L3JlZi10eXBlPjxjb250cmlidXRvcnM+PGF1dGhvcnM+
PGF1dGhvcj5MZWV2eSwgQy4gTS48L2F1dGhvcj48YXV0aG9yPlNtaXRoLCBGLjwvYXV0aG9yPjxh
dXRob3I+TG9uZ3VldmlsbGUsIEouPC9hdXRob3I+PGF1dGhvcj5QYXVtZ2FydG5lciwgRy48L2F1
dGhvcj48YXV0aG9yPkhvd2FyZCwgTS4gTS48L2F1dGhvcj48L2F1dGhvcnM+PC9jb250cmlidXRv
cnM+PHRpdGxlcz48dGl0bGU+SW5kb2N5YW5pbmUgZ3JlZW4gY2xlYXJhbmNlIGFzIGEgdGVzdCBm
b3IgaGVwYXRpYyBmdW5jdGlvbi4gRXZhbHVhdGlvbiBieSBkaWNocm9tYXRpYyBlYXIgZGVuc2l0
b21ldHJ5PC90aXRsZT48c2Vjb25kYXJ5LXRpdGxlPkpBTUE8L3NlY29uZGFyeS10aXRsZT48L3Rp
dGxlcz48cGFnZXM+MjM2LTQwPC9wYWdlcz48dm9sdW1lPjIwMDwvdm9sdW1lPjxudW1iZXI+Mzwv
bnVtYmVyPjxlZGl0aW9uPjE5NjcvMDQvMTc8L2VkaXRpb24+PGtleXdvcmRzPjxrZXl3b3JkPkFk
dWx0PC9rZXl3b3JkPjxrZXl3b3JkPipDb2xvcmluZyBBZ2VudHM8L2tleXdvcmQ+PGtleXdvcmQ+
RGVuc2l0b21ldHJ5PC9rZXl3b3JkPjxrZXl3b3JkPkV2YWx1YXRpb24gU3R1ZGllcyBhcyBUb3Bp
Yzwva2V5d29yZD48a2V5d29yZD5IdW1hbnM8L2tleXdvcmQ+PGtleXdvcmQ+SW5kb2N5YW5pbmUg
R3JlZW48L2tleXdvcmQ+PGtleXdvcmQ+KkluZG9sZXM8L2tleXdvcmQ+PGtleXdvcmQ+TGl2ZXIv
KmluanVyaWVzPC9rZXl3b3JkPjxrZXl3b3JkPkxpdmVyIERpc2Vhc2VzLypkaWFnbm9zaXM8L2tl
eXdvcmQ+PGtleXdvcmQ+TGl2ZXIgRnVuY3Rpb24gVGVzdHM8L2tleXdvcmQ+PGtleXdvcmQ+TWlk
ZGxlIEFnZWQ8L2tleXdvcmQ+PC9rZXl3b3Jkcz48ZGF0ZXM+PHllYXI+MTk2NzwveWVhcj48cHVi
LWRhdGVzPjxkYXRlPkFwciAxNzwvZGF0ZT48L3B1Yi1kYXRlcz48L2RhdGVzPjxpc2JuPjAwOTgt
NzQ4NCAoUHJpbnQpJiN4RDswMDk4LTc0ODQgKExpbmtpbmcpPC9pc2JuPjxhY2Nlc3Npb24tbnVt
PjYwNzE0NjI8L2FjY2Vzc2lvbi1udW0+PHVybHM+PHJlbGF0ZWQtdXJscz48dXJsPmh0dHBzOi8v
d3d3Lm5jYmkubmxtLm5paC5nb3YvcHVibWVkLzYwNzE0NjI8L3VybD48L3JlbGF0ZWQtdXJscz48
L3VybHM+PGxhbmd1YWdlPmVuZzwvbGFuZ3VhZ2U+PC9yZWNvcmQ+PC9DaXRlPjwvRW5kTm90ZT4A
</w:fldData>
        </w:fldChar>
      </w:r>
      <w:r w:rsidR="00CA6006">
        <w:instrText xml:space="preserve"> ADDIN EN.CITE.DATA </w:instrText>
      </w:r>
      <w:r w:rsidR="00CA6006">
        <w:fldChar w:fldCharType="end"/>
      </w:r>
      <w:r w:rsidRPr="00137AAA">
        <w:fldChar w:fldCharType="separate"/>
      </w:r>
      <w:r w:rsidR="00CA6006">
        <w:rPr>
          <w:noProof/>
        </w:rPr>
        <w:t>[1, 2]</w:t>
      </w:r>
      <w:r w:rsidRPr="00137AAA">
        <w:fldChar w:fldCharType="end"/>
      </w:r>
      <w:r w:rsidR="001A6623">
        <w:t>.</w:t>
      </w:r>
    </w:p>
    <w:p w14:paraId="4AA19801" w14:textId="77777777" w:rsidR="00A633D3" w:rsidRDefault="00A633D3" w:rsidP="0090455C"/>
    <w:p w14:paraId="0A9E083B" w14:textId="28C7BA36" w:rsidR="00A633D3" w:rsidRPr="00A633D3" w:rsidRDefault="00A633D3" w:rsidP="0090455C">
      <w:pPr>
        <w:rPr>
          <w:rFonts w:cs="Arial"/>
          <w:szCs w:val="20"/>
        </w:rPr>
      </w:pPr>
      <w:r w:rsidRPr="00244F36">
        <w:rPr>
          <w:rFonts w:cs="Arial"/>
          <w:szCs w:val="20"/>
        </w:rPr>
        <w:t>For each ICG</w:t>
      </w:r>
      <w:r>
        <w:rPr>
          <w:rFonts w:cs="Arial"/>
          <w:szCs w:val="20"/>
        </w:rPr>
        <w:t xml:space="preserve"> </w:t>
      </w:r>
      <w:r w:rsidRPr="00244F36">
        <w:rPr>
          <w:rFonts w:cs="Arial"/>
          <w:szCs w:val="20"/>
        </w:rPr>
        <w:t>clearance measurement</w:t>
      </w:r>
      <w:r w:rsidR="005E07F6">
        <w:rPr>
          <w:rFonts w:cs="Arial"/>
          <w:szCs w:val="20"/>
        </w:rPr>
        <w:t>,</w:t>
      </w:r>
      <w:r w:rsidRPr="00244F36">
        <w:rPr>
          <w:rFonts w:cs="Arial"/>
          <w:szCs w:val="20"/>
        </w:rPr>
        <w:t xml:space="preserve"> ICG (0.5 mg•k</w:t>
      </w:r>
      <w:r>
        <w:rPr>
          <w:rFonts w:cs="Arial"/>
          <w:szCs w:val="20"/>
        </w:rPr>
        <w:t>g</w:t>
      </w:r>
      <w:r>
        <w:rPr>
          <w:rFonts w:cs="Arial"/>
          <w:szCs w:val="20"/>
          <w:vertAlign w:val="superscript"/>
        </w:rPr>
        <w:t>-1</w:t>
      </w:r>
      <w:r w:rsidRPr="00244F36">
        <w:rPr>
          <w:rFonts w:cs="Arial"/>
          <w:szCs w:val="20"/>
        </w:rPr>
        <w:t>) (Carl Roth GmbH &amp; Co. KG, Karlsruhe, Germany) was dissolved in sterile water until a concentration of 2.5 mg•m</w:t>
      </w:r>
      <w:r>
        <w:rPr>
          <w:rFonts w:cs="Arial"/>
          <w:szCs w:val="20"/>
        </w:rPr>
        <w:t>L</w:t>
      </w:r>
      <w:r>
        <w:rPr>
          <w:rFonts w:cs="Arial"/>
          <w:szCs w:val="20"/>
          <w:vertAlign w:val="superscript"/>
        </w:rPr>
        <w:t>-1</w:t>
      </w:r>
      <w:r w:rsidRPr="00244F36">
        <w:rPr>
          <w:rFonts w:cs="Arial"/>
          <w:szCs w:val="20"/>
        </w:rPr>
        <w:t xml:space="preserve"> was reached. This solution was administered at t=0 of each ICG-clearance measurement through the right jugular vein in 5 seconds. At t=1, 2, 3, 5, 7, 10, 12 minutes a 1 m</w:t>
      </w:r>
      <w:r w:rsidR="005E07F6">
        <w:rPr>
          <w:rFonts w:cs="Arial"/>
          <w:szCs w:val="20"/>
        </w:rPr>
        <w:t>L</w:t>
      </w:r>
      <w:r w:rsidRPr="00244F36">
        <w:rPr>
          <w:rFonts w:cs="Arial"/>
          <w:szCs w:val="20"/>
        </w:rPr>
        <w:t xml:space="preserve"> blood sample </w:t>
      </w:r>
      <w:r w:rsidR="001A6623">
        <w:rPr>
          <w:rFonts w:cs="Arial"/>
          <w:szCs w:val="20"/>
        </w:rPr>
        <w:t xml:space="preserve">was collected </w:t>
      </w:r>
      <w:r w:rsidRPr="00244F36">
        <w:rPr>
          <w:rFonts w:cs="Arial"/>
          <w:szCs w:val="20"/>
        </w:rPr>
        <w:t>in a heparinized syringe</w:t>
      </w:r>
      <w:r w:rsidR="001A6623">
        <w:rPr>
          <w:rFonts w:cs="Arial"/>
          <w:szCs w:val="20"/>
        </w:rPr>
        <w:t>. Immediately</w:t>
      </w:r>
      <w:r w:rsidRPr="00244F36">
        <w:rPr>
          <w:rFonts w:cs="Arial"/>
          <w:szCs w:val="20"/>
        </w:rPr>
        <w:t xml:space="preserve"> after the blood withdrawal, samples were centrifuged at 7000 rpm for 10 minutes. 200 </w:t>
      </w:r>
      <w:r w:rsidRPr="006E3C4C">
        <w:rPr>
          <w:rFonts w:ascii="Symbol" w:eastAsia="Symbol" w:hAnsi="Symbol" w:cs="Arial"/>
          <w:szCs w:val="20"/>
        </w:rPr>
        <w:t></w:t>
      </w:r>
      <w:r w:rsidRPr="00244F36">
        <w:rPr>
          <w:rFonts w:cs="Arial"/>
          <w:szCs w:val="20"/>
        </w:rPr>
        <w:t>L of each sample was pipetted in</w:t>
      </w:r>
      <w:r w:rsidR="005E07F6">
        <w:rPr>
          <w:rFonts w:cs="Arial"/>
          <w:szCs w:val="20"/>
        </w:rPr>
        <w:t>to</w:t>
      </w:r>
      <w:r w:rsidRPr="00244F36">
        <w:rPr>
          <w:rFonts w:cs="Arial"/>
          <w:szCs w:val="20"/>
        </w:rPr>
        <w:t xml:space="preserve"> a</w:t>
      </w:r>
      <w:r w:rsidR="005E07F6">
        <w:rPr>
          <w:rFonts w:cs="Arial"/>
          <w:szCs w:val="20"/>
        </w:rPr>
        <w:t xml:space="preserve"> 96</w:t>
      </w:r>
      <w:r w:rsidRPr="00244F36">
        <w:rPr>
          <w:rFonts w:cs="Arial"/>
          <w:szCs w:val="20"/>
        </w:rPr>
        <w:t>-well plate. The ICG concentration was spectrophotometrically measured at 805 nm using an ELISA reader (</w:t>
      </w:r>
      <w:proofErr w:type="spellStart"/>
      <w:r w:rsidRPr="00244F36">
        <w:rPr>
          <w:rFonts w:cs="Arial"/>
          <w:szCs w:val="20"/>
        </w:rPr>
        <w:t>VersaMax</w:t>
      </w:r>
      <w:proofErr w:type="spellEnd"/>
      <w:r w:rsidRPr="00244F36">
        <w:rPr>
          <w:rFonts w:cs="Arial"/>
          <w:szCs w:val="20"/>
        </w:rPr>
        <w:t xml:space="preserve">; Molecular Devices, Sunnyvale, CA). ICG measurements were </w:t>
      </w:r>
      <w:r w:rsidR="001A6623">
        <w:rPr>
          <w:rFonts w:cs="Arial"/>
          <w:szCs w:val="20"/>
        </w:rPr>
        <w:t>initiated</w:t>
      </w:r>
      <w:r w:rsidRPr="00244F36">
        <w:rPr>
          <w:rFonts w:cs="Arial"/>
          <w:szCs w:val="20"/>
        </w:rPr>
        <w:t xml:space="preserve"> 15 minutes prior to the baseline and </w:t>
      </w:r>
      <w:r w:rsidR="001A6623">
        <w:rPr>
          <w:rFonts w:cs="Arial"/>
          <w:szCs w:val="20"/>
        </w:rPr>
        <w:t>repeated at each subsequent time point</w:t>
      </w:r>
      <w:r w:rsidRPr="00244F36">
        <w:rPr>
          <w:rFonts w:cs="Arial"/>
          <w:szCs w:val="20"/>
        </w:rPr>
        <w:t xml:space="preserve">. ICG-clearance </w:t>
      </w:r>
      <w:r w:rsidR="001A6623">
        <w:rPr>
          <w:rFonts w:cs="Arial"/>
          <w:szCs w:val="20"/>
        </w:rPr>
        <w:t>was expressed</w:t>
      </w:r>
      <w:r w:rsidRPr="00244F36">
        <w:rPr>
          <w:rFonts w:cs="Arial"/>
          <w:szCs w:val="20"/>
        </w:rPr>
        <w:t xml:space="preserve"> as plasma disappearance rate (PDR-ICG), in % per minute.</w:t>
      </w:r>
    </w:p>
    <w:p w14:paraId="20B17858" w14:textId="77777777" w:rsidR="00A633D3" w:rsidRDefault="00A633D3" w:rsidP="0090455C"/>
    <w:p w14:paraId="76CF2AB5" w14:textId="3867A173" w:rsidR="00A633D3" w:rsidRDefault="00664E3A" w:rsidP="00A633D3">
      <w:pPr>
        <w:rPr>
          <w:rFonts w:cs="Arial"/>
          <w:szCs w:val="20"/>
        </w:rPr>
      </w:pPr>
      <w:r w:rsidRPr="00137AAA">
        <w:t>Kidney function was evaluated by creatinine clearance, calculated for the right kidney only</w:t>
      </w:r>
      <w:r w:rsidR="00A633D3">
        <w:t xml:space="preserve">. </w:t>
      </w:r>
      <w:r w:rsidR="00A633D3" w:rsidRPr="00B24359">
        <w:rPr>
          <w:rFonts w:cs="Arial"/>
          <w:szCs w:val="20"/>
        </w:rPr>
        <w:t xml:space="preserve">Creatinine clearance was </w:t>
      </w:r>
      <w:r w:rsidR="00A633D3">
        <w:rPr>
          <w:rFonts w:cs="Arial"/>
          <w:szCs w:val="20"/>
        </w:rPr>
        <w:t>calculated</w:t>
      </w:r>
      <w:r w:rsidR="00A633D3" w:rsidRPr="00B24359">
        <w:rPr>
          <w:rFonts w:cs="Arial"/>
          <w:szCs w:val="20"/>
        </w:rPr>
        <w:t xml:space="preserve"> as an index of glomerular filtration rate using the standard formula clearance (m</w:t>
      </w:r>
      <w:r w:rsidR="005E07F6">
        <w:rPr>
          <w:rFonts w:cs="Arial"/>
          <w:szCs w:val="20"/>
        </w:rPr>
        <w:t>L</w:t>
      </w:r>
      <w:r w:rsidR="00A633D3" w:rsidRPr="00B24359">
        <w:rPr>
          <w:rFonts w:cs="Arial"/>
          <w:szCs w:val="20"/>
        </w:rPr>
        <w:t>•mi</w:t>
      </w:r>
      <w:r w:rsidR="00A633D3">
        <w:rPr>
          <w:rFonts w:cs="Arial"/>
          <w:szCs w:val="20"/>
        </w:rPr>
        <w:t>n</w:t>
      </w:r>
      <w:r w:rsidR="00A633D3">
        <w:rPr>
          <w:rFonts w:cs="Arial"/>
          <w:szCs w:val="20"/>
          <w:vertAlign w:val="superscript"/>
        </w:rPr>
        <w:t>-1</w:t>
      </w:r>
      <w:r w:rsidR="00A633D3" w:rsidRPr="00B24359">
        <w:rPr>
          <w:rFonts w:cs="Arial"/>
          <w:szCs w:val="20"/>
        </w:rPr>
        <w:t>) = (U × V)/P</w:t>
      </w:r>
      <w:r w:rsidR="00A633D3">
        <w:rPr>
          <w:rFonts w:cs="Arial"/>
          <w:szCs w:val="20"/>
        </w:rPr>
        <w:t xml:space="preserve">, where </w:t>
      </w:r>
      <w:r w:rsidR="00A633D3" w:rsidRPr="00B24359">
        <w:rPr>
          <w:rFonts w:cs="Arial"/>
          <w:szCs w:val="20"/>
        </w:rPr>
        <w:t xml:space="preserve">U </w:t>
      </w:r>
      <w:r w:rsidR="00A633D3">
        <w:rPr>
          <w:rFonts w:cs="Arial"/>
          <w:szCs w:val="20"/>
        </w:rPr>
        <w:t>represents</w:t>
      </w:r>
      <w:r w:rsidR="00A633D3" w:rsidRPr="00B24359">
        <w:rPr>
          <w:rFonts w:cs="Arial"/>
          <w:szCs w:val="20"/>
        </w:rPr>
        <w:t xml:space="preserve"> urine creatinine concentration, V </w:t>
      </w:r>
      <w:r w:rsidR="00A633D3">
        <w:rPr>
          <w:rFonts w:cs="Arial"/>
          <w:szCs w:val="20"/>
        </w:rPr>
        <w:t>represents urine</w:t>
      </w:r>
      <w:r w:rsidR="00A633D3" w:rsidRPr="00B24359">
        <w:rPr>
          <w:rFonts w:cs="Arial"/>
          <w:szCs w:val="20"/>
        </w:rPr>
        <w:t xml:space="preserve"> volume per time, and P </w:t>
      </w:r>
      <w:r w:rsidR="00A633D3">
        <w:rPr>
          <w:rFonts w:cs="Arial"/>
          <w:szCs w:val="20"/>
        </w:rPr>
        <w:t xml:space="preserve">represents </w:t>
      </w:r>
      <w:r w:rsidR="00A633D3" w:rsidRPr="00B24359">
        <w:rPr>
          <w:rFonts w:cs="Arial"/>
          <w:szCs w:val="20"/>
        </w:rPr>
        <w:t xml:space="preserve">plasma creatinine concentration. </w:t>
      </w:r>
    </w:p>
    <w:p w14:paraId="3C1091B8" w14:textId="77777777" w:rsidR="005E07F6" w:rsidRPr="00B24359" w:rsidRDefault="005E07F6" w:rsidP="00A633D3">
      <w:pPr>
        <w:rPr>
          <w:rFonts w:cs="Arial"/>
          <w:szCs w:val="20"/>
        </w:rPr>
      </w:pPr>
    </w:p>
    <w:p w14:paraId="6AE7B89D" w14:textId="251ABE4C" w:rsidR="005E07F6" w:rsidRPr="00B24359" w:rsidRDefault="005E07F6" w:rsidP="005E07F6">
      <w:pPr>
        <w:rPr>
          <w:rFonts w:cs="Arial"/>
          <w:szCs w:val="20"/>
        </w:rPr>
      </w:pPr>
      <w:r w:rsidRPr="00B24359">
        <w:rPr>
          <w:rFonts w:cs="Arial"/>
          <w:szCs w:val="20"/>
        </w:rPr>
        <w:t>Urine samples were collected from the right ureter catheter at 10</w:t>
      </w:r>
      <w:r>
        <w:rPr>
          <w:rFonts w:cs="Arial"/>
          <w:szCs w:val="20"/>
        </w:rPr>
        <w:t>-</w:t>
      </w:r>
      <w:r w:rsidRPr="00B24359">
        <w:rPr>
          <w:rFonts w:cs="Arial"/>
          <w:szCs w:val="20"/>
        </w:rPr>
        <w:t>min</w:t>
      </w:r>
      <w:r>
        <w:rPr>
          <w:rFonts w:cs="Arial"/>
          <w:szCs w:val="20"/>
        </w:rPr>
        <w:t>ute intervals</w:t>
      </w:r>
      <w:r w:rsidRPr="00B24359">
        <w:rPr>
          <w:rFonts w:cs="Arial"/>
          <w:szCs w:val="20"/>
        </w:rPr>
        <w:t xml:space="preserve"> and centrifuged </w:t>
      </w:r>
      <w:r>
        <w:rPr>
          <w:rFonts w:cs="Arial"/>
          <w:szCs w:val="20"/>
        </w:rPr>
        <w:t xml:space="preserve">at </w:t>
      </w:r>
      <w:r w:rsidRPr="00B24359">
        <w:rPr>
          <w:rFonts w:cs="Arial"/>
          <w:szCs w:val="20"/>
        </w:rPr>
        <w:t>7000 rpm</w:t>
      </w:r>
      <w:r w:rsidR="001A6623">
        <w:rPr>
          <w:rFonts w:cs="Arial"/>
          <w:szCs w:val="20"/>
        </w:rPr>
        <w:t xml:space="preserve"> for </w:t>
      </w:r>
      <w:r w:rsidRPr="00B24359">
        <w:rPr>
          <w:rFonts w:cs="Arial"/>
          <w:szCs w:val="20"/>
        </w:rPr>
        <w:t xml:space="preserve">10 minutes </w:t>
      </w:r>
      <w:r>
        <w:rPr>
          <w:rFonts w:cs="Arial"/>
          <w:szCs w:val="20"/>
        </w:rPr>
        <w:t xml:space="preserve">at room temperature to determine </w:t>
      </w:r>
      <w:r w:rsidRPr="00B24359">
        <w:rPr>
          <w:rFonts w:cs="Arial"/>
          <w:szCs w:val="20"/>
        </w:rPr>
        <w:t xml:space="preserve">urine volume and concentration. </w:t>
      </w:r>
      <w:r>
        <w:rPr>
          <w:rFonts w:cs="Arial"/>
          <w:szCs w:val="20"/>
        </w:rPr>
        <w:t xml:space="preserve">Arterial blood samples were collected at the same time in </w:t>
      </w:r>
      <w:r w:rsidRPr="00B24359">
        <w:rPr>
          <w:rFonts w:cs="Arial"/>
          <w:szCs w:val="20"/>
        </w:rPr>
        <w:t>BD Vacutainer</w:t>
      </w:r>
      <w:r w:rsidRPr="00B24359">
        <w:rPr>
          <w:rFonts w:cs="Arial"/>
          <w:szCs w:val="20"/>
          <w:vertAlign w:val="superscript"/>
        </w:rPr>
        <w:t>®</w:t>
      </w:r>
      <w:r w:rsidRPr="00B24359">
        <w:rPr>
          <w:rFonts w:cs="Arial"/>
          <w:szCs w:val="20"/>
        </w:rPr>
        <w:t xml:space="preserve"> </w:t>
      </w:r>
      <w:proofErr w:type="spellStart"/>
      <w:r w:rsidRPr="00B24359">
        <w:rPr>
          <w:rFonts w:cs="Arial"/>
          <w:szCs w:val="20"/>
        </w:rPr>
        <w:t>Barricor</w:t>
      </w:r>
      <w:proofErr w:type="spellEnd"/>
      <w:r w:rsidRPr="00B24359">
        <w:rPr>
          <w:rFonts w:cs="Arial"/>
          <w:szCs w:val="20"/>
        </w:rPr>
        <w:t>™ Plasma blood collection tube</w:t>
      </w:r>
      <w:r>
        <w:rPr>
          <w:rFonts w:cs="Arial"/>
          <w:szCs w:val="20"/>
        </w:rPr>
        <w:t>s</w:t>
      </w:r>
      <w:r w:rsidRPr="00B24359">
        <w:rPr>
          <w:rFonts w:cs="Arial"/>
          <w:szCs w:val="20"/>
        </w:rPr>
        <w:t xml:space="preserve"> and centrifuged </w:t>
      </w:r>
      <w:r>
        <w:rPr>
          <w:rFonts w:cs="Arial"/>
          <w:szCs w:val="20"/>
        </w:rPr>
        <w:t xml:space="preserve">at </w:t>
      </w:r>
      <w:r w:rsidRPr="00B24359">
        <w:rPr>
          <w:rFonts w:cs="Arial"/>
          <w:szCs w:val="20"/>
        </w:rPr>
        <w:t>4000× g</w:t>
      </w:r>
      <w:r w:rsidR="001A6623">
        <w:rPr>
          <w:rFonts w:cs="Arial"/>
          <w:szCs w:val="20"/>
        </w:rPr>
        <w:t xml:space="preserve"> for</w:t>
      </w:r>
      <w:r w:rsidRPr="00B24359">
        <w:rPr>
          <w:rFonts w:cs="Arial"/>
          <w:szCs w:val="20"/>
        </w:rPr>
        <w:t xml:space="preserve"> 3 min</w:t>
      </w:r>
      <w:r>
        <w:rPr>
          <w:rFonts w:cs="Arial"/>
          <w:szCs w:val="20"/>
        </w:rPr>
        <w:t>utes at room temperature</w:t>
      </w:r>
      <w:r w:rsidRPr="00B24359">
        <w:rPr>
          <w:rFonts w:cs="Arial"/>
          <w:szCs w:val="20"/>
        </w:rPr>
        <w:t>. Creatinine concentrations in both urine and plasma were measured using colorimetric methods.</w:t>
      </w:r>
    </w:p>
    <w:p w14:paraId="4906EE7C" w14:textId="77777777" w:rsidR="00A633D3" w:rsidRDefault="00A633D3" w:rsidP="0090455C"/>
    <w:p w14:paraId="791E496D" w14:textId="39036FDA" w:rsidR="00664E3A" w:rsidRPr="00137AAA" w:rsidRDefault="00664E3A" w:rsidP="0090455C">
      <w:r w:rsidRPr="00137AAA">
        <w:t xml:space="preserve">Urinary </w:t>
      </w:r>
      <w:r w:rsidR="005E07F6">
        <w:t>n</w:t>
      </w:r>
      <w:r w:rsidRPr="00137AAA">
        <w:t xml:space="preserve">eutrophil gelatinase-associated lipocalin (NGAL) concentration was measured using the Pig Lipocalin-2 ELISA Kit (ab207924, Abcam, Cambridge, UK). Plasma intestinal fatty acid binding protein </w:t>
      </w:r>
      <w:r w:rsidRPr="00137AAA">
        <w:lastRenderedPageBreak/>
        <w:t xml:space="preserve">(I-FABP) concentration was measured using the Pig FABP2 (Intestinal Fatty Acid Binding Protein) ELISA Kit (MBS8807266, </w:t>
      </w:r>
      <w:proofErr w:type="spellStart"/>
      <w:r w:rsidRPr="00137AAA">
        <w:t>MyBiosource</w:t>
      </w:r>
      <w:proofErr w:type="spellEnd"/>
      <w:r w:rsidRPr="00137AAA">
        <w:t xml:space="preserve">, San Diego, USA). </w:t>
      </w:r>
    </w:p>
    <w:p w14:paraId="7D943757" w14:textId="77777777" w:rsidR="00664E3A" w:rsidRPr="00664E3A" w:rsidRDefault="00664E3A" w:rsidP="00F33822">
      <w:pPr>
        <w:rPr>
          <w:rFonts w:cs="Arial"/>
          <w:b/>
          <w:bCs/>
          <w:color w:val="000000" w:themeColor="text1"/>
          <w:szCs w:val="20"/>
        </w:rPr>
      </w:pPr>
    </w:p>
    <w:p w14:paraId="600E150A" w14:textId="13E76E8F" w:rsidR="00664E3A" w:rsidRPr="005E07F6" w:rsidRDefault="00AA32F7" w:rsidP="00F33822">
      <w:pPr>
        <w:rPr>
          <w:rFonts w:cs="Arial"/>
          <w:b/>
          <w:bCs/>
          <w:color w:val="000000" w:themeColor="text1"/>
          <w:szCs w:val="20"/>
        </w:rPr>
      </w:pPr>
      <w:r w:rsidRPr="005E07F6">
        <w:rPr>
          <w:rFonts w:cs="Arial"/>
          <w:b/>
          <w:bCs/>
          <w:color w:val="000000" w:themeColor="text1"/>
          <w:szCs w:val="20"/>
        </w:rPr>
        <w:t>2. Results</w:t>
      </w:r>
    </w:p>
    <w:p w14:paraId="382CADE8" w14:textId="2147E673" w:rsidR="00F33822" w:rsidRDefault="005E07F6" w:rsidP="00AF335B">
      <w:r w:rsidRPr="005E07F6">
        <w:t xml:space="preserve">Median [IQR] values are presented in Table 1. Right kidney clearance did not demonstrate a significant time effect in the control or LPS-1 </w:t>
      </w:r>
      <w:r w:rsidR="00653A48" w:rsidRPr="00653A48">
        <w:rPr>
          <w:szCs w:val="20"/>
        </w:rPr>
        <w:t>(</w:t>
      </w:r>
      <w:r w:rsidR="00653A48" w:rsidRPr="00653A48">
        <w:rPr>
          <w:rFonts w:cs="Arial"/>
          <w:szCs w:val="20"/>
        </w:rPr>
        <w:t xml:space="preserve">LPS with </w:t>
      </w:r>
      <w:r w:rsidR="001A6623">
        <w:rPr>
          <w:rFonts w:cs="Arial"/>
          <w:szCs w:val="20"/>
        </w:rPr>
        <w:t xml:space="preserve">hemodynamic </w:t>
      </w:r>
      <w:r w:rsidR="00653A48" w:rsidRPr="00653A48">
        <w:rPr>
          <w:rFonts w:cs="Arial"/>
          <w:szCs w:val="20"/>
        </w:rPr>
        <w:t>support initiated at MAP &lt;80</w:t>
      </w:r>
      <w:r w:rsidR="001A6623">
        <w:rPr>
          <w:rFonts w:cs="Arial"/>
          <w:szCs w:val="20"/>
        </w:rPr>
        <w:t xml:space="preserve"> </w:t>
      </w:r>
      <w:r w:rsidR="00653A48" w:rsidRPr="00653A48">
        <w:rPr>
          <w:rFonts w:cs="Arial"/>
          <w:szCs w:val="20"/>
        </w:rPr>
        <w:t>mmHg</w:t>
      </w:r>
      <w:r w:rsidR="00653A48" w:rsidRPr="00653A48">
        <w:rPr>
          <w:szCs w:val="20"/>
        </w:rPr>
        <w:t>)</w:t>
      </w:r>
      <w:r w:rsidR="00653A48">
        <w:rPr>
          <w:szCs w:val="20"/>
        </w:rPr>
        <w:t>.</w:t>
      </w:r>
      <w:r w:rsidRPr="005E07F6">
        <w:t xml:space="preserve"> A significant group-by-time interaction was observed in LPS-2</w:t>
      </w:r>
      <w:r w:rsidR="00653A48">
        <w:t xml:space="preserve"> </w:t>
      </w:r>
      <w:r w:rsidR="00653A48" w:rsidRPr="00653A48">
        <w:rPr>
          <w:szCs w:val="20"/>
        </w:rPr>
        <w:t>(</w:t>
      </w:r>
      <w:r w:rsidR="00653A48" w:rsidRPr="00653A48">
        <w:rPr>
          <w:rFonts w:cs="Arial"/>
          <w:szCs w:val="20"/>
        </w:rPr>
        <w:t xml:space="preserve">LPS with </w:t>
      </w:r>
      <w:r w:rsidR="001A6623">
        <w:rPr>
          <w:rFonts w:cs="Arial"/>
          <w:szCs w:val="20"/>
        </w:rPr>
        <w:t xml:space="preserve">hemodynamic </w:t>
      </w:r>
      <w:r w:rsidR="00653A48" w:rsidRPr="00653A48">
        <w:rPr>
          <w:rFonts w:cs="Arial"/>
          <w:szCs w:val="20"/>
        </w:rPr>
        <w:t>support initiated at MAP &lt;65</w:t>
      </w:r>
      <w:r w:rsidR="001A6623">
        <w:rPr>
          <w:rFonts w:cs="Arial"/>
          <w:szCs w:val="20"/>
        </w:rPr>
        <w:t xml:space="preserve"> </w:t>
      </w:r>
      <w:r w:rsidR="00653A48" w:rsidRPr="00653A48">
        <w:rPr>
          <w:rFonts w:cs="Arial"/>
          <w:szCs w:val="20"/>
        </w:rPr>
        <w:t>mmHg)</w:t>
      </w:r>
      <w:r w:rsidRPr="00653A48">
        <w:rPr>
          <w:szCs w:val="20"/>
        </w:rPr>
        <w:t>,</w:t>
      </w:r>
      <w:r w:rsidRPr="005E07F6">
        <w:t xml:space="preserve"> with lower values at 120 minutes compared with controls (</w:t>
      </w:r>
      <w:r w:rsidRPr="005E07F6">
        <w:rPr>
          <w:b/>
          <w:bCs/>
        </w:rPr>
        <w:t xml:space="preserve">Fig. </w:t>
      </w:r>
      <w:r>
        <w:t>1</w:t>
      </w:r>
      <w:r w:rsidRPr="005E07F6">
        <w:t>A; Table 2).</w:t>
      </w:r>
    </w:p>
    <w:p w14:paraId="06633070" w14:textId="77777777" w:rsidR="005E07F6" w:rsidRPr="00F33822" w:rsidRDefault="005E07F6" w:rsidP="00AF335B"/>
    <w:p w14:paraId="251862F7" w14:textId="11295F06" w:rsidR="00F33822" w:rsidRPr="00F33822" w:rsidRDefault="005E07F6" w:rsidP="00AF335B">
      <w:r w:rsidRPr="005E07F6">
        <w:t xml:space="preserve">NGAL demonstrated a significant group-by-time interaction. NGAL concentrations were higher in LPS-2 at 180 minutes, with a smaller increase also observed in LPS-1 at the same time point </w:t>
      </w:r>
      <w:r w:rsidR="00F33822" w:rsidRPr="00F33822">
        <w:t>(</w:t>
      </w:r>
      <w:r w:rsidR="00F33822" w:rsidRPr="00F33822">
        <w:rPr>
          <w:b/>
          <w:bCs/>
        </w:rPr>
        <w:t>Fig.</w:t>
      </w:r>
      <w:r w:rsidR="00F33822" w:rsidRPr="00F33822">
        <w:t xml:space="preserve"> </w:t>
      </w:r>
      <w:r>
        <w:t>1</w:t>
      </w:r>
      <w:r w:rsidR="00F33822" w:rsidRPr="00F33822">
        <w:t xml:space="preserve">B; </w:t>
      </w:r>
      <w:r>
        <w:t>Table 2</w:t>
      </w:r>
      <w:r w:rsidR="00F33822" w:rsidRPr="00F33822">
        <w:t>).</w:t>
      </w:r>
    </w:p>
    <w:p w14:paraId="339974B9" w14:textId="77777777" w:rsidR="00F33822" w:rsidRPr="00F33822" w:rsidRDefault="00F33822" w:rsidP="00AF335B"/>
    <w:p w14:paraId="211FB2A1" w14:textId="7A5877E9" w:rsidR="00F33822" w:rsidRPr="00F33822" w:rsidRDefault="00AF335B" w:rsidP="00AF335B">
      <w:r w:rsidRPr="00AF335B">
        <w:t>ICG-PDR decreased over time in the control group. A significant group-by-time interaction was observed in both LPS groups, with further reductions compared with controls at 60, 120, and 180 minutes in LPS-1, and at 120 and 180 minutes in LPS-2</w:t>
      </w:r>
      <w:r w:rsidR="00F33822" w:rsidRPr="00F33822">
        <w:t xml:space="preserve"> (</w:t>
      </w:r>
      <w:r w:rsidR="00F33822" w:rsidRPr="00F33822">
        <w:rPr>
          <w:b/>
          <w:bCs/>
        </w:rPr>
        <w:t xml:space="preserve">Fig. </w:t>
      </w:r>
      <w:r w:rsidR="005E07F6">
        <w:t>1</w:t>
      </w:r>
      <w:r w:rsidR="00F33822" w:rsidRPr="00F33822">
        <w:t xml:space="preserve">C; </w:t>
      </w:r>
      <w:r w:rsidR="005E07F6">
        <w:t>Table 2</w:t>
      </w:r>
      <w:r w:rsidR="00F33822" w:rsidRPr="00F33822">
        <w:t xml:space="preserve">). </w:t>
      </w:r>
      <w:r w:rsidRPr="00AF335B">
        <w:t xml:space="preserve">ICG-PDR was inversely correlated with arterial lactate concentrations </w:t>
      </w:r>
      <w:r w:rsidR="00F33822" w:rsidRPr="00F33822">
        <w:t>(</w:t>
      </w:r>
      <w:r w:rsidR="005E07F6" w:rsidRPr="005E07F6">
        <w:rPr>
          <w:b/>
          <w:bCs/>
        </w:rPr>
        <w:t>Fig.</w:t>
      </w:r>
      <w:r w:rsidR="005E07F6">
        <w:t xml:space="preserve"> 2</w:t>
      </w:r>
      <w:r w:rsidR="00F33822" w:rsidRPr="00F33822">
        <w:t>).</w:t>
      </w:r>
    </w:p>
    <w:p w14:paraId="581480A9" w14:textId="77777777" w:rsidR="00F33822" w:rsidRPr="00F33822" w:rsidRDefault="00F33822" w:rsidP="00F33822">
      <w:pPr>
        <w:rPr>
          <w:rFonts w:cs="Arial"/>
          <w:color w:val="000000" w:themeColor="text1"/>
          <w:szCs w:val="20"/>
        </w:rPr>
      </w:pPr>
    </w:p>
    <w:p w14:paraId="6F1AB2DE" w14:textId="460EC2DB" w:rsidR="00F33822" w:rsidRPr="00174000" w:rsidRDefault="00AF335B" w:rsidP="00F33822">
      <w:pPr>
        <w:rPr>
          <w:rFonts w:cs="Arial"/>
          <w:color w:val="000000" w:themeColor="text1"/>
          <w:szCs w:val="20"/>
        </w:rPr>
      </w:pPr>
      <w:r w:rsidRPr="00AF335B">
        <w:rPr>
          <w:rFonts w:cs="Arial"/>
          <w:color w:val="000000" w:themeColor="text1"/>
          <w:szCs w:val="20"/>
        </w:rPr>
        <w:t xml:space="preserve">I-FABP increased over time in the control group. No significant group-by-time interaction was observed in either LPS group </w:t>
      </w:r>
      <w:r w:rsidR="00F33822" w:rsidRPr="00F33822">
        <w:rPr>
          <w:rFonts w:cs="Arial"/>
          <w:color w:val="000000" w:themeColor="text1"/>
          <w:szCs w:val="20"/>
        </w:rPr>
        <w:t>(</w:t>
      </w:r>
      <w:r w:rsidR="00F33822" w:rsidRPr="00F33822">
        <w:rPr>
          <w:rFonts w:cs="Arial"/>
          <w:b/>
          <w:bCs/>
          <w:color w:val="000000" w:themeColor="text1"/>
          <w:szCs w:val="20"/>
        </w:rPr>
        <w:t>Fig.</w:t>
      </w:r>
      <w:r w:rsidR="00F33822" w:rsidRPr="00F33822">
        <w:rPr>
          <w:rFonts w:cs="Arial"/>
          <w:color w:val="000000" w:themeColor="text1"/>
          <w:szCs w:val="20"/>
        </w:rPr>
        <w:t xml:space="preserve"> </w:t>
      </w:r>
      <w:r w:rsidR="005E07F6">
        <w:rPr>
          <w:rFonts w:cs="Arial"/>
          <w:color w:val="000000" w:themeColor="text1"/>
          <w:szCs w:val="20"/>
        </w:rPr>
        <w:t>1</w:t>
      </w:r>
      <w:r w:rsidR="00F33822" w:rsidRPr="00F33822">
        <w:rPr>
          <w:rFonts w:cs="Arial"/>
          <w:color w:val="000000" w:themeColor="text1"/>
          <w:szCs w:val="20"/>
        </w:rPr>
        <w:t xml:space="preserve">D; </w:t>
      </w:r>
      <w:r w:rsidR="005E07F6">
        <w:rPr>
          <w:rFonts w:cs="Arial"/>
          <w:color w:val="000000" w:themeColor="text1"/>
          <w:szCs w:val="20"/>
        </w:rPr>
        <w:t>Table 2</w:t>
      </w:r>
      <w:r w:rsidR="00F33822" w:rsidRPr="00F33822">
        <w:rPr>
          <w:rFonts w:cs="Arial"/>
          <w:color w:val="000000" w:themeColor="text1"/>
          <w:szCs w:val="20"/>
        </w:rPr>
        <w:t>).</w:t>
      </w:r>
    </w:p>
    <w:p w14:paraId="6E4CF0B9" w14:textId="5DDDE290" w:rsidR="00F33822" w:rsidRPr="005E07F6" w:rsidRDefault="00F33822" w:rsidP="00F33822">
      <w:pPr>
        <w:rPr>
          <w:rFonts w:cs="Arial"/>
          <w:color w:val="000000" w:themeColor="text1"/>
          <w:szCs w:val="20"/>
        </w:rPr>
      </w:pPr>
      <w:r w:rsidRPr="00174000">
        <w:rPr>
          <w:rFonts w:cs="Arial"/>
          <w:b/>
          <w:bCs/>
          <w:iCs/>
          <w:color w:val="000000" w:themeColor="text1"/>
          <w:szCs w:val="20"/>
        </w:rPr>
        <w:t xml:space="preserve">Table </w:t>
      </w:r>
      <w:r w:rsidR="005E07F6" w:rsidRPr="00174000">
        <w:rPr>
          <w:rFonts w:cs="Arial"/>
          <w:b/>
          <w:bCs/>
          <w:iCs/>
          <w:color w:val="000000" w:themeColor="text1"/>
          <w:szCs w:val="20"/>
        </w:rPr>
        <w:t>1</w:t>
      </w:r>
      <w:r w:rsidRPr="00174000">
        <w:rPr>
          <w:rFonts w:cs="Arial"/>
          <w:b/>
          <w:bCs/>
          <w:iCs/>
          <w:color w:val="000000" w:themeColor="text1"/>
          <w:szCs w:val="20"/>
        </w:rPr>
        <w:t>:</w:t>
      </w:r>
      <w:r w:rsidRPr="005E07F6">
        <w:rPr>
          <w:rFonts w:cs="Arial"/>
          <w:iCs/>
          <w:color w:val="000000" w:themeColor="text1"/>
          <w:szCs w:val="20"/>
        </w:rPr>
        <w:t xml:space="preserve"> </w:t>
      </w:r>
      <w:r w:rsidRPr="005E07F6">
        <w:rPr>
          <w:rFonts w:cs="Arial"/>
          <w:color w:val="000000" w:themeColor="text1"/>
          <w:szCs w:val="20"/>
        </w:rPr>
        <w:t xml:space="preserve">Organ function </w:t>
      </w:r>
      <w:r w:rsidR="00AF335B">
        <w:rPr>
          <w:rFonts w:cs="Arial"/>
          <w:color w:val="000000" w:themeColor="text1"/>
          <w:szCs w:val="20"/>
        </w:rPr>
        <w:t>and injury markers</w:t>
      </w:r>
    </w:p>
    <w:tbl>
      <w:tblPr>
        <w:tblStyle w:val="PlainTable2"/>
        <w:tblW w:w="9072" w:type="dxa"/>
        <w:tblLayout w:type="fixed"/>
        <w:tblLook w:val="04A0" w:firstRow="1" w:lastRow="0" w:firstColumn="1" w:lastColumn="0" w:noHBand="0" w:noVBand="1"/>
      </w:tblPr>
      <w:tblGrid>
        <w:gridCol w:w="1560"/>
        <w:gridCol w:w="992"/>
        <w:gridCol w:w="2173"/>
        <w:gridCol w:w="2173"/>
        <w:gridCol w:w="2174"/>
      </w:tblGrid>
      <w:tr w:rsidR="00F33822" w:rsidRPr="005E07F6" w14:paraId="4E51224E" w14:textId="77777777" w:rsidTr="00864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36" w:space="0" w:color="auto"/>
              <w:bottom w:val="single" w:sz="18" w:space="0" w:color="auto"/>
            </w:tcBorders>
          </w:tcPr>
          <w:p w14:paraId="18BBCFA3"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36" w:space="0" w:color="auto"/>
              <w:bottom w:val="single" w:sz="18" w:space="0" w:color="auto"/>
            </w:tcBorders>
          </w:tcPr>
          <w:p w14:paraId="78195F60" w14:textId="77777777" w:rsidR="00F33822" w:rsidRPr="005E07F6" w:rsidRDefault="00F33822" w:rsidP="005E07F6">
            <w:pPr>
              <w:spacing w:line="240" w:lineRule="auto"/>
              <w:cnfStyle w:val="100000000000" w:firstRow="1"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Time point</w:t>
            </w:r>
          </w:p>
        </w:tc>
        <w:tc>
          <w:tcPr>
            <w:tcW w:w="2173" w:type="dxa"/>
            <w:tcBorders>
              <w:top w:val="single" w:sz="36" w:space="0" w:color="auto"/>
              <w:bottom w:val="single" w:sz="18" w:space="0" w:color="auto"/>
            </w:tcBorders>
            <w:vAlign w:val="center"/>
          </w:tcPr>
          <w:p w14:paraId="006CEACD" w14:textId="77777777" w:rsidR="00F33822" w:rsidRPr="005E07F6" w:rsidRDefault="00F33822" w:rsidP="005E07F6">
            <w:pPr>
              <w:spacing w:line="240" w:lineRule="auto"/>
              <w:cnfStyle w:val="100000000000" w:firstRow="1"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Control</w:t>
            </w:r>
            <w:r w:rsidRPr="005E07F6">
              <w:rPr>
                <w:rFonts w:cs="Arial"/>
                <w:color w:val="000000" w:themeColor="text1"/>
                <w:sz w:val="14"/>
                <w:szCs w:val="14"/>
              </w:rPr>
              <w:br/>
              <w:t>(N=10)</w:t>
            </w:r>
          </w:p>
        </w:tc>
        <w:tc>
          <w:tcPr>
            <w:tcW w:w="2173" w:type="dxa"/>
            <w:tcBorders>
              <w:top w:val="single" w:sz="36" w:space="0" w:color="auto"/>
              <w:bottom w:val="single" w:sz="18" w:space="0" w:color="auto"/>
            </w:tcBorders>
            <w:vAlign w:val="center"/>
          </w:tcPr>
          <w:p w14:paraId="6D7876CA" w14:textId="5DE2DA63" w:rsidR="00F33822" w:rsidRPr="005E07F6" w:rsidRDefault="00F33822" w:rsidP="005E07F6">
            <w:pPr>
              <w:spacing w:line="240" w:lineRule="auto"/>
              <w:cnfStyle w:val="100000000000" w:firstRow="1"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LPS-</w:t>
            </w:r>
            <w:r w:rsidR="005E07F6">
              <w:rPr>
                <w:rFonts w:cs="Arial"/>
                <w:color w:val="000000" w:themeColor="text1"/>
                <w:sz w:val="14"/>
                <w:szCs w:val="14"/>
              </w:rPr>
              <w:t>1</w:t>
            </w:r>
            <w:r w:rsidRPr="005E07F6">
              <w:rPr>
                <w:rFonts w:cs="Arial"/>
                <w:color w:val="000000" w:themeColor="text1"/>
                <w:sz w:val="14"/>
                <w:szCs w:val="14"/>
              </w:rPr>
              <w:br/>
              <w:t>(N=10)</w:t>
            </w:r>
          </w:p>
        </w:tc>
        <w:tc>
          <w:tcPr>
            <w:tcW w:w="2174" w:type="dxa"/>
            <w:tcBorders>
              <w:top w:val="single" w:sz="36" w:space="0" w:color="auto"/>
              <w:bottom w:val="single" w:sz="18" w:space="0" w:color="auto"/>
            </w:tcBorders>
            <w:vAlign w:val="center"/>
          </w:tcPr>
          <w:p w14:paraId="417205B1" w14:textId="67AB145C" w:rsidR="00F33822" w:rsidRPr="005E07F6" w:rsidRDefault="00F33822" w:rsidP="005E07F6">
            <w:pPr>
              <w:spacing w:line="240" w:lineRule="auto"/>
              <w:cnfStyle w:val="100000000000" w:firstRow="1"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LPS-</w:t>
            </w:r>
            <w:r w:rsidR="005E07F6">
              <w:rPr>
                <w:rFonts w:cs="Arial"/>
                <w:color w:val="000000" w:themeColor="text1"/>
                <w:sz w:val="14"/>
                <w:szCs w:val="14"/>
              </w:rPr>
              <w:t>2</w:t>
            </w:r>
            <w:r w:rsidRPr="005E07F6">
              <w:rPr>
                <w:rFonts w:cs="Arial"/>
                <w:color w:val="000000" w:themeColor="text1"/>
                <w:sz w:val="14"/>
                <w:szCs w:val="14"/>
              </w:rPr>
              <w:br/>
              <w:t>(N=10)</w:t>
            </w:r>
          </w:p>
        </w:tc>
      </w:tr>
      <w:tr w:rsidR="00F33822" w:rsidRPr="005E07F6" w14:paraId="4F58560C"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18" w:space="0" w:color="auto"/>
              <w:right w:val="nil"/>
            </w:tcBorders>
          </w:tcPr>
          <w:p w14:paraId="199DDD5C" w14:textId="77777777" w:rsidR="00F33822" w:rsidRPr="005E07F6" w:rsidRDefault="00F33822" w:rsidP="005E07F6">
            <w:pPr>
              <w:spacing w:line="240" w:lineRule="auto"/>
              <w:rPr>
                <w:rFonts w:cs="Arial"/>
                <w:i/>
                <w:color w:val="000000" w:themeColor="text1"/>
                <w:sz w:val="14"/>
                <w:szCs w:val="14"/>
              </w:rPr>
            </w:pPr>
            <w:r w:rsidRPr="005E07F6">
              <w:rPr>
                <w:rFonts w:cs="Arial"/>
                <w:i/>
                <w:color w:val="000000" w:themeColor="text1"/>
                <w:sz w:val="14"/>
                <w:szCs w:val="14"/>
              </w:rPr>
              <w:t>Right kidney clearance (ml·min</w:t>
            </w:r>
            <w:r w:rsidRPr="005E07F6">
              <w:rPr>
                <w:rFonts w:cs="Arial"/>
                <w:i/>
                <w:color w:val="000000" w:themeColor="text1"/>
                <w:sz w:val="14"/>
                <w:szCs w:val="14"/>
                <w:vertAlign w:val="superscript"/>
              </w:rPr>
              <w:t>-1</w:t>
            </w:r>
            <w:r w:rsidRPr="005E07F6">
              <w:rPr>
                <w:rFonts w:cs="Arial"/>
                <w:i/>
                <w:color w:val="000000" w:themeColor="text1"/>
                <w:sz w:val="14"/>
                <w:szCs w:val="14"/>
              </w:rPr>
              <w:t>)</w:t>
            </w:r>
          </w:p>
        </w:tc>
        <w:tc>
          <w:tcPr>
            <w:tcW w:w="992" w:type="dxa"/>
            <w:tcBorders>
              <w:top w:val="single" w:sz="18" w:space="0" w:color="auto"/>
              <w:left w:val="nil"/>
              <w:bottom w:val="single" w:sz="8" w:space="0" w:color="auto"/>
            </w:tcBorders>
          </w:tcPr>
          <w:p w14:paraId="5841CFC9"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Baseline</w:t>
            </w:r>
          </w:p>
        </w:tc>
        <w:tc>
          <w:tcPr>
            <w:tcW w:w="2173" w:type="dxa"/>
            <w:tcBorders>
              <w:top w:val="nil"/>
              <w:left w:val="nil"/>
              <w:bottom w:val="single" w:sz="8" w:space="0" w:color="auto"/>
              <w:right w:val="nil"/>
            </w:tcBorders>
            <w:vAlign w:val="center"/>
          </w:tcPr>
          <w:p w14:paraId="6FCD4927"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41.7 [38.2 - 49.7]</w:t>
            </w:r>
          </w:p>
        </w:tc>
        <w:tc>
          <w:tcPr>
            <w:tcW w:w="2173" w:type="dxa"/>
            <w:tcBorders>
              <w:top w:val="nil"/>
              <w:left w:val="nil"/>
              <w:bottom w:val="single" w:sz="8" w:space="0" w:color="auto"/>
              <w:right w:val="nil"/>
            </w:tcBorders>
            <w:vAlign w:val="center"/>
          </w:tcPr>
          <w:p w14:paraId="317C5607"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44.0 [41.6 - 47.8]</w:t>
            </w:r>
          </w:p>
        </w:tc>
        <w:tc>
          <w:tcPr>
            <w:tcW w:w="2174" w:type="dxa"/>
            <w:tcBorders>
              <w:top w:val="nil"/>
              <w:left w:val="nil"/>
              <w:bottom w:val="single" w:sz="8" w:space="0" w:color="auto"/>
              <w:right w:val="nil"/>
            </w:tcBorders>
            <w:vAlign w:val="center"/>
          </w:tcPr>
          <w:p w14:paraId="09FD23F0"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37.8 [34.3 - 45.8]</w:t>
            </w:r>
          </w:p>
        </w:tc>
      </w:tr>
      <w:tr w:rsidR="00F33822" w:rsidRPr="005E07F6" w14:paraId="6A9059FB" w14:textId="77777777" w:rsidTr="0086464C">
        <w:tc>
          <w:tcPr>
            <w:cnfStyle w:val="001000000000" w:firstRow="0" w:lastRow="0" w:firstColumn="1" w:lastColumn="0" w:oddVBand="0" w:evenVBand="0" w:oddHBand="0" w:evenHBand="0" w:firstRowFirstColumn="0" w:firstRowLastColumn="0" w:lastRowFirstColumn="0" w:lastRowLastColumn="0"/>
            <w:tcW w:w="1560" w:type="dxa"/>
            <w:vMerge/>
          </w:tcPr>
          <w:p w14:paraId="0AE9FC7B"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8" w:space="0" w:color="auto"/>
              <w:bottom w:val="single" w:sz="8" w:space="0" w:color="auto"/>
            </w:tcBorders>
          </w:tcPr>
          <w:p w14:paraId="4D87A04C"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T060</w:t>
            </w:r>
          </w:p>
        </w:tc>
        <w:tc>
          <w:tcPr>
            <w:tcW w:w="2173" w:type="dxa"/>
            <w:tcBorders>
              <w:top w:val="single" w:sz="8" w:space="0" w:color="auto"/>
              <w:left w:val="nil"/>
              <w:bottom w:val="single" w:sz="8" w:space="0" w:color="auto"/>
              <w:right w:val="nil"/>
            </w:tcBorders>
            <w:vAlign w:val="center"/>
          </w:tcPr>
          <w:p w14:paraId="671D647D"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43.7 [34.8 - 46.9]</w:t>
            </w:r>
          </w:p>
        </w:tc>
        <w:tc>
          <w:tcPr>
            <w:tcW w:w="2173" w:type="dxa"/>
            <w:tcBorders>
              <w:top w:val="single" w:sz="8" w:space="0" w:color="auto"/>
              <w:left w:val="nil"/>
              <w:bottom w:val="single" w:sz="8" w:space="0" w:color="auto"/>
              <w:right w:val="nil"/>
            </w:tcBorders>
            <w:vAlign w:val="center"/>
          </w:tcPr>
          <w:p w14:paraId="6DA50A4A"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42.6 [39.9 - 49.2]</w:t>
            </w:r>
          </w:p>
        </w:tc>
        <w:tc>
          <w:tcPr>
            <w:tcW w:w="2174" w:type="dxa"/>
            <w:tcBorders>
              <w:top w:val="single" w:sz="8" w:space="0" w:color="auto"/>
              <w:left w:val="nil"/>
              <w:bottom w:val="single" w:sz="8" w:space="0" w:color="auto"/>
              <w:right w:val="nil"/>
            </w:tcBorders>
            <w:vAlign w:val="center"/>
          </w:tcPr>
          <w:p w14:paraId="6F88B4E3"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36.7 [31.5 - 64.0]</w:t>
            </w:r>
          </w:p>
        </w:tc>
      </w:tr>
      <w:tr w:rsidR="00F33822" w:rsidRPr="005E07F6" w14:paraId="1A525595"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3ED8D337"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8" w:space="0" w:color="auto"/>
              <w:bottom w:val="single" w:sz="8" w:space="0" w:color="auto"/>
            </w:tcBorders>
          </w:tcPr>
          <w:p w14:paraId="1F2BC770"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T120</w:t>
            </w:r>
          </w:p>
        </w:tc>
        <w:tc>
          <w:tcPr>
            <w:tcW w:w="2173" w:type="dxa"/>
            <w:tcBorders>
              <w:top w:val="single" w:sz="8" w:space="0" w:color="auto"/>
              <w:left w:val="nil"/>
              <w:bottom w:val="single" w:sz="8" w:space="0" w:color="auto"/>
              <w:right w:val="nil"/>
            </w:tcBorders>
            <w:vAlign w:val="center"/>
          </w:tcPr>
          <w:p w14:paraId="6D8EE116"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48.5 [41.7 - 57.8]</w:t>
            </w:r>
          </w:p>
        </w:tc>
        <w:tc>
          <w:tcPr>
            <w:tcW w:w="2173" w:type="dxa"/>
            <w:tcBorders>
              <w:top w:val="single" w:sz="8" w:space="0" w:color="auto"/>
              <w:left w:val="nil"/>
              <w:bottom w:val="single" w:sz="8" w:space="0" w:color="auto"/>
              <w:right w:val="nil"/>
            </w:tcBorders>
            <w:vAlign w:val="center"/>
          </w:tcPr>
          <w:p w14:paraId="1D5DFB2F"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37.2 [32.4 - 45.1]</w:t>
            </w:r>
          </w:p>
        </w:tc>
        <w:tc>
          <w:tcPr>
            <w:tcW w:w="2174" w:type="dxa"/>
            <w:tcBorders>
              <w:top w:val="single" w:sz="8" w:space="0" w:color="auto"/>
              <w:left w:val="nil"/>
              <w:bottom w:val="single" w:sz="8" w:space="0" w:color="auto"/>
              <w:right w:val="nil"/>
            </w:tcBorders>
            <w:vAlign w:val="center"/>
          </w:tcPr>
          <w:p w14:paraId="397A0D05"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28.7 [24.8 - 31.6]</w:t>
            </w:r>
          </w:p>
        </w:tc>
      </w:tr>
      <w:tr w:rsidR="00F33822" w:rsidRPr="005E07F6" w14:paraId="3276E0AD" w14:textId="77777777" w:rsidTr="0086464C">
        <w:tc>
          <w:tcPr>
            <w:cnfStyle w:val="001000000000" w:firstRow="0" w:lastRow="0" w:firstColumn="1" w:lastColumn="0" w:oddVBand="0" w:evenVBand="0" w:oddHBand="0" w:evenHBand="0" w:firstRowFirstColumn="0" w:firstRowLastColumn="0" w:lastRowFirstColumn="0" w:lastRowLastColumn="0"/>
            <w:tcW w:w="1560" w:type="dxa"/>
            <w:vMerge/>
            <w:tcBorders>
              <w:bottom w:val="single" w:sz="4" w:space="0" w:color="auto"/>
            </w:tcBorders>
          </w:tcPr>
          <w:p w14:paraId="63A9E3A8"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8" w:space="0" w:color="auto"/>
              <w:bottom w:val="single" w:sz="4" w:space="0" w:color="auto"/>
            </w:tcBorders>
          </w:tcPr>
          <w:p w14:paraId="078F9C85"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T180</w:t>
            </w:r>
          </w:p>
        </w:tc>
        <w:tc>
          <w:tcPr>
            <w:tcW w:w="2173" w:type="dxa"/>
            <w:tcBorders>
              <w:top w:val="nil"/>
              <w:left w:val="nil"/>
              <w:bottom w:val="single" w:sz="8" w:space="0" w:color="auto"/>
              <w:right w:val="nil"/>
            </w:tcBorders>
            <w:vAlign w:val="center"/>
          </w:tcPr>
          <w:p w14:paraId="2B7450CA"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45.8 [40.5 - 48.9]</w:t>
            </w:r>
          </w:p>
        </w:tc>
        <w:tc>
          <w:tcPr>
            <w:tcW w:w="2173" w:type="dxa"/>
            <w:tcBorders>
              <w:top w:val="nil"/>
              <w:left w:val="nil"/>
              <w:bottom w:val="single" w:sz="8" w:space="0" w:color="auto"/>
              <w:right w:val="nil"/>
            </w:tcBorders>
            <w:vAlign w:val="center"/>
          </w:tcPr>
          <w:p w14:paraId="284C313F"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41.1 [36.3 - 49.3]</w:t>
            </w:r>
          </w:p>
        </w:tc>
        <w:tc>
          <w:tcPr>
            <w:tcW w:w="2174" w:type="dxa"/>
            <w:tcBorders>
              <w:top w:val="nil"/>
              <w:left w:val="nil"/>
              <w:bottom w:val="single" w:sz="8" w:space="0" w:color="auto"/>
              <w:right w:val="nil"/>
            </w:tcBorders>
            <w:vAlign w:val="center"/>
          </w:tcPr>
          <w:p w14:paraId="0E0A0BE4"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29.9 [25.5 - 36.8]</w:t>
            </w:r>
          </w:p>
        </w:tc>
      </w:tr>
      <w:tr w:rsidR="00F33822" w:rsidRPr="005E07F6" w14:paraId="7169CBE3"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auto"/>
            </w:tcBorders>
          </w:tcPr>
          <w:p w14:paraId="15962531" w14:textId="77777777" w:rsidR="00F33822" w:rsidRPr="005E07F6" w:rsidRDefault="00F33822" w:rsidP="005E07F6">
            <w:pPr>
              <w:spacing w:line="240" w:lineRule="auto"/>
              <w:rPr>
                <w:rFonts w:cs="Arial"/>
                <w:color w:val="000000" w:themeColor="text1"/>
                <w:sz w:val="14"/>
                <w:szCs w:val="14"/>
              </w:rPr>
            </w:pPr>
            <w:r w:rsidRPr="005E07F6">
              <w:rPr>
                <w:rFonts w:cs="Arial"/>
                <w:i/>
                <w:color w:val="000000" w:themeColor="text1"/>
                <w:sz w:val="14"/>
                <w:szCs w:val="14"/>
              </w:rPr>
              <w:t>NGAL   (ng·mL</w:t>
            </w:r>
            <w:r w:rsidRPr="005E07F6">
              <w:rPr>
                <w:rFonts w:cs="Arial"/>
                <w:i/>
                <w:color w:val="000000" w:themeColor="text1"/>
                <w:sz w:val="14"/>
                <w:szCs w:val="14"/>
                <w:vertAlign w:val="superscript"/>
              </w:rPr>
              <w:t>-1</w:t>
            </w:r>
            <w:r w:rsidRPr="005E07F6">
              <w:rPr>
                <w:rFonts w:cs="Arial"/>
                <w:i/>
                <w:color w:val="000000" w:themeColor="text1"/>
                <w:sz w:val="14"/>
                <w:szCs w:val="14"/>
              </w:rPr>
              <w:t>)</w:t>
            </w:r>
          </w:p>
        </w:tc>
        <w:tc>
          <w:tcPr>
            <w:tcW w:w="992" w:type="dxa"/>
            <w:tcBorders>
              <w:top w:val="single" w:sz="4" w:space="0" w:color="auto"/>
              <w:bottom w:val="single" w:sz="4" w:space="0" w:color="auto"/>
            </w:tcBorders>
          </w:tcPr>
          <w:p w14:paraId="3C1D8232"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Baseline</w:t>
            </w:r>
          </w:p>
        </w:tc>
        <w:tc>
          <w:tcPr>
            <w:tcW w:w="2173" w:type="dxa"/>
            <w:tcBorders>
              <w:top w:val="single" w:sz="8" w:space="0" w:color="auto"/>
              <w:left w:val="nil"/>
              <w:bottom w:val="single" w:sz="8" w:space="0" w:color="auto"/>
              <w:right w:val="nil"/>
            </w:tcBorders>
            <w:vAlign w:val="center"/>
          </w:tcPr>
          <w:p w14:paraId="5318973F"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5.57 [4.28 - 6.55]</w:t>
            </w:r>
          </w:p>
        </w:tc>
        <w:tc>
          <w:tcPr>
            <w:tcW w:w="2173" w:type="dxa"/>
            <w:tcBorders>
              <w:top w:val="single" w:sz="8" w:space="0" w:color="auto"/>
              <w:left w:val="nil"/>
              <w:bottom w:val="single" w:sz="8" w:space="0" w:color="auto"/>
              <w:right w:val="nil"/>
            </w:tcBorders>
            <w:vAlign w:val="center"/>
          </w:tcPr>
          <w:p w14:paraId="716F38FB"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5.56 [3.18 - 7.74]</w:t>
            </w:r>
          </w:p>
        </w:tc>
        <w:tc>
          <w:tcPr>
            <w:tcW w:w="2174" w:type="dxa"/>
            <w:tcBorders>
              <w:top w:val="single" w:sz="8" w:space="0" w:color="auto"/>
              <w:left w:val="nil"/>
              <w:bottom w:val="single" w:sz="8" w:space="0" w:color="auto"/>
              <w:right w:val="nil"/>
            </w:tcBorders>
            <w:vAlign w:val="center"/>
          </w:tcPr>
          <w:p w14:paraId="52E9E101"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4.27 [3.00 - 4.88]</w:t>
            </w:r>
          </w:p>
        </w:tc>
      </w:tr>
      <w:tr w:rsidR="00F33822" w:rsidRPr="005E07F6" w14:paraId="5F38DD1B" w14:textId="77777777" w:rsidTr="0086464C">
        <w:tc>
          <w:tcPr>
            <w:cnfStyle w:val="001000000000" w:firstRow="0" w:lastRow="0" w:firstColumn="1" w:lastColumn="0" w:oddVBand="0" w:evenVBand="0" w:oddHBand="0" w:evenHBand="0" w:firstRowFirstColumn="0" w:firstRowLastColumn="0" w:lastRowFirstColumn="0" w:lastRowLastColumn="0"/>
            <w:tcW w:w="1560" w:type="dxa"/>
            <w:vMerge/>
          </w:tcPr>
          <w:p w14:paraId="02BFAC38"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4" w:space="0" w:color="auto"/>
              <w:bottom w:val="single" w:sz="4" w:space="0" w:color="auto"/>
            </w:tcBorders>
          </w:tcPr>
          <w:p w14:paraId="0E3E9146"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T060</w:t>
            </w:r>
          </w:p>
        </w:tc>
        <w:tc>
          <w:tcPr>
            <w:tcW w:w="2173" w:type="dxa"/>
            <w:tcBorders>
              <w:top w:val="single" w:sz="8" w:space="0" w:color="auto"/>
              <w:left w:val="nil"/>
              <w:bottom w:val="single" w:sz="8" w:space="0" w:color="auto"/>
              <w:right w:val="nil"/>
            </w:tcBorders>
            <w:vAlign w:val="center"/>
          </w:tcPr>
          <w:p w14:paraId="1157F55D"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5.43 [3.81 - 7.83]</w:t>
            </w:r>
          </w:p>
        </w:tc>
        <w:tc>
          <w:tcPr>
            <w:tcW w:w="2173" w:type="dxa"/>
            <w:tcBorders>
              <w:top w:val="single" w:sz="8" w:space="0" w:color="auto"/>
              <w:left w:val="nil"/>
              <w:bottom w:val="single" w:sz="8" w:space="0" w:color="auto"/>
              <w:right w:val="nil"/>
            </w:tcBorders>
            <w:vAlign w:val="center"/>
          </w:tcPr>
          <w:p w14:paraId="766CAD79"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4.76 [3.90 - 11.37]</w:t>
            </w:r>
          </w:p>
        </w:tc>
        <w:tc>
          <w:tcPr>
            <w:tcW w:w="2174" w:type="dxa"/>
            <w:tcBorders>
              <w:top w:val="single" w:sz="8" w:space="0" w:color="auto"/>
              <w:left w:val="nil"/>
              <w:bottom w:val="single" w:sz="8" w:space="0" w:color="auto"/>
              <w:right w:val="nil"/>
            </w:tcBorders>
            <w:vAlign w:val="center"/>
          </w:tcPr>
          <w:p w14:paraId="4248001B"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11.64 [7.81 - 13.20]</w:t>
            </w:r>
          </w:p>
        </w:tc>
      </w:tr>
      <w:tr w:rsidR="00F33822" w:rsidRPr="005E07F6" w14:paraId="7AF8C3D8"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238731B9"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4" w:space="0" w:color="auto"/>
              <w:bottom w:val="single" w:sz="4" w:space="0" w:color="auto"/>
            </w:tcBorders>
          </w:tcPr>
          <w:p w14:paraId="148B42AD"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T120</w:t>
            </w:r>
          </w:p>
        </w:tc>
        <w:tc>
          <w:tcPr>
            <w:tcW w:w="2173" w:type="dxa"/>
            <w:tcBorders>
              <w:top w:val="single" w:sz="8" w:space="0" w:color="auto"/>
              <w:left w:val="nil"/>
              <w:bottom w:val="single" w:sz="8" w:space="0" w:color="auto"/>
              <w:right w:val="nil"/>
            </w:tcBorders>
            <w:vAlign w:val="center"/>
          </w:tcPr>
          <w:p w14:paraId="3D89B0BA"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5.19 [4.62 - 7.61]</w:t>
            </w:r>
          </w:p>
        </w:tc>
        <w:tc>
          <w:tcPr>
            <w:tcW w:w="2173" w:type="dxa"/>
            <w:tcBorders>
              <w:top w:val="single" w:sz="8" w:space="0" w:color="auto"/>
              <w:left w:val="nil"/>
              <w:bottom w:val="single" w:sz="8" w:space="0" w:color="auto"/>
              <w:right w:val="nil"/>
            </w:tcBorders>
            <w:vAlign w:val="center"/>
          </w:tcPr>
          <w:p w14:paraId="664DAD27"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6.62 [4.92 - 9.22]</w:t>
            </w:r>
          </w:p>
        </w:tc>
        <w:tc>
          <w:tcPr>
            <w:tcW w:w="2174" w:type="dxa"/>
            <w:tcBorders>
              <w:top w:val="single" w:sz="8" w:space="0" w:color="auto"/>
              <w:left w:val="nil"/>
              <w:bottom w:val="single" w:sz="8" w:space="0" w:color="auto"/>
              <w:right w:val="nil"/>
            </w:tcBorders>
            <w:vAlign w:val="center"/>
          </w:tcPr>
          <w:p w14:paraId="4CF8AC5A"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13.53 [9.55 - 20.11]</w:t>
            </w:r>
          </w:p>
        </w:tc>
      </w:tr>
      <w:tr w:rsidR="00F33822" w:rsidRPr="005E07F6" w14:paraId="2A78C95A" w14:textId="77777777" w:rsidTr="0086464C">
        <w:tc>
          <w:tcPr>
            <w:cnfStyle w:val="001000000000" w:firstRow="0" w:lastRow="0" w:firstColumn="1" w:lastColumn="0" w:oddVBand="0" w:evenVBand="0" w:oddHBand="0" w:evenHBand="0" w:firstRowFirstColumn="0" w:firstRowLastColumn="0" w:lastRowFirstColumn="0" w:lastRowLastColumn="0"/>
            <w:tcW w:w="1560" w:type="dxa"/>
            <w:vMerge/>
            <w:tcBorders>
              <w:bottom w:val="single" w:sz="4" w:space="0" w:color="auto"/>
            </w:tcBorders>
          </w:tcPr>
          <w:p w14:paraId="347E3CCA" w14:textId="77777777" w:rsidR="00F33822" w:rsidRPr="005E07F6" w:rsidRDefault="00F33822" w:rsidP="005E07F6">
            <w:pPr>
              <w:spacing w:line="240" w:lineRule="auto"/>
              <w:rPr>
                <w:rFonts w:cs="Arial"/>
                <w:color w:val="000000" w:themeColor="text1"/>
                <w:sz w:val="14"/>
                <w:szCs w:val="14"/>
                <w:vertAlign w:val="superscript"/>
              </w:rPr>
            </w:pPr>
          </w:p>
        </w:tc>
        <w:tc>
          <w:tcPr>
            <w:tcW w:w="992" w:type="dxa"/>
            <w:tcBorders>
              <w:top w:val="single" w:sz="4" w:space="0" w:color="auto"/>
              <w:bottom w:val="single" w:sz="4" w:space="0" w:color="auto"/>
            </w:tcBorders>
          </w:tcPr>
          <w:p w14:paraId="69EEECDE"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T180</w:t>
            </w:r>
          </w:p>
        </w:tc>
        <w:tc>
          <w:tcPr>
            <w:tcW w:w="2173" w:type="dxa"/>
            <w:tcBorders>
              <w:top w:val="single" w:sz="8" w:space="0" w:color="auto"/>
              <w:left w:val="nil"/>
              <w:bottom w:val="single" w:sz="8" w:space="0" w:color="auto"/>
              <w:right w:val="nil"/>
            </w:tcBorders>
            <w:vAlign w:val="center"/>
          </w:tcPr>
          <w:p w14:paraId="0E01F889"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5.42 [3.85 - 6.92]</w:t>
            </w:r>
          </w:p>
        </w:tc>
        <w:tc>
          <w:tcPr>
            <w:tcW w:w="2173" w:type="dxa"/>
            <w:tcBorders>
              <w:top w:val="single" w:sz="8" w:space="0" w:color="auto"/>
              <w:left w:val="nil"/>
              <w:bottom w:val="single" w:sz="8" w:space="0" w:color="auto"/>
              <w:right w:val="nil"/>
            </w:tcBorders>
            <w:vAlign w:val="center"/>
          </w:tcPr>
          <w:p w14:paraId="7CA86B38"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11.55 [10.22 - 19.16]</w:t>
            </w:r>
          </w:p>
        </w:tc>
        <w:tc>
          <w:tcPr>
            <w:tcW w:w="2174" w:type="dxa"/>
            <w:tcBorders>
              <w:top w:val="single" w:sz="8" w:space="0" w:color="auto"/>
              <w:left w:val="nil"/>
              <w:bottom w:val="single" w:sz="8" w:space="0" w:color="auto"/>
              <w:right w:val="nil"/>
            </w:tcBorders>
            <w:vAlign w:val="center"/>
          </w:tcPr>
          <w:p w14:paraId="6426402C"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36.49 [16.90 - 65.22]</w:t>
            </w:r>
          </w:p>
        </w:tc>
      </w:tr>
      <w:tr w:rsidR="00F33822" w:rsidRPr="005E07F6" w14:paraId="6376D68D"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auto"/>
            </w:tcBorders>
          </w:tcPr>
          <w:p w14:paraId="76D154B6" w14:textId="77777777" w:rsidR="00F33822" w:rsidRPr="005E07F6" w:rsidRDefault="00F33822" w:rsidP="005E07F6">
            <w:pPr>
              <w:spacing w:line="240" w:lineRule="auto"/>
              <w:rPr>
                <w:rFonts w:cs="Arial"/>
                <w:color w:val="000000" w:themeColor="text1"/>
                <w:sz w:val="14"/>
                <w:szCs w:val="14"/>
              </w:rPr>
            </w:pPr>
            <w:r w:rsidRPr="005E07F6">
              <w:rPr>
                <w:rFonts w:cs="Arial"/>
                <w:i/>
                <w:color w:val="000000" w:themeColor="text1"/>
                <w:sz w:val="14"/>
                <w:szCs w:val="14"/>
              </w:rPr>
              <w:t>ICG-PDR (%·min</w:t>
            </w:r>
            <w:r w:rsidRPr="005E07F6">
              <w:rPr>
                <w:rFonts w:cs="Arial"/>
                <w:i/>
                <w:color w:val="000000" w:themeColor="text1"/>
                <w:sz w:val="14"/>
                <w:szCs w:val="14"/>
                <w:vertAlign w:val="superscript"/>
              </w:rPr>
              <w:t>-1</w:t>
            </w:r>
            <w:r w:rsidRPr="005E07F6">
              <w:rPr>
                <w:rFonts w:cs="Arial"/>
                <w:i/>
                <w:color w:val="000000" w:themeColor="text1"/>
                <w:sz w:val="14"/>
                <w:szCs w:val="14"/>
              </w:rPr>
              <w:t>)</w:t>
            </w:r>
          </w:p>
        </w:tc>
        <w:tc>
          <w:tcPr>
            <w:tcW w:w="992" w:type="dxa"/>
            <w:tcBorders>
              <w:top w:val="single" w:sz="4" w:space="0" w:color="auto"/>
              <w:bottom w:val="single" w:sz="4" w:space="0" w:color="auto"/>
            </w:tcBorders>
          </w:tcPr>
          <w:p w14:paraId="57ABD435"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Baseline</w:t>
            </w:r>
          </w:p>
        </w:tc>
        <w:tc>
          <w:tcPr>
            <w:tcW w:w="2173" w:type="dxa"/>
            <w:tcBorders>
              <w:top w:val="single" w:sz="8" w:space="0" w:color="auto"/>
              <w:left w:val="nil"/>
              <w:bottom w:val="single" w:sz="8" w:space="0" w:color="auto"/>
              <w:right w:val="nil"/>
            </w:tcBorders>
            <w:vAlign w:val="center"/>
          </w:tcPr>
          <w:p w14:paraId="75F8EC76"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13.43 [11.82 - 14.94]</w:t>
            </w:r>
          </w:p>
        </w:tc>
        <w:tc>
          <w:tcPr>
            <w:tcW w:w="2173" w:type="dxa"/>
            <w:tcBorders>
              <w:top w:val="single" w:sz="8" w:space="0" w:color="auto"/>
              <w:left w:val="nil"/>
              <w:bottom w:val="single" w:sz="8" w:space="0" w:color="auto"/>
              <w:right w:val="nil"/>
            </w:tcBorders>
            <w:vAlign w:val="center"/>
          </w:tcPr>
          <w:p w14:paraId="69946AB1"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14.15 [12.85 - 15.32]</w:t>
            </w:r>
          </w:p>
        </w:tc>
        <w:tc>
          <w:tcPr>
            <w:tcW w:w="2174" w:type="dxa"/>
            <w:tcBorders>
              <w:top w:val="single" w:sz="8" w:space="0" w:color="auto"/>
              <w:left w:val="nil"/>
              <w:bottom w:val="single" w:sz="8" w:space="0" w:color="auto"/>
              <w:right w:val="nil"/>
            </w:tcBorders>
            <w:vAlign w:val="center"/>
          </w:tcPr>
          <w:p w14:paraId="7DCE03DB"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11.20 [11.11 - 12.91]</w:t>
            </w:r>
          </w:p>
        </w:tc>
      </w:tr>
      <w:tr w:rsidR="00F33822" w:rsidRPr="005E07F6" w14:paraId="7C2ACDC1" w14:textId="77777777" w:rsidTr="0086464C">
        <w:tc>
          <w:tcPr>
            <w:cnfStyle w:val="001000000000" w:firstRow="0" w:lastRow="0" w:firstColumn="1" w:lastColumn="0" w:oddVBand="0" w:evenVBand="0" w:oddHBand="0" w:evenHBand="0" w:firstRowFirstColumn="0" w:firstRowLastColumn="0" w:lastRowFirstColumn="0" w:lastRowLastColumn="0"/>
            <w:tcW w:w="1560" w:type="dxa"/>
            <w:vMerge/>
          </w:tcPr>
          <w:p w14:paraId="6111D1F0"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4" w:space="0" w:color="auto"/>
              <w:bottom w:val="single" w:sz="4" w:space="0" w:color="auto"/>
            </w:tcBorders>
          </w:tcPr>
          <w:p w14:paraId="03AFC18D"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T060</w:t>
            </w:r>
          </w:p>
        </w:tc>
        <w:tc>
          <w:tcPr>
            <w:tcW w:w="2173" w:type="dxa"/>
            <w:tcBorders>
              <w:top w:val="single" w:sz="8" w:space="0" w:color="auto"/>
              <w:left w:val="nil"/>
              <w:bottom w:val="single" w:sz="8" w:space="0" w:color="auto"/>
              <w:right w:val="nil"/>
            </w:tcBorders>
            <w:vAlign w:val="center"/>
          </w:tcPr>
          <w:p w14:paraId="08A0FE24"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12.15 [10.78 - 13.22]</w:t>
            </w:r>
          </w:p>
        </w:tc>
        <w:tc>
          <w:tcPr>
            <w:tcW w:w="2173" w:type="dxa"/>
            <w:tcBorders>
              <w:top w:val="single" w:sz="8" w:space="0" w:color="auto"/>
              <w:left w:val="nil"/>
              <w:bottom w:val="single" w:sz="8" w:space="0" w:color="auto"/>
              <w:right w:val="nil"/>
            </w:tcBorders>
            <w:vAlign w:val="center"/>
          </w:tcPr>
          <w:p w14:paraId="23425C3C"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8.94 [8.61 - 11.42]</w:t>
            </w:r>
          </w:p>
        </w:tc>
        <w:tc>
          <w:tcPr>
            <w:tcW w:w="2174" w:type="dxa"/>
            <w:tcBorders>
              <w:top w:val="single" w:sz="8" w:space="0" w:color="auto"/>
              <w:left w:val="nil"/>
              <w:bottom w:val="single" w:sz="8" w:space="0" w:color="auto"/>
              <w:right w:val="nil"/>
            </w:tcBorders>
            <w:vAlign w:val="center"/>
          </w:tcPr>
          <w:p w14:paraId="43D92344"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9.47 [7.65 - 10.99]</w:t>
            </w:r>
          </w:p>
        </w:tc>
      </w:tr>
      <w:tr w:rsidR="00F33822" w:rsidRPr="005E07F6" w14:paraId="3F4F0F5E"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11244E17"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4" w:space="0" w:color="auto"/>
              <w:bottom w:val="single" w:sz="4" w:space="0" w:color="auto"/>
            </w:tcBorders>
          </w:tcPr>
          <w:p w14:paraId="38D48E44"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T120</w:t>
            </w:r>
          </w:p>
        </w:tc>
        <w:tc>
          <w:tcPr>
            <w:tcW w:w="2173" w:type="dxa"/>
            <w:tcBorders>
              <w:top w:val="single" w:sz="8" w:space="0" w:color="auto"/>
              <w:left w:val="nil"/>
              <w:bottom w:val="single" w:sz="8" w:space="0" w:color="auto"/>
              <w:right w:val="nil"/>
            </w:tcBorders>
            <w:vAlign w:val="center"/>
          </w:tcPr>
          <w:p w14:paraId="4D628C3C"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10.00 [8.18 - 10.35]</w:t>
            </w:r>
          </w:p>
        </w:tc>
        <w:tc>
          <w:tcPr>
            <w:tcW w:w="2173" w:type="dxa"/>
            <w:tcBorders>
              <w:top w:val="single" w:sz="8" w:space="0" w:color="auto"/>
              <w:left w:val="nil"/>
              <w:bottom w:val="single" w:sz="8" w:space="0" w:color="auto"/>
              <w:right w:val="nil"/>
            </w:tcBorders>
            <w:vAlign w:val="center"/>
          </w:tcPr>
          <w:p w14:paraId="58AAC937"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4.85 [4.40 - 5.89]</w:t>
            </w:r>
          </w:p>
        </w:tc>
        <w:tc>
          <w:tcPr>
            <w:tcW w:w="2174" w:type="dxa"/>
            <w:tcBorders>
              <w:top w:val="single" w:sz="8" w:space="0" w:color="auto"/>
              <w:left w:val="nil"/>
              <w:bottom w:val="single" w:sz="8" w:space="0" w:color="auto"/>
              <w:right w:val="nil"/>
            </w:tcBorders>
            <w:vAlign w:val="center"/>
          </w:tcPr>
          <w:p w14:paraId="2AF620A4"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4.91 [3.80 - 5.71]</w:t>
            </w:r>
          </w:p>
        </w:tc>
      </w:tr>
      <w:tr w:rsidR="00F33822" w:rsidRPr="005E07F6" w14:paraId="5224CBB6" w14:textId="77777777" w:rsidTr="0086464C">
        <w:tc>
          <w:tcPr>
            <w:cnfStyle w:val="001000000000" w:firstRow="0" w:lastRow="0" w:firstColumn="1" w:lastColumn="0" w:oddVBand="0" w:evenVBand="0" w:oddHBand="0" w:evenHBand="0" w:firstRowFirstColumn="0" w:firstRowLastColumn="0" w:lastRowFirstColumn="0" w:lastRowLastColumn="0"/>
            <w:tcW w:w="1560" w:type="dxa"/>
            <w:vMerge/>
            <w:tcBorders>
              <w:bottom w:val="single" w:sz="4" w:space="0" w:color="auto"/>
            </w:tcBorders>
          </w:tcPr>
          <w:p w14:paraId="570D502E"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4" w:space="0" w:color="auto"/>
              <w:bottom w:val="single" w:sz="4" w:space="0" w:color="auto"/>
            </w:tcBorders>
          </w:tcPr>
          <w:p w14:paraId="34C9D60B"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T180</w:t>
            </w:r>
          </w:p>
        </w:tc>
        <w:tc>
          <w:tcPr>
            <w:tcW w:w="2173" w:type="dxa"/>
            <w:tcBorders>
              <w:top w:val="single" w:sz="8" w:space="0" w:color="auto"/>
              <w:left w:val="nil"/>
              <w:bottom w:val="single" w:sz="8" w:space="0" w:color="auto"/>
              <w:right w:val="nil"/>
            </w:tcBorders>
            <w:vAlign w:val="center"/>
          </w:tcPr>
          <w:p w14:paraId="3E253BF6"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6.94 [6.34 - 7.19]</w:t>
            </w:r>
          </w:p>
        </w:tc>
        <w:tc>
          <w:tcPr>
            <w:tcW w:w="2173" w:type="dxa"/>
            <w:tcBorders>
              <w:top w:val="single" w:sz="8" w:space="0" w:color="auto"/>
              <w:left w:val="nil"/>
              <w:bottom w:val="single" w:sz="8" w:space="0" w:color="auto"/>
              <w:right w:val="nil"/>
            </w:tcBorders>
            <w:vAlign w:val="center"/>
          </w:tcPr>
          <w:p w14:paraId="357A2FA6"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3.85 [2.89 - 4.52]</w:t>
            </w:r>
          </w:p>
        </w:tc>
        <w:tc>
          <w:tcPr>
            <w:tcW w:w="2174" w:type="dxa"/>
            <w:tcBorders>
              <w:top w:val="single" w:sz="8" w:space="0" w:color="auto"/>
              <w:left w:val="nil"/>
              <w:bottom w:val="single" w:sz="8" w:space="0" w:color="auto"/>
              <w:right w:val="nil"/>
            </w:tcBorders>
            <w:vAlign w:val="center"/>
          </w:tcPr>
          <w:p w14:paraId="2B82C0A2"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3.99 [3.26 - 4.92]</w:t>
            </w:r>
          </w:p>
        </w:tc>
      </w:tr>
      <w:tr w:rsidR="00F33822" w:rsidRPr="005E07F6" w14:paraId="513F9E48"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auto"/>
            </w:tcBorders>
          </w:tcPr>
          <w:p w14:paraId="68A7DC2F" w14:textId="77777777" w:rsidR="00F33822" w:rsidRPr="005E07F6" w:rsidRDefault="00F33822" w:rsidP="005E07F6">
            <w:pPr>
              <w:spacing w:line="240" w:lineRule="auto"/>
              <w:rPr>
                <w:rFonts w:cs="Arial"/>
                <w:color w:val="000000" w:themeColor="text1"/>
                <w:sz w:val="14"/>
                <w:szCs w:val="14"/>
              </w:rPr>
            </w:pPr>
            <w:r w:rsidRPr="005E07F6">
              <w:rPr>
                <w:rFonts w:cs="Arial"/>
                <w:i/>
                <w:color w:val="000000" w:themeColor="text1"/>
                <w:sz w:val="14"/>
                <w:szCs w:val="14"/>
              </w:rPr>
              <w:t>I-FABP (pg·mL</w:t>
            </w:r>
            <w:r w:rsidRPr="005E07F6">
              <w:rPr>
                <w:rFonts w:cs="Arial"/>
                <w:i/>
                <w:color w:val="000000" w:themeColor="text1"/>
                <w:sz w:val="14"/>
                <w:szCs w:val="14"/>
                <w:vertAlign w:val="superscript"/>
              </w:rPr>
              <w:t>-1</w:t>
            </w:r>
            <w:r w:rsidRPr="005E07F6">
              <w:rPr>
                <w:rFonts w:cs="Arial"/>
                <w:i/>
                <w:color w:val="000000" w:themeColor="text1"/>
                <w:sz w:val="14"/>
                <w:szCs w:val="14"/>
              </w:rPr>
              <w:t>)</w:t>
            </w:r>
          </w:p>
        </w:tc>
        <w:tc>
          <w:tcPr>
            <w:tcW w:w="992" w:type="dxa"/>
            <w:tcBorders>
              <w:top w:val="single" w:sz="4" w:space="0" w:color="auto"/>
              <w:bottom w:val="single" w:sz="4" w:space="0" w:color="auto"/>
            </w:tcBorders>
          </w:tcPr>
          <w:p w14:paraId="0AB6D377"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Baseline</w:t>
            </w:r>
          </w:p>
        </w:tc>
        <w:tc>
          <w:tcPr>
            <w:tcW w:w="2173" w:type="dxa"/>
            <w:tcBorders>
              <w:top w:val="single" w:sz="8" w:space="0" w:color="auto"/>
              <w:left w:val="nil"/>
              <w:bottom w:val="single" w:sz="8" w:space="0" w:color="auto"/>
              <w:right w:val="nil"/>
            </w:tcBorders>
            <w:vAlign w:val="center"/>
          </w:tcPr>
          <w:p w14:paraId="22DB2E49"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65.4 [52.4 - 76.4]</w:t>
            </w:r>
          </w:p>
        </w:tc>
        <w:tc>
          <w:tcPr>
            <w:tcW w:w="2173" w:type="dxa"/>
            <w:tcBorders>
              <w:top w:val="single" w:sz="8" w:space="0" w:color="auto"/>
              <w:left w:val="nil"/>
              <w:bottom w:val="single" w:sz="8" w:space="0" w:color="auto"/>
              <w:right w:val="nil"/>
            </w:tcBorders>
            <w:vAlign w:val="center"/>
          </w:tcPr>
          <w:p w14:paraId="4D8B66E2"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56.5 [44.5 - 79.4]</w:t>
            </w:r>
          </w:p>
        </w:tc>
        <w:tc>
          <w:tcPr>
            <w:tcW w:w="2174" w:type="dxa"/>
            <w:tcBorders>
              <w:top w:val="single" w:sz="8" w:space="0" w:color="auto"/>
              <w:left w:val="nil"/>
              <w:bottom w:val="single" w:sz="8" w:space="0" w:color="auto"/>
              <w:right w:val="nil"/>
            </w:tcBorders>
            <w:vAlign w:val="center"/>
          </w:tcPr>
          <w:p w14:paraId="77F6C710"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76.8 [59.8 - 94.6]</w:t>
            </w:r>
          </w:p>
        </w:tc>
      </w:tr>
      <w:tr w:rsidR="00F33822" w:rsidRPr="005E07F6" w14:paraId="18152DEE" w14:textId="77777777" w:rsidTr="0086464C">
        <w:tc>
          <w:tcPr>
            <w:cnfStyle w:val="001000000000" w:firstRow="0" w:lastRow="0" w:firstColumn="1" w:lastColumn="0" w:oddVBand="0" w:evenVBand="0" w:oddHBand="0" w:evenHBand="0" w:firstRowFirstColumn="0" w:firstRowLastColumn="0" w:lastRowFirstColumn="0" w:lastRowLastColumn="0"/>
            <w:tcW w:w="1560" w:type="dxa"/>
            <w:vMerge/>
          </w:tcPr>
          <w:p w14:paraId="10A81889"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4" w:space="0" w:color="auto"/>
              <w:bottom w:val="single" w:sz="4" w:space="0" w:color="auto"/>
            </w:tcBorders>
          </w:tcPr>
          <w:p w14:paraId="1BC1F439"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T060</w:t>
            </w:r>
          </w:p>
        </w:tc>
        <w:tc>
          <w:tcPr>
            <w:tcW w:w="2173" w:type="dxa"/>
            <w:tcBorders>
              <w:top w:val="single" w:sz="8" w:space="0" w:color="auto"/>
              <w:left w:val="nil"/>
              <w:bottom w:val="single" w:sz="8" w:space="0" w:color="auto"/>
              <w:right w:val="nil"/>
            </w:tcBorders>
            <w:vAlign w:val="center"/>
          </w:tcPr>
          <w:p w14:paraId="7AC2E7E0"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74.2 [56.6 - 91.5]</w:t>
            </w:r>
          </w:p>
        </w:tc>
        <w:tc>
          <w:tcPr>
            <w:tcW w:w="2173" w:type="dxa"/>
            <w:tcBorders>
              <w:top w:val="single" w:sz="8" w:space="0" w:color="auto"/>
              <w:left w:val="nil"/>
              <w:bottom w:val="single" w:sz="8" w:space="0" w:color="auto"/>
              <w:right w:val="nil"/>
            </w:tcBorders>
            <w:vAlign w:val="center"/>
          </w:tcPr>
          <w:p w14:paraId="22466CEB"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68.7 [50.7 - 88.6]</w:t>
            </w:r>
          </w:p>
        </w:tc>
        <w:tc>
          <w:tcPr>
            <w:tcW w:w="2174" w:type="dxa"/>
            <w:tcBorders>
              <w:top w:val="single" w:sz="8" w:space="0" w:color="auto"/>
              <w:left w:val="nil"/>
              <w:bottom w:val="single" w:sz="8" w:space="0" w:color="auto"/>
              <w:right w:val="nil"/>
            </w:tcBorders>
            <w:vAlign w:val="center"/>
          </w:tcPr>
          <w:p w14:paraId="02CD4678"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83.2 [65.9 - 95.7]</w:t>
            </w:r>
          </w:p>
        </w:tc>
      </w:tr>
      <w:tr w:rsidR="00F33822" w:rsidRPr="005E07F6" w14:paraId="4346F83E"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7F8FD01D"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4" w:space="0" w:color="auto"/>
              <w:bottom w:val="single" w:sz="4" w:space="0" w:color="auto"/>
            </w:tcBorders>
          </w:tcPr>
          <w:p w14:paraId="4B2FD269"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T120</w:t>
            </w:r>
          </w:p>
        </w:tc>
        <w:tc>
          <w:tcPr>
            <w:tcW w:w="2173" w:type="dxa"/>
            <w:tcBorders>
              <w:top w:val="single" w:sz="8" w:space="0" w:color="auto"/>
              <w:left w:val="nil"/>
              <w:bottom w:val="single" w:sz="8" w:space="0" w:color="auto"/>
              <w:right w:val="nil"/>
            </w:tcBorders>
            <w:vAlign w:val="center"/>
          </w:tcPr>
          <w:p w14:paraId="04A7D2F3"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66.4 [55.1 - 105.6]</w:t>
            </w:r>
          </w:p>
        </w:tc>
        <w:tc>
          <w:tcPr>
            <w:tcW w:w="2173" w:type="dxa"/>
            <w:tcBorders>
              <w:top w:val="single" w:sz="8" w:space="0" w:color="auto"/>
              <w:left w:val="nil"/>
              <w:bottom w:val="single" w:sz="8" w:space="0" w:color="auto"/>
              <w:right w:val="nil"/>
            </w:tcBorders>
            <w:vAlign w:val="center"/>
          </w:tcPr>
          <w:p w14:paraId="35546EB9"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68.6 [56.8 - 75.4]</w:t>
            </w:r>
          </w:p>
        </w:tc>
        <w:tc>
          <w:tcPr>
            <w:tcW w:w="2174" w:type="dxa"/>
            <w:tcBorders>
              <w:top w:val="single" w:sz="8" w:space="0" w:color="auto"/>
              <w:left w:val="nil"/>
              <w:bottom w:val="single" w:sz="8" w:space="0" w:color="auto"/>
              <w:right w:val="nil"/>
            </w:tcBorders>
            <w:vAlign w:val="center"/>
          </w:tcPr>
          <w:p w14:paraId="03287CC3" w14:textId="77777777" w:rsidR="00F33822" w:rsidRPr="005E07F6" w:rsidRDefault="00F33822" w:rsidP="005E07F6">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83.5 [70.4 - 96.1]</w:t>
            </w:r>
          </w:p>
        </w:tc>
      </w:tr>
      <w:tr w:rsidR="00F33822" w:rsidRPr="005E07F6" w14:paraId="6D659E48" w14:textId="77777777" w:rsidTr="0086464C">
        <w:tc>
          <w:tcPr>
            <w:cnfStyle w:val="001000000000" w:firstRow="0" w:lastRow="0" w:firstColumn="1" w:lastColumn="0" w:oddVBand="0" w:evenVBand="0" w:oddHBand="0" w:evenHBand="0" w:firstRowFirstColumn="0" w:firstRowLastColumn="0" w:lastRowFirstColumn="0" w:lastRowLastColumn="0"/>
            <w:tcW w:w="1560" w:type="dxa"/>
            <w:vMerge/>
            <w:tcBorders>
              <w:bottom w:val="single" w:sz="4" w:space="0" w:color="auto"/>
            </w:tcBorders>
          </w:tcPr>
          <w:p w14:paraId="14AE2D3B" w14:textId="77777777" w:rsidR="00F33822" w:rsidRPr="005E07F6" w:rsidRDefault="00F33822" w:rsidP="005E07F6">
            <w:pPr>
              <w:spacing w:line="240" w:lineRule="auto"/>
              <w:rPr>
                <w:rFonts w:cs="Arial"/>
                <w:color w:val="000000" w:themeColor="text1"/>
                <w:sz w:val="14"/>
                <w:szCs w:val="14"/>
              </w:rPr>
            </w:pPr>
          </w:p>
        </w:tc>
        <w:tc>
          <w:tcPr>
            <w:tcW w:w="992" w:type="dxa"/>
            <w:tcBorders>
              <w:top w:val="single" w:sz="4" w:space="0" w:color="auto"/>
              <w:bottom w:val="single" w:sz="4" w:space="0" w:color="auto"/>
            </w:tcBorders>
          </w:tcPr>
          <w:p w14:paraId="7909FE95"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 xml:space="preserve">  T180</w:t>
            </w:r>
          </w:p>
        </w:tc>
        <w:tc>
          <w:tcPr>
            <w:tcW w:w="2173" w:type="dxa"/>
            <w:tcBorders>
              <w:top w:val="single" w:sz="8" w:space="0" w:color="auto"/>
              <w:left w:val="nil"/>
              <w:bottom w:val="nil"/>
              <w:right w:val="nil"/>
            </w:tcBorders>
            <w:vAlign w:val="center"/>
          </w:tcPr>
          <w:p w14:paraId="0F788548"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81.9 [67.6 - 111.7]</w:t>
            </w:r>
          </w:p>
        </w:tc>
        <w:tc>
          <w:tcPr>
            <w:tcW w:w="2173" w:type="dxa"/>
            <w:tcBorders>
              <w:top w:val="single" w:sz="8" w:space="0" w:color="auto"/>
              <w:left w:val="nil"/>
              <w:bottom w:val="nil"/>
              <w:right w:val="nil"/>
            </w:tcBorders>
            <w:vAlign w:val="center"/>
          </w:tcPr>
          <w:p w14:paraId="1D9DC4E5"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71.0 [63.1 - 75.9]</w:t>
            </w:r>
          </w:p>
        </w:tc>
        <w:tc>
          <w:tcPr>
            <w:tcW w:w="2174" w:type="dxa"/>
            <w:tcBorders>
              <w:top w:val="single" w:sz="8" w:space="0" w:color="auto"/>
              <w:left w:val="nil"/>
              <w:bottom w:val="nil"/>
              <w:right w:val="nil"/>
            </w:tcBorders>
            <w:vAlign w:val="center"/>
          </w:tcPr>
          <w:p w14:paraId="48973F56" w14:textId="77777777" w:rsidR="00F33822" w:rsidRPr="005E07F6" w:rsidRDefault="00F33822" w:rsidP="005E07F6">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4"/>
                <w:szCs w:val="14"/>
              </w:rPr>
            </w:pPr>
            <w:r w:rsidRPr="005E07F6">
              <w:rPr>
                <w:rFonts w:cs="Arial"/>
                <w:color w:val="000000" w:themeColor="text1"/>
                <w:sz w:val="14"/>
                <w:szCs w:val="14"/>
              </w:rPr>
              <w:t>76.9 [70.4 - 106.3]</w:t>
            </w:r>
          </w:p>
        </w:tc>
      </w:tr>
      <w:tr w:rsidR="00F33822" w:rsidRPr="005E07F6" w14:paraId="43DFD0FC" w14:textId="77777777" w:rsidTr="00864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5"/>
            <w:tcBorders>
              <w:top w:val="single" w:sz="18" w:space="0" w:color="auto"/>
              <w:bottom w:val="nil"/>
            </w:tcBorders>
          </w:tcPr>
          <w:p w14:paraId="6E761A67" w14:textId="07FAAD2E" w:rsidR="00F33822" w:rsidRPr="005E07F6" w:rsidRDefault="00F33822" w:rsidP="005E07F6">
            <w:pPr>
              <w:spacing w:line="240" w:lineRule="auto"/>
              <w:rPr>
                <w:rFonts w:cs="Arial"/>
                <w:b w:val="0"/>
                <w:bCs w:val="0"/>
                <w:color w:val="000000" w:themeColor="text1"/>
                <w:sz w:val="14"/>
                <w:szCs w:val="14"/>
              </w:rPr>
            </w:pPr>
            <w:r w:rsidRPr="005E07F6">
              <w:rPr>
                <w:rFonts w:cs="Arial"/>
                <w:i/>
                <w:iCs/>
                <w:color w:val="000000" w:themeColor="text1"/>
                <w:sz w:val="14"/>
                <w:szCs w:val="14"/>
              </w:rPr>
              <w:t>Abbreviations:</w:t>
            </w:r>
            <w:r w:rsidRPr="005E07F6">
              <w:rPr>
                <w:rFonts w:cs="Arial"/>
                <w:b w:val="0"/>
                <w:bCs w:val="0"/>
                <w:i/>
                <w:iCs/>
                <w:color w:val="000000" w:themeColor="text1"/>
                <w:sz w:val="14"/>
                <w:szCs w:val="14"/>
              </w:rPr>
              <w:t xml:space="preserve"> LPS, lipopolysaccharide;</w:t>
            </w:r>
            <w:r w:rsidR="005E07F6" w:rsidRPr="005E07F6">
              <w:rPr>
                <w:rFonts w:cs="Arial"/>
                <w:b w:val="0"/>
                <w:bCs w:val="0"/>
                <w:i/>
                <w:iCs/>
                <w:color w:val="000000" w:themeColor="text1"/>
                <w:sz w:val="14"/>
                <w:szCs w:val="14"/>
              </w:rPr>
              <w:t xml:space="preserve"> </w:t>
            </w:r>
            <w:r w:rsidR="005E07F6" w:rsidRPr="005E07F6">
              <w:rPr>
                <w:rFonts w:cs="Arial"/>
                <w:b w:val="0"/>
                <w:bCs w:val="0"/>
                <w:i/>
                <w:iCs/>
                <w:sz w:val="14"/>
                <w:szCs w:val="14"/>
              </w:rPr>
              <w:t>LPS-1, LPS with support initiated at MAP &lt;80mmHg; LPS-2, LPS with support initiated at MAP &lt;65mmHg</w:t>
            </w:r>
            <w:r w:rsidR="005E07F6" w:rsidRPr="005E07F6">
              <w:rPr>
                <w:rFonts w:cs="Arial"/>
                <w:b w:val="0"/>
                <w:bCs w:val="0"/>
                <w:i/>
                <w:sz w:val="14"/>
                <w:szCs w:val="14"/>
              </w:rPr>
              <w:t>;</w:t>
            </w:r>
            <w:r w:rsidRPr="005E07F6">
              <w:rPr>
                <w:rFonts w:cs="Arial"/>
                <w:b w:val="0"/>
                <w:bCs w:val="0"/>
                <w:i/>
                <w:iCs/>
                <w:color w:val="000000" w:themeColor="text1"/>
                <w:sz w:val="14"/>
                <w:szCs w:val="14"/>
              </w:rPr>
              <w:t xml:space="preserve"> ICG-PDR, indocyanine green plasma disappearance rate</w:t>
            </w:r>
            <w:r w:rsidRPr="005E07F6">
              <w:rPr>
                <w:rFonts w:cs="Arial"/>
                <w:b w:val="0"/>
                <w:bCs w:val="0"/>
                <w:i/>
                <w:color w:val="000000" w:themeColor="text1"/>
                <w:sz w:val="14"/>
                <w:szCs w:val="14"/>
              </w:rPr>
              <w:t xml:space="preserve">; </w:t>
            </w:r>
            <w:r w:rsidRPr="005E07F6">
              <w:rPr>
                <w:rFonts w:cs="Arial"/>
                <w:b w:val="0"/>
                <w:bCs w:val="0"/>
                <w:i/>
                <w:iCs/>
                <w:color w:val="000000" w:themeColor="text1"/>
                <w:sz w:val="14"/>
                <w:szCs w:val="14"/>
              </w:rPr>
              <w:t xml:space="preserve">NGAL, </w:t>
            </w:r>
            <w:r w:rsidRPr="005E07F6">
              <w:rPr>
                <w:rFonts w:cs="Arial"/>
                <w:b w:val="0"/>
                <w:bCs w:val="0"/>
                <w:i/>
                <w:color w:val="000000" w:themeColor="text1"/>
                <w:sz w:val="14"/>
                <w:szCs w:val="14"/>
              </w:rPr>
              <w:t>Neutrophil gelatinase-associated lipocalin;</w:t>
            </w:r>
            <w:r w:rsidRPr="005E07F6">
              <w:rPr>
                <w:rFonts w:cs="Arial"/>
                <w:b w:val="0"/>
                <w:bCs w:val="0"/>
                <w:i/>
                <w:iCs/>
                <w:color w:val="000000" w:themeColor="text1"/>
                <w:sz w:val="14"/>
                <w:szCs w:val="14"/>
              </w:rPr>
              <w:t xml:space="preserve"> I-FABP, </w:t>
            </w:r>
            <w:r w:rsidRPr="005E07F6">
              <w:rPr>
                <w:rFonts w:cs="Arial"/>
                <w:b w:val="0"/>
                <w:bCs w:val="0"/>
                <w:i/>
                <w:color w:val="000000" w:themeColor="text1"/>
                <w:sz w:val="14"/>
                <w:szCs w:val="14"/>
              </w:rPr>
              <w:t>intestinal fatty acid binding protein</w:t>
            </w:r>
            <w:r w:rsidRPr="005E07F6">
              <w:rPr>
                <w:rFonts w:cs="Arial"/>
                <w:b w:val="0"/>
                <w:bCs w:val="0"/>
                <w:i/>
                <w:iCs/>
                <w:color w:val="000000" w:themeColor="text1"/>
                <w:sz w:val="14"/>
                <w:szCs w:val="14"/>
              </w:rPr>
              <w:t>; Median [Inter Quartile Range]</w:t>
            </w:r>
          </w:p>
        </w:tc>
      </w:tr>
    </w:tbl>
    <w:p w14:paraId="7C613F37" w14:textId="77777777" w:rsidR="00F33822" w:rsidRPr="005E07F6" w:rsidRDefault="00F33822" w:rsidP="00F33822">
      <w:pPr>
        <w:rPr>
          <w:rFonts w:cs="Arial"/>
          <w:bCs/>
          <w:iCs/>
          <w:color w:val="000000" w:themeColor="text1"/>
          <w:szCs w:val="20"/>
        </w:rPr>
      </w:pPr>
    </w:p>
    <w:p w14:paraId="39C321DC" w14:textId="37AAA719" w:rsidR="00F33822" w:rsidRDefault="00F33822" w:rsidP="00F33822">
      <w:pPr>
        <w:rPr>
          <w:rFonts w:cs="Arial"/>
          <w:bCs/>
          <w:iCs/>
          <w:color w:val="000000" w:themeColor="text1"/>
          <w:szCs w:val="20"/>
        </w:rPr>
      </w:pPr>
      <w:r w:rsidRPr="00174000">
        <w:rPr>
          <w:rFonts w:cs="Arial"/>
          <w:b/>
          <w:iCs/>
          <w:color w:val="000000" w:themeColor="text1"/>
          <w:szCs w:val="20"/>
        </w:rPr>
        <w:lastRenderedPageBreak/>
        <w:t xml:space="preserve">Fig. </w:t>
      </w:r>
      <w:r w:rsidR="005E07F6" w:rsidRPr="00174000">
        <w:rPr>
          <w:rFonts w:cs="Arial"/>
          <w:b/>
          <w:iCs/>
          <w:color w:val="000000" w:themeColor="text1"/>
          <w:szCs w:val="20"/>
        </w:rPr>
        <w:t>1</w:t>
      </w:r>
      <w:r w:rsidRPr="00174000">
        <w:rPr>
          <w:rFonts w:cs="Arial"/>
          <w:b/>
          <w:iCs/>
          <w:color w:val="000000" w:themeColor="text1"/>
          <w:szCs w:val="20"/>
        </w:rPr>
        <w:t>:</w:t>
      </w:r>
      <w:r w:rsidRPr="005E07F6">
        <w:rPr>
          <w:rFonts w:cs="Arial"/>
          <w:bCs/>
          <w:iCs/>
          <w:color w:val="000000" w:themeColor="text1"/>
          <w:szCs w:val="20"/>
        </w:rPr>
        <w:t xml:space="preserve"> </w:t>
      </w:r>
      <w:r w:rsidRPr="005E07F6">
        <w:rPr>
          <w:rFonts w:cs="Arial"/>
          <w:bCs/>
          <w:color w:val="000000" w:themeColor="text1"/>
          <w:szCs w:val="20"/>
        </w:rPr>
        <w:t>Organ</w:t>
      </w:r>
      <w:r w:rsidRPr="00F33822">
        <w:rPr>
          <w:rFonts w:cs="Arial"/>
          <w:color w:val="000000" w:themeColor="text1"/>
          <w:szCs w:val="20"/>
        </w:rPr>
        <w:t xml:space="preserve"> function </w:t>
      </w:r>
      <w:r w:rsidR="00AF335B">
        <w:rPr>
          <w:rFonts w:cs="Arial"/>
          <w:color w:val="000000" w:themeColor="text1"/>
          <w:szCs w:val="20"/>
        </w:rPr>
        <w:t xml:space="preserve">and injury markers </w:t>
      </w:r>
      <w:r w:rsidRPr="00F33822">
        <w:rPr>
          <w:rFonts w:cs="Arial"/>
          <w:bCs/>
          <w:iCs/>
          <w:color w:val="000000" w:themeColor="text1"/>
          <w:szCs w:val="20"/>
        </w:rPr>
        <w:t>effect plots; A. Right kidney clearance, B. NGAL, C. ICG-PDR, D. I-FABP</w:t>
      </w:r>
    </w:p>
    <w:p w14:paraId="5DBD49E7" w14:textId="4767AF52" w:rsidR="005E07F6" w:rsidRPr="00F33822" w:rsidRDefault="005E07F6" w:rsidP="00F33822">
      <w:pPr>
        <w:rPr>
          <w:rFonts w:cs="Arial"/>
          <w:bCs/>
          <w:iCs/>
          <w:color w:val="000000" w:themeColor="text1"/>
          <w:szCs w:val="20"/>
        </w:rPr>
      </w:pPr>
      <w:r>
        <w:rPr>
          <w:rFonts w:cs="Arial"/>
          <w:bCs/>
          <w:iCs/>
          <w:noProof/>
          <w:color w:val="000000" w:themeColor="text1"/>
          <w:szCs w:val="20"/>
          <w14:ligatures w14:val="standardContextual"/>
        </w:rPr>
        <w:drawing>
          <wp:inline distT="0" distB="0" distL="0" distR="0" wp14:anchorId="6FBDC34A" wp14:editId="5CDAC321">
            <wp:extent cx="5731510" cy="5731510"/>
            <wp:effectExtent l="0" t="0" r="0" b="0"/>
            <wp:docPr id="1535159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59050" name="Picture 153515905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DF6B896" w14:textId="19979F7C" w:rsidR="00F33822" w:rsidRPr="00F33822" w:rsidRDefault="00F33822" w:rsidP="00F33822">
      <w:pPr>
        <w:rPr>
          <w:rFonts w:cs="Arial"/>
          <w:i/>
          <w:color w:val="000000" w:themeColor="text1"/>
          <w:szCs w:val="20"/>
        </w:rPr>
      </w:pPr>
      <w:r w:rsidRPr="00F33822">
        <w:rPr>
          <w:rFonts w:cs="Arial"/>
          <w:bCs/>
          <w:i/>
          <w:color w:val="000000" w:themeColor="text1"/>
          <w:szCs w:val="20"/>
        </w:rPr>
        <w:t xml:space="preserve">Abbreviations: LPS, </w:t>
      </w:r>
      <w:r w:rsidRPr="005E07F6">
        <w:rPr>
          <w:rFonts w:cs="Arial"/>
          <w:bCs/>
          <w:i/>
          <w:color w:val="000000" w:themeColor="text1"/>
          <w:szCs w:val="20"/>
        </w:rPr>
        <w:t xml:space="preserve">lipopolysaccharide; </w:t>
      </w:r>
      <w:r w:rsidR="005E07F6" w:rsidRPr="005E07F6">
        <w:rPr>
          <w:rFonts w:cs="Arial"/>
          <w:i/>
          <w:iCs/>
          <w:szCs w:val="20"/>
        </w:rPr>
        <w:t>LPS-1, LPS with support initiated at MAP &lt;80mmHg; LPS-2, LPS with support initiated at MAP &lt;65mmHg</w:t>
      </w:r>
      <w:r w:rsidR="005E07F6" w:rsidRPr="005E07F6">
        <w:rPr>
          <w:rFonts w:cs="Arial"/>
          <w:bCs/>
          <w:i/>
          <w:szCs w:val="20"/>
        </w:rPr>
        <w:t xml:space="preserve">; </w:t>
      </w:r>
      <w:r w:rsidRPr="005E07F6">
        <w:rPr>
          <w:rFonts w:cs="Arial"/>
          <w:bCs/>
          <w:i/>
          <w:color w:val="000000" w:themeColor="text1"/>
          <w:szCs w:val="20"/>
        </w:rPr>
        <w:t>ICG-PDR, indocyanine green plasma disappearance rate</w:t>
      </w:r>
      <w:r w:rsidRPr="005E07F6">
        <w:rPr>
          <w:rFonts w:cs="Arial"/>
          <w:i/>
          <w:color w:val="000000" w:themeColor="text1"/>
          <w:szCs w:val="20"/>
        </w:rPr>
        <w:t xml:space="preserve">; </w:t>
      </w:r>
      <w:r w:rsidRPr="005E07F6">
        <w:rPr>
          <w:rFonts w:cs="Arial"/>
          <w:bCs/>
          <w:i/>
          <w:color w:val="000000" w:themeColor="text1"/>
          <w:szCs w:val="20"/>
        </w:rPr>
        <w:t xml:space="preserve">NGAL, </w:t>
      </w:r>
      <w:r w:rsidRPr="005E07F6">
        <w:rPr>
          <w:rFonts w:cs="Arial"/>
          <w:i/>
          <w:color w:val="000000" w:themeColor="text1"/>
          <w:szCs w:val="20"/>
        </w:rPr>
        <w:t>Neutrophil gelatinase-associated lipocalin;</w:t>
      </w:r>
      <w:r w:rsidRPr="005E07F6">
        <w:rPr>
          <w:rFonts w:cs="Arial"/>
          <w:bCs/>
          <w:i/>
          <w:color w:val="000000" w:themeColor="text1"/>
          <w:szCs w:val="20"/>
        </w:rPr>
        <w:t xml:space="preserve"> I-FABP, </w:t>
      </w:r>
      <w:r w:rsidRPr="005E07F6">
        <w:rPr>
          <w:rFonts w:cs="Arial"/>
          <w:i/>
          <w:color w:val="000000" w:themeColor="text1"/>
          <w:szCs w:val="20"/>
        </w:rPr>
        <w:t>intestinal fatty acid binding protein</w:t>
      </w:r>
    </w:p>
    <w:p w14:paraId="6C82C832" w14:textId="77777777" w:rsidR="001863EE" w:rsidRDefault="001863EE" w:rsidP="00F33822">
      <w:pPr>
        <w:rPr>
          <w:rFonts w:cs="Arial"/>
          <w:color w:val="000000" w:themeColor="text1"/>
          <w:szCs w:val="20"/>
        </w:rPr>
      </w:pPr>
    </w:p>
    <w:p w14:paraId="4EF45738" w14:textId="77777777" w:rsidR="00AF335B" w:rsidRDefault="00AF335B" w:rsidP="00F33822">
      <w:pPr>
        <w:rPr>
          <w:rFonts w:cs="Arial"/>
          <w:color w:val="000000" w:themeColor="text1"/>
          <w:szCs w:val="20"/>
        </w:rPr>
      </w:pPr>
    </w:p>
    <w:p w14:paraId="657721B5" w14:textId="77777777" w:rsidR="00AF335B" w:rsidRDefault="00AF335B" w:rsidP="00F33822">
      <w:pPr>
        <w:rPr>
          <w:rFonts w:cs="Arial"/>
          <w:color w:val="000000" w:themeColor="text1"/>
          <w:szCs w:val="20"/>
        </w:rPr>
      </w:pPr>
    </w:p>
    <w:p w14:paraId="285C0AAA" w14:textId="77777777" w:rsidR="00AF335B" w:rsidRDefault="00AF335B" w:rsidP="00F33822">
      <w:pPr>
        <w:rPr>
          <w:rFonts w:cs="Arial"/>
          <w:color w:val="000000" w:themeColor="text1"/>
          <w:szCs w:val="20"/>
        </w:rPr>
      </w:pPr>
    </w:p>
    <w:p w14:paraId="3DB7F1EA" w14:textId="77777777" w:rsidR="00AF335B" w:rsidRDefault="00AF335B" w:rsidP="00F33822">
      <w:pPr>
        <w:rPr>
          <w:rFonts w:cs="Arial"/>
          <w:color w:val="000000" w:themeColor="text1"/>
          <w:szCs w:val="20"/>
        </w:rPr>
      </w:pPr>
    </w:p>
    <w:p w14:paraId="7A57F982" w14:textId="17FEEF74" w:rsidR="00485891" w:rsidRPr="0003690F" w:rsidRDefault="00485891" w:rsidP="00485891">
      <w:pPr>
        <w:rPr>
          <w:rFonts w:cs="Arial"/>
          <w:szCs w:val="20"/>
        </w:rPr>
      </w:pPr>
      <w:r w:rsidRPr="00174000">
        <w:rPr>
          <w:rFonts w:cs="Arial"/>
          <w:b/>
          <w:szCs w:val="20"/>
        </w:rPr>
        <w:lastRenderedPageBreak/>
        <w:t xml:space="preserve">Table </w:t>
      </w:r>
      <w:r w:rsidR="005E07F6" w:rsidRPr="00174000">
        <w:rPr>
          <w:rFonts w:cs="Arial"/>
          <w:b/>
          <w:szCs w:val="20"/>
        </w:rPr>
        <w:t>2:</w:t>
      </w:r>
      <w:r w:rsidRPr="0003690F">
        <w:rPr>
          <w:rFonts w:cs="Arial"/>
          <w:b/>
          <w:szCs w:val="20"/>
        </w:rPr>
        <w:t xml:space="preserve"> </w:t>
      </w:r>
      <w:r w:rsidRPr="0003690F">
        <w:rPr>
          <w:rFonts w:cs="Arial"/>
          <w:szCs w:val="20"/>
        </w:rPr>
        <w:t>Linear mixed model outputs for organ function</w:t>
      </w:r>
      <w:r w:rsidR="00AF335B">
        <w:rPr>
          <w:rFonts w:cs="Arial"/>
          <w:szCs w:val="20"/>
        </w:rPr>
        <w:t xml:space="preserve"> and injury markers</w:t>
      </w: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11" w:type="dxa"/>
          <w:right w:w="0" w:type="dxa"/>
        </w:tblCellMar>
        <w:tblLook w:val="0420" w:firstRow="1" w:lastRow="0" w:firstColumn="0" w:lastColumn="0" w:noHBand="0" w:noVBand="1"/>
      </w:tblPr>
      <w:tblGrid>
        <w:gridCol w:w="970"/>
        <w:gridCol w:w="443"/>
        <w:gridCol w:w="991"/>
        <w:gridCol w:w="500"/>
        <w:gridCol w:w="449"/>
        <w:gridCol w:w="1072"/>
        <w:gridCol w:w="484"/>
        <w:gridCol w:w="469"/>
        <w:gridCol w:w="1074"/>
        <w:gridCol w:w="455"/>
        <w:gridCol w:w="451"/>
        <w:gridCol w:w="1067"/>
        <w:gridCol w:w="601"/>
      </w:tblGrid>
      <w:tr w:rsidR="00485891" w:rsidRPr="005E07F6" w14:paraId="6F9DD5E1" w14:textId="77777777" w:rsidTr="00332686">
        <w:trPr>
          <w:cnfStyle w:val="100000000000" w:firstRow="1" w:lastRow="0" w:firstColumn="0" w:lastColumn="0" w:oddVBand="0" w:evenVBand="0" w:oddHBand="0" w:evenHBand="0" w:firstRowFirstColumn="0" w:firstRowLastColumn="0" w:lastRowFirstColumn="0" w:lastRowLastColumn="0"/>
        </w:trPr>
        <w:tc>
          <w:tcPr>
            <w:tcW w:w="537" w:type="pct"/>
            <w:tcBorders>
              <w:top w:val="single" w:sz="12" w:space="0" w:color="auto"/>
              <w:bottom w:val="single" w:sz="12" w:space="0" w:color="auto"/>
              <w:right w:val="single" w:sz="8" w:space="0" w:color="auto"/>
            </w:tcBorders>
            <w:shd w:val="clear" w:color="auto" w:fill="FFFFFF" w:themeFill="background1"/>
          </w:tcPr>
          <w:p w14:paraId="1C0BEBC9" w14:textId="77777777" w:rsidR="00485891" w:rsidRPr="005E07F6" w:rsidRDefault="00485891" w:rsidP="005E07F6">
            <w:pPr>
              <w:spacing w:line="240" w:lineRule="auto"/>
              <w:rPr>
                <w:rFonts w:cs="Arial"/>
                <w:sz w:val="14"/>
                <w:szCs w:val="14"/>
              </w:rPr>
            </w:pPr>
          </w:p>
        </w:tc>
        <w:tc>
          <w:tcPr>
            <w:tcW w:w="1071" w:type="pct"/>
            <w:gridSpan w:val="3"/>
            <w:tcBorders>
              <w:top w:val="single" w:sz="12" w:space="0" w:color="auto"/>
              <w:left w:val="single" w:sz="8" w:space="0" w:color="auto"/>
              <w:bottom w:val="single" w:sz="12" w:space="0" w:color="auto"/>
              <w:right w:val="single" w:sz="8" w:space="0" w:color="auto"/>
            </w:tcBorders>
            <w:shd w:val="clear" w:color="auto" w:fill="FFFFFF" w:themeFill="background1"/>
          </w:tcPr>
          <w:p w14:paraId="106145BB" w14:textId="77777777" w:rsidR="00485891" w:rsidRPr="005E07F6" w:rsidRDefault="00485891" w:rsidP="005E07F6">
            <w:pPr>
              <w:spacing w:line="240" w:lineRule="auto"/>
              <w:jc w:val="center"/>
              <w:rPr>
                <w:rFonts w:cs="Arial"/>
                <w:sz w:val="14"/>
                <w:szCs w:val="14"/>
              </w:rPr>
            </w:pPr>
            <w:r w:rsidRPr="005E07F6">
              <w:rPr>
                <w:rFonts w:cs="Arial"/>
                <w:sz w:val="14"/>
                <w:szCs w:val="14"/>
              </w:rPr>
              <w:t>Clearance right kidney</w:t>
            </w:r>
          </w:p>
        </w:tc>
        <w:tc>
          <w:tcPr>
            <w:tcW w:w="1111" w:type="pct"/>
            <w:gridSpan w:val="3"/>
            <w:tcBorders>
              <w:top w:val="single" w:sz="12" w:space="0" w:color="auto"/>
              <w:left w:val="single" w:sz="8" w:space="0" w:color="auto"/>
              <w:bottom w:val="single" w:sz="12" w:space="0" w:color="auto"/>
              <w:right w:val="single" w:sz="8" w:space="0" w:color="auto"/>
            </w:tcBorders>
            <w:shd w:val="clear" w:color="auto" w:fill="FFFFFF" w:themeFill="background1"/>
          </w:tcPr>
          <w:p w14:paraId="7EBCC3E3" w14:textId="77777777" w:rsidR="00485891" w:rsidRPr="005E07F6" w:rsidRDefault="00485891" w:rsidP="005E07F6">
            <w:pPr>
              <w:spacing w:line="240" w:lineRule="auto"/>
              <w:jc w:val="center"/>
              <w:rPr>
                <w:rFonts w:cs="Arial"/>
                <w:sz w:val="14"/>
                <w:szCs w:val="14"/>
              </w:rPr>
            </w:pPr>
            <w:r w:rsidRPr="005E07F6">
              <w:rPr>
                <w:rFonts w:cs="Arial"/>
                <w:sz w:val="14"/>
                <w:szCs w:val="14"/>
              </w:rPr>
              <w:t>NGAL</w:t>
            </w:r>
          </w:p>
        </w:tc>
        <w:tc>
          <w:tcPr>
            <w:tcW w:w="1107" w:type="pct"/>
            <w:gridSpan w:val="3"/>
            <w:tcBorders>
              <w:top w:val="single" w:sz="12" w:space="0" w:color="auto"/>
              <w:left w:val="single" w:sz="8" w:space="0" w:color="auto"/>
              <w:bottom w:val="single" w:sz="12" w:space="0" w:color="auto"/>
              <w:right w:val="single" w:sz="8" w:space="0" w:color="auto"/>
            </w:tcBorders>
            <w:shd w:val="clear" w:color="auto" w:fill="FFFFFF" w:themeFill="background1"/>
          </w:tcPr>
          <w:p w14:paraId="2AB3DB12" w14:textId="77777777" w:rsidR="00485891" w:rsidRPr="005E07F6" w:rsidRDefault="00485891" w:rsidP="005E07F6">
            <w:pPr>
              <w:spacing w:line="240" w:lineRule="auto"/>
              <w:jc w:val="center"/>
              <w:rPr>
                <w:rFonts w:cs="Arial"/>
                <w:sz w:val="14"/>
                <w:szCs w:val="14"/>
              </w:rPr>
            </w:pPr>
            <w:r w:rsidRPr="005E07F6">
              <w:rPr>
                <w:rFonts w:cs="Arial"/>
                <w:sz w:val="14"/>
                <w:szCs w:val="14"/>
              </w:rPr>
              <w:t>ICG-PDR</w:t>
            </w:r>
          </w:p>
        </w:tc>
        <w:tc>
          <w:tcPr>
            <w:tcW w:w="1174" w:type="pct"/>
            <w:gridSpan w:val="3"/>
            <w:tcBorders>
              <w:top w:val="single" w:sz="12" w:space="0" w:color="auto"/>
              <w:left w:val="single" w:sz="8" w:space="0" w:color="auto"/>
              <w:bottom w:val="single" w:sz="12" w:space="0" w:color="auto"/>
            </w:tcBorders>
            <w:shd w:val="clear" w:color="auto" w:fill="FFFFFF" w:themeFill="background1"/>
          </w:tcPr>
          <w:p w14:paraId="50E801E7" w14:textId="77777777" w:rsidR="00485891" w:rsidRPr="005E07F6" w:rsidRDefault="00485891" w:rsidP="005E07F6">
            <w:pPr>
              <w:spacing w:line="240" w:lineRule="auto"/>
              <w:jc w:val="center"/>
              <w:rPr>
                <w:rFonts w:cs="Arial"/>
                <w:sz w:val="14"/>
                <w:szCs w:val="14"/>
              </w:rPr>
            </w:pPr>
            <w:r w:rsidRPr="005E07F6">
              <w:rPr>
                <w:rFonts w:cs="Arial"/>
                <w:sz w:val="14"/>
                <w:szCs w:val="14"/>
              </w:rPr>
              <w:t>I-FABP</w:t>
            </w:r>
          </w:p>
        </w:tc>
      </w:tr>
      <w:tr w:rsidR="0054544B" w:rsidRPr="005E07F6" w14:paraId="6C494217" w14:textId="77777777" w:rsidTr="00332686">
        <w:trPr>
          <w:cnfStyle w:val="000000100000" w:firstRow="0" w:lastRow="0" w:firstColumn="0" w:lastColumn="0" w:oddVBand="0" w:evenVBand="0" w:oddHBand="1" w:evenHBand="0" w:firstRowFirstColumn="0" w:firstRowLastColumn="0" w:lastRowFirstColumn="0" w:lastRowLastColumn="0"/>
        </w:trPr>
        <w:tc>
          <w:tcPr>
            <w:tcW w:w="537" w:type="pct"/>
            <w:tcBorders>
              <w:top w:val="single" w:sz="12" w:space="0" w:color="auto"/>
              <w:bottom w:val="single" w:sz="8" w:space="0" w:color="auto"/>
              <w:right w:val="single" w:sz="8" w:space="0" w:color="auto"/>
            </w:tcBorders>
            <w:shd w:val="clear" w:color="auto" w:fill="FFFFFF" w:themeFill="background1"/>
            <w:vAlign w:val="center"/>
          </w:tcPr>
          <w:p w14:paraId="15230636" w14:textId="77777777" w:rsidR="00485891" w:rsidRPr="005E07F6" w:rsidRDefault="00485891" w:rsidP="005E07F6">
            <w:pPr>
              <w:spacing w:line="240" w:lineRule="auto"/>
              <w:rPr>
                <w:rFonts w:cs="Arial"/>
                <w:i/>
                <w:iCs/>
                <w:sz w:val="14"/>
                <w:szCs w:val="14"/>
              </w:rPr>
            </w:pPr>
            <w:r w:rsidRPr="005E07F6">
              <w:rPr>
                <w:rFonts w:cs="Arial"/>
                <w:i/>
                <w:iCs/>
                <w:sz w:val="14"/>
                <w:szCs w:val="14"/>
              </w:rPr>
              <w:t>Predictors</w:t>
            </w:r>
          </w:p>
        </w:tc>
        <w:tc>
          <w:tcPr>
            <w:tcW w:w="245" w:type="pct"/>
            <w:tcBorders>
              <w:top w:val="single" w:sz="12" w:space="0" w:color="auto"/>
              <w:left w:val="single" w:sz="8" w:space="0" w:color="auto"/>
              <w:bottom w:val="single" w:sz="8" w:space="0" w:color="auto"/>
            </w:tcBorders>
            <w:shd w:val="clear" w:color="auto" w:fill="FFFFFF" w:themeFill="background1"/>
            <w:vAlign w:val="center"/>
          </w:tcPr>
          <w:p w14:paraId="7BB207A0"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Est.</w:t>
            </w:r>
          </w:p>
        </w:tc>
        <w:tc>
          <w:tcPr>
            <w:tcW w:w="549" w:type="pct"/>
            <w:tcBorders>
              <w:top w:val="single" w:sz="12" w:space="0" w:color="auto"/>
              <w:bottom w:val="single" w:sz="8" w:space="0" w:color="auto"/>
            </w:tcBorders>
            <w:shd w:val="clear" w:color="auto" w:fill="FFFFFF" w:themeFill="background1"/>
            <w:vAlign w:val="center"/>
          </w:tcPr>
          <w:p w14:paraId="77DB864C"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CI</w:t>
            </w:r>
          </w:p>
        </w:tc>
        <w:tc>
          <w:tcPr>
            <w:tcW w:w="277" w:type="pct"/>
            <w:tcBorders>
              <w:top w:val="single" w:sz="12" w:space="0" w:color="auto"/>
              <w:bottom w:val="single" w:sz="8" w:space="0" w:color="auto"/>
              <w:right w:val="single" w:sz="8" w:space="0" w:color="auto"/>
            </w:tcBorders>
            <w:shd w:val="clear" w:color="auto" w:fill="FFFFFF" w:themeFill="background1"/>
            <w:vAlign w:val="center"/>
          </w:tcPr>
          <w:p w14:paraId="3BBC1782"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P</w:t>
            </w:r>
          </w:p>
        </w:tc>
        <w:tc>
          <w:tcPr>
            <w:tcW w:w="249" w:type="pct"/>
            <w:tcBorders>
              <w:top w:val="single" w:sz="12" w:space="0" w:color="auto"/>
              <w:left w:val="single" w:sz="8" w:space="0" w:color="auto"/>
              <w:bottom w:val="single" w:sz="8" w:space="0" w:color="auto"/>
            </w:tcBorders>
            <w:shd w:val="clear" w:color="auto" w:fill="FFFFFF" w:themeFill="background1"/>
            <w:vAlign w:val="center"/>
          </w:tcPr>
          <w:p w14:paraId="39DEA07B"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Est.</w:t>
            </w:r>
          </w:p>
        </w:tc>
        <w:tc>
          <w:tcPr>
            <w:tcW w:w="594" w:type="pct"/>
            <w:tcBorders>
              <w:top w:val="single" w:sz="8" w:space="0" w:color="auto"/>
              <w:bottom w:val="single" w:sz="8" w:space="0" w:color="auto"/>
            </w:tcBorders>
            <w:shd w:val="clear" w:color="auto" w:fill="FFFFFF" w:themeFill="background1"/>
            <w:vAlign w:val="center"/>
          </w:tcPr>
          <w:p w14:paraId="2CBF68C0"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CI</w:t>
            </w:r>
          </w:p>
        </w:tc>
        <w:tc>
          <w:tcPr>
            <w:tcW w:w="268" w:type="pct"/>
            <w:tcBorders>
              <w:top w:val="single" w:sz="8" w:space="0" w:color="auto"/>
              <w:bottom w:val="single" w:sz="8" w:space="0" w:color="auto"/>
              <w:right w:val="single" w:sz="8" w:space="0" w:color="auto"/>
            </w:tcBorders>
            <w:shd w:val="clear" w:color="auto" w:fill="FFFFFF" w:themeFill="background1"/>
            <w:vAlign w:val="center"/>
          </w:tcPr>
          <w:p w14:paraId="46224DF7"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P</w:t>
            </w:r>
          </w:p>
        </w:tc>
        <w:tc>
          <w:tcPr>
            <w:tcW w:w="260" w:type="pct"/>
            <w:tcBorders>
              <w:top w:val="single" w:sz="8" w:space="0" w:color="auto"/>
              <w:left w:val="single" w:sz="8" w:space="0" w:color="auto"/>
              <w:bottom w:val="single" w:sz="8" w:space="0" w:color="auto"/>
            </w:tcBorders>
            <w:shd w:val="clear" w:color="auto" w:fill="FFFFFF" w:themeFill="background1"/>
            <w:vAlign w:val="center"/>
          </w:tcPr>
          <w:p w14:paraId="2D15C9C2"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Est.</w:t>
            </w:r>
          </w:p>
        </w:tc>
        <w:tc>
          <w:tcPr>
            <w:tcW w:w="595" w:type="pct"/>
            <w:tcBorders>
              <w:top w:val="single" w:sz="8" w:space="0" w:color="auto"/>
              <w:bottom w:val="single" w:sz="8" w:space="0" w:color="auto"/>
            </w:tcBorders>
            <w:shd w:val="clear" w:color="auto" w:fill="FFFFFF" w:themeFill="background1"/>
            <w:vAlign w:val="center"/>
          </w:tcPr>
          <w:p w14:paraId="37E9E6D4"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CI</w:t>
            </w:r>
          </w:p>
        </w:tc>
        <w:tc>
          <w:tcPr>
            <w:tcW w:w="252" w:type="pct"/>
            <w:tcBorders>
              <w:top w:val="single" w:sz="8" w:space="0" w:color="auto"/>
              <w:bottom w:val="single" w:sz="8" w:space="0" w:color="auto"/>
              <w:right w:val="single" w:sz="8" w:space="0" w:color="auto"/>
            </w:tcBorders>
            <w:shd w:val="clear" w:color="auto" w:fill="FFFFFF" w:themeFill="background1"/>
            <w:vAlign w:val="center"/>
          </w:tcPr>
          <w:p w14:paraId="23491435"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P</w:t>
            </w:r>
          </w:p>
        </w:tc>
        <w:tc>
          <w:tcPr>
            <w:tcW w:w="250" w:type="pct"/>
            <w:tcBorders>
              <w:top w:val="single" w:sz="12" w:space="0" w:color="auto"/>
              <w:left w:val="single" w:sz="8" w:space="0" w:color="auto"/>
              <w:bottom w:val="single" w:sz="8" w:space="0" w:color="auto"/>
            </w:tcBorders>
            <w:shd w:val="clear" w:color="auto" w:fill="FFFFFF" w:themeFill="background1"/>
            <w:vAlign w:val="center"/>
          </w:tcPr>
          <w:p w14:paraId="4598E9C7"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Est.</w:t>
            </w:r>
          </w:p>
        </w:tc>
        <w:tc>
          <w:tcPr>
            <w:tcW w:w="591" w:type="pct"/>
            <w:tcBorders>
              <w:top w:val="single" w:sz="12" w:space="0" w:color="auto"/>
              <w:bottom w:val="single" w:sz="8" w:space="0" w:color="auto"/>
            </w:tcBorders>
            <w:shd w:val="clear" w:color="auto" w:fill="FFFFFF" w:themeFill="background1"/>
            <w:vAlign w:val="center"/>
          </w:tcPr>
          <w:p w14:paraId="164D5DCC"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CI</w:t>
            </w:r>
          </w:p>
        </w:tc>
        <w:tc>
          <w:tcPr>
            <w:tcW w:w="333" w:type="pct"/>
            <w:tcBorders>
              <w:top w:val="single" w:sz="12" w:space="0" w:color="auto"/>
              <w:bottom w:val="single" w:sz="8" w:space="0" w:color="auto"/>
            </w:tcBorders>
            <w:shd w:val="clear" w:color="auto" w:fill="FFFFFF" w:themeFill="background1"/>
            <w:vAlign w:val="center"/>
          </w:tcPr>
          <w:p w14:paraId="3114212B" w14:textId="77777777" w:rsidR="00485891" w:rsidRPr="005E07F6" w:rsidRDefault="00485891" w:rsidP="005E07F6">
            <w:pPr>
              <w:spacing w:line="240" w:lineRule="auto"/>
              <w:jc w:val="center"/>
              <w:rPr>
                <w:rFonts w:cs="Arial"/>
                <w:i/>
                <w:iCs/>
                <w:sz w:val="14"/>
                <w:szCs w:val="14"/>
              </w:rPr>
            </w:pPr>
            <w:r w:rsidRPr="005E07F6">
              <w:rPr>
                <w:rFonts w:cs="Arial"/>
                <w:i/>
                <w:iCs/>
                <w:sz w:val="14"/>
                <w:szCs w:val="14"/>
              </w:rPr>
              <w:t>P</w:t>
            </w:r>
          </w:p>
        </w:tc>
      </w:tr>
      <w:tr w:rsidR="0054544B" w:rsidRPr="005E07F6" w14:paraId="16BCB800" w14:textId="77777777" w:rsidTr="00332686">
        <w:tc>
          <w:tcPr>
            <w:tcW w:w="537" w:type="pct"/>
            <w:tcBorders>
              <w:top w:val="single" w:sz="8" w:space="0" w:color="auto"/>
              <w:right w:val="single" w:sz="8" w:space="0" w:color="auto"/>
            </w:tcBorders>
            <w:shd w:val="clear" w:color="auto" w:fill="FFFFFF" w:themeFill="background1"/>
            <w:vAlign w:val="center"/>
          </w:tcPr>
          <w:p w14:paraId="51795388" w14:textId="77777777" w:rsidR="00485891" w:rsidRPr="005E07F6" w:rsidRDefault="00485891" w:rsidP="005E07F6">
            <w:pPr>
              <w:spacing w:line="240" w:lineRule="auto"/>
              <w:rPr>
                <w:rFonts w:cs="Arial"/>
                <w:sz w:val="14"/>
                <w:szCs w:val="14"/>
              </w:rPr>
            </w:pPr>
            <w:r w:rsidRPr="005E07F6">
              <w:rPr>
                <w:rFonts w:cs="Arial"/>
                <w:sz w:val="14"/>
                <w:szCs w:val="14"/>
              </w:rPr>
              <w:t>Control</w:t>
            </w:r>
          </w:p>
        </w:tc>
        <w:tc>
          <w:tcPr>
            <w:tcW w:w="245" w:type="pct"/>
            <w:tcBorders>
              <w:top w:val="single" w:sz="8" w:space="0" w:color="auto"/>
              <w:left w:val="single" w:sz="8" w:space="0" w:color="auto"/>
            </w:tcBorders>
            <w:shd w:val="clear" w:color="auto" w:fill="FFFFFF" w:themeFill="background1"/>
            <w:vAlign w:val="center"/>
          </w:tcPr>
          <w:p w14:paraId="368666E4" w14:textId="77777777" w:rsidR="00485891" w:rsidRPr="005E07F6" w:rsidRDefault="00485891" w:rsidP="005E07F6">
            <w:pPr>
              <w:spacing w:line="240" w:lineRule="auto"/>
              <w:jc w:val="center"/>
              <w:rPr>
                <w:rFonts w:cs="Arial"/>
                <w:sz w:val="14"/>
                <w:szCs w:val="14"/>
              </w:rPr>
            </w:pPr>
            <w:r w:rsidRPr="005E07F6">
              <w:rPr>
                <w:rFonts w:cs="Arial"/>
                <w:sz w:val="14"/>
                <w:szCs w:val="14"/>
              </w:rPr>
              <w:t>45.00</w:t>
            </w:r>
          </w:p>
        </w:tc>
        <w:tc>
          <w:tcPr>
            <w:tcW w:w="549" w:type="pct"/>
            <w:tcBorders>
              <w:top w:val="single" w:sz="8" w:space="0" w:color="auto"/>
            </w:tcBorders>
            <w:shd w:val="clear" w:color="auto" w:fill="FFFFFF" w:themeFill="background1"/>
            <w:vAlign w:val="center"/>
          </w:tcPr>
          <w:p w14:paraId="5D26148A" w14:textId="77777777" w:rsidR="00485891" w:rsidRPr="005E07F6" w:rsidRDefault="00485891" w:rsidP="005E07F6">
            <w:pPr>
              <w:spacing w:line="240" w:lineRule="auto"/>
              <w:jc w:val="center"/>
              <w:rPr>
                <w:rFonts w:cs="Arial"/>
                <w:sz w:val="14"/>
                <w:szCs w:val="14"/>
              </w:rPr>
            </w:pPr>
            <w:r w:rsidRPr="005E07F6">
              <w:rPr>
                <w:rFonts w:cs="Arial"/>
                <w:sz w:val="14"/>
                <w:szCs w:val="14"/>
              </w:rPr>
              <w:t>37.80 – 52.20</w:t>
            </w:r>
          </w:p>
        </w:tc>
        <w:tc>
          <w:tcPr>
            <w:tcW w:w="277" w:type="pct"/>
            <w:tcBorders>
              <w:top w:val="single" w:sz="8" w:space="0" w:color="auto"/>
              <w:right w:val="single" w:sz="8" w:space="0" w:color="auto"/>
            </w:tcBorders>
            <w:shd w:val="clear" w:color="auto" w:fill="FFFFFF" w:themeFill="background1"/>
            <w:vAlign w:val="center"/>
          </w:tcPr>
          <w:p w14:paraId="18EED890"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c>
          <w:tcPr>
            <w:tcW w:w="249" w:type="pct"/>
            <w:tcBorders>
              <w:top w:val="single" w:sz="8" w:space="0" w:color="auto"/>
              <w:left w:val="single" w:sz="8" w:space="0" w:color="auto"/>
            </w:tcBorders>
            <w:shd w:val="clear" w:color="auto" w:fill="FFFFFF" w:themeFill="background1"/>
            <w:vAlign w:val="center"/>
          </w:tcPr>
          <w:p w14:paraId="1DF6CB68" w14:textId="77777777" w:rsidR="00485891" w:rsidRPr="005E07F6" w:rsidRDefault="00485891" w:rsidP="005E07F6">
            <w:pPr>
              <w:spacing w:line="240" w:lineRule="auto"/>
              <w:jc w:val="center"/>
              <w:rPr>
                <w:rFonts w:cs="Arial"/>
                <w:sz w:val="14"/>
                <w:szCs w:val="14"/>
              </w:rPr>
            </w:pPr>
            <w:r w:rsidRPr="005E07F6">
              <w:rPr>
                <w:rFonts w:cs="Arial"/>
                <w:sz w:val="14"/>
                <w:szCs w:val="14"/>
              </w:rPr>
              <w:t>5.40</w:t>
            </w:r>
          </w:p>
        </w:tc>
        <w:tc>
          <w:tcPr>
            <w:tcW w:w="594" w:type="pct"/>
            <w:tcBorders>
              <w:top w:val="single" w:sz="8" w:space="0" w:color="auto"/>
            </w:tcBorders>
            <w:shd w:val="clear" w:color="auto" w:fill="FFFFFF" w:themeFill="background1"/>
            <w:vAlign w:val="center"/>
          </w:tcPr>
          <w:p w14:paraId="1FE60603" w14:textId="77777777" w:rsidR="00485891" w:rsidRPr="005E07F6" w:rsidRDefault="00485891" w:rsidP="005E07F6">
            <w:pPr>
              <w:spacing w:line="240" w:lineRule="auto"/>
              <w:jc w:val="center"/>
              <w:rPr>
                <w:rFonts w:cs="Arial"/>
                <w:sz w:val="14"/>
                <w:szCs w:val="14"/>
              </w:rPr>
            </w:pPr>
            <w:r w:rsidRPr="005E07F6">
              <w:rPr>
                <w:rFonts w:cs="Arial"/>
                <w:sz w:val="14"/>
                <w:szCs w:val="14"/>
              </w:rPr>
              <w:t>-1.81 – 12.62</w:t>
            </w:r>
          </w:p>
        </w:tc>
        <w:tc>
          <w:tcPr>
            <w:tcW w:w="268" w:type="pct"/>
            <w:tcBorders>
              <w:top w:val="single" w:sz="8" w:space="0" w:color="auto"/>
              <w:right w:val="single" w:sz="8" w:space="0" w:color="auto"/>
            </w:tcBorders>
            <w:shd w:val="clear" w:color="auto" w:fill="FFFFFF" w:themeFill="background1"/>
            <w:vAlign w:val="center"/>
          </w:tcPr>
          <w:p w14:paraId="56816187" w14:textId="77777777" w:rsidR="00485891" w:rsidRPr="005E07F6" w:rsidRDefault="00485891" w:rsidP="005E07F6">
            <w:pPr>
              <w:spacing w:line="240" w:lineRule="auto"/>
              <w:jc w:val="center"/>
              <w:rPr>
                <w:rFonts w:cs="Arial"/>
                <w:sz w:val="14"/>
                <w:szCs w:val="14"/>
              </w:rPr>
            </w:pPr>
            <w:r w:rsidRPr="005E07F6">
              <w:rPr>
                <w:rFonts w:cs="Arial"/>
                <w:sz w:val="14"/>
                <w:szCs w:val="14"/>
              </w:rPr>
              <w:t>0.141</w:t>
            </w:r>
          </w:p>
        </w:tc>
        <w:tc>
          <w:tcPr>
            <w:tcW w:w="260" w:type="pct"/>
            <w:tcBorders>
              <w:top w:val="single" w:sz="8" w:space="0" w:color="auto"/>
              <w:left w:val="single" w:sz="8" w:space="0" w:color="auto"/>
            </w:tcBorders>
            <w:shd w:val="clear" w:color="auto" w:fill="FFFFFF" w:themeFill="background1"/>
            <w:vAlign w:val="center"/>
          </w:tcPr>
          <w:p w14:paraId="3C8759FA" w14:textId="77777777" w:rsidR="00485891" w:rsidRPr="005E07F6" w:rsidRDefault="00485891" w:rsidP="005E07F6">
            <w:pPr>
              <w:spacing w:line="240" w:lineRule="auto"/>
              <w:jc w:val="center"/>
              <w:rPr>
                <w:rFonts w:cs="Arial"/>
                <w:sz w:val="14"/>
                <w:szCs w:val="14"/>
              </w:rPr>
            </w:pPr>
            <w:r w:rsidRPr="005E07F6">
              <w:rPr>
                <w:rFonts w:cs="Arial"/>
                <w:sz w:val="14"/>
                <w:szCs w:val="14"/>
              </w:rPr>
              <w:t>13.22</w:t>
            </w:r>
          </w:p>
        </w:tc>
        <w:tc>
          <w:tcPr>
            <w:tcW w:w="595" w:type="pct"/>
            <w:tcBorders>
              <w:top w:val="single" w:sz="8" w:space="0" w:color="auto"/>
            </w:tcBorders>
            <w:shd w:val="clear" w:color="auto" w:fill="FFFFFF" w:themeFill="background1"/>
            <w:vAlign w:val="center"/>
          </w:tcPr>
          <w:p w14:paraId="2F938ECF" w14:textId="77777777" w:rsidR="00485891" w:rsidRPr="005E07F6" w:rsidRDefault="00485891" w:rsidP="005E07F6">
            <w:pPr>
              <w:spacing w:line="240" w:lineRule="auto"/>
              <w:jc w:val="center"/>
              <w:rPr>
                <w:rFonts w:cs="Arial"/>
                <w:sz w:val="14"/>
                <w:szCs w:val="14"/>
              </w:rPr>
            </w:pPr>
            <w:r w:rsidRPr="005E07F6">
              <w:rPr>
                <w:rFonts w:cs="Arial"/>
                <w:sz w:val="14"/>
                <w:szCs w:val="14"/>
              </w:rPr>
              <w:t>12.09 – 14.35</w:t>
            </w:r>
          </w:p>
        </w:tc>
        <w:tc>
          <w:tcPr>
            <w:tcW w:w="252" w:type="pct"/>
            <w:tcBorders>
              <w:top w:val="single" w:sz="8" w:space="0" w:color="auto"/>
              <w:right w:val="single" w:sz="8" w:space="0" w:color="auto"/>
            </w:tcBorders>
            <w:shd w:val="clear" w:color="auto" w:fill="FFFFFF" w:themeFill="background1"/>
            <w:vAlign w:val="center"/>
          </w:tcPr>
          <w:p w14:paraId="4ADA5D83"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c>
          <w:tcPr>
            <w:tcW w:w="250" w:type="pct"/>
            <w:tcBorders>
              <w:top w:val="single" w:sz="8" w:space="0" w:color="auto"/>
              <w:left w:val="single" w:sz="8" w:space="0" w:color="auto"/>
            </w:tcBorders>
            <w:shd w:val="clear" w:color="auto" w:fill="FFFFFF" w:themeFill="background1"/>
            <w:vAlign w:val="center"/>
          </w:tcPr>
          <w:p w14:paraId="36423AEA" w14:textId="77777777" w:rsidR="00485891" w:rsidRPr="005E07F6" w:rsidRDefault="00485891" w:rsidP="005E07F6">
            <w:pPr>
              <w:spacing w:line="240" w:lineRule="auto"/>
              <w:jc w:val="center"/>
              <w:rPr>
                <w:rFonts w:cs="Arial"/>
                <w:sz w:val="14"/>
                <w:szCs w:val="14"/>
              </w:rPr>
            </w:pPr>
            <w:r w:rsidRPr="005E07F6">
              <w:rPr>
                <w:rFonts w:cs="Arial"/>
                <w:sz w:val="14"/>
                <w:szCs w:val="14"/>
              </w:rPr>
              <w:t>92.46</w:t>
            </w:r>
          </w:p>
        </w:tc>
        <w:tc>
          <w:tcPr>
            <w:tcW w:w="591" w:type="pct"/>
            <w:tcBorders>
              <w:top w:val="single" w:sz="8" w:space="0" w:color="auto"/>
            </w:tcBorders>
            <w:shd w:val="clear" w:color="auto" w:fill="FFFFFF" w:themeFill="background1"/>
            <w:vAlign w:val="center"/>
          </w:tcPr>
          <w:p w14:paraId="25DAF20F" w14:textId="77777777" w:rsidR="00485891" w:rsidRPr="005E07F6" w:rsidRDefault="00485891" w:rsidP="005E07F6">
            <w:pPr>
              <w:spacing w:line="240" w:lineRule="auto"/>
              <w:jc w:val="center"/>
              <w:rPr>
                <w:rFonts w:cs="Arial"/>
                <w:sz w:val="14"/>
                <w:szCs w:val="14"/>
              </w:rPr>
            </w:pPr>
            <w:r w:rsidRPr="005E07F6">
              <w:rPr>
                <w:rFonts w:cs="Arial"/>
                <w:sz w:val="14"/>
                <w:szCs w:val="14"/>
              </w:rPr>
              <w:t>53.38 – 131.55</w:t>
            </w:r>
          </w:p>
        </w:tc>
        <w:tc>
          <w:tcPr>
            <w:tcW w:w="333" w:type="pct"/>
            <w:tcBorders>
              <w:top w:val="single" w:sz="8" w:space="0" w:color="auto"/>
            </w:tcBorders>
            <w:shd w:val="clear" w:color="auto" w:fill="FFFFFF" w:themeFill="background1"/>
            <w:vAlign w:val="center"/>
          </w:tcPr>
          <w:p w14:paraId="5B84F520"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r>
      <w:tr w:rsidR="005E07F6" w:rsidRPr="005E07F6" w14:paraId="36FCBDDC" w14:textId="77777777" w:rsidTr="00332686">
        <w:trPr>
          <w:cnfStyle w:val="000000100000" w:firstRow="0" w:lastRow="0" w:firstColumn="0" w:lastColumn="0" w:oddVBand="0" w:evenVBand="0" w:oddHBand="1" w:evenHBand="0" w:firstRowFirstColumn="0" w:firstRowLastColumn="0" w:lastRowFirstColumn="0" w:lastRowLastColumn="0"/>
        </w:trPr>
        <w:tc>
          <w:tcPr>
            <w:tcW w:w="537" w:type="pct"/>
            <w:tcBorders>
              <w:right w:val="single" w:sz="8" w:space="0" w:color="auto"/>
            </w:tcBorders>
            <w:shd w:val="clear" w:color="auto" w:fill="FFFFFF" w:themeFill="background1"/>
            <w:vAlign w:val="center"/>
          </w:tcPr>
          <w:p w14:paraId="60EB96A3" w14:textId="77777777" w:rsidR="00485891" w:rsidRPr="005E07F6" w:rsidRDefault="00485891" w:rsidP="005E07F6">
            <w:pPr>
              <w:spacing w:line="240" w:lineRule="auto"/>
              <w:rPr>
                <w:rFonts w:cs="Arial"/>
                <w:sz w:val="14"/>
                <w:szCs w:val="14"/>
              </w:rPr>
            </w:pPr>
            <w:r w:rsidRPr="005E07F6">
              <w:rPr>
                <w:rFonts w:cs="Arial"/>
                <w:sz w:val="14"/>
                <w:szCs w:val="14"/>
              </w:rPr>
              <w:t>Control: T060</w:t>
            </w:r>
          </w:p>
        </w:tc>
        <w:tc>
          <w:tcPr>
            <w:tcW w:w="245" w:type="pct"/>
            <w:tcBorders>
              <w:left w:val="single" w:sz="8" w:space="0" w:color="auto"/>
            </w:tcBorders>
            <w:shd w:val="clear" w:color="auto" w:fill="FFFFFF" w:themeFill="background1"/>
            <w:vAlign w:val="center"/>
          </w:tcPr>
          <w:p w14:paraId="48FEE5B9" w14:textId="77777777" w:rsidR="00485891" w:rsidRPr="005E07F6" w:rsidRDefault="00485891" w:rsidP="005E07F6">
            <w:pPr>
              <w:spacing w:line="240" w:lineRule="auto"/>
              <w:jc w:val="center"/>
              <w:rPr>
                <w:rFonts w:cs="Arial"/>
                <w:sz w:val="14"/>
                <w:szCs w:val="14"/>
              </w:rPr>
            </w:pPr>
            <w:r w:rsidRPr="005E07F6">
              <w:rPr>
                <w:rFonts w:cs="Arial"/>
                <w:sz w:val="14"/>
                <w:szCs w:val="14"/>
              </w:rPr>
              <w:t>-2.83</w:t>
            </w:r>
          </w:p>
        </w:tc>
        <w:tc>
          <w:tcPr>
            <w:tcW w:w="549" w:type="pct"/>
            <w:shd w:val="clear" w:color="auto" w:fill="FFFFFF" w:themeFill="background1"/>
            <w:vAlign w:val="center"/>
          </w:tcPr>
          <w:p w14:paraId="75BFC35E" w14:textId="77777777" w:rsidR="00485891" w:rsidRPr="005E07F6" w:rsidRDefault="00485891" w:rsidP="005E07F6">
            <w:pPr>
              <w:spacing w:line="240" w:lineRule="auto"/>
              <w:jc w:val="center"/>
              <w:rPr>
                <w:rFonts w:cs="Arial"/>
                <w:sz w:val="14"/>
                <w:szCs w:val="14"/>
              </w:rPr>
            </w:pPr>
            <w:r w:rsidRPr="005E07F6">
              <w:rPr>
                <w:rFonts w:cs="Arial"/>
                <w:sz w:val="14"/>
                <w:szCs w:val="14"/>
              </w:rPr>
              <w:t>-11.67 – 6.01</w:t>
            </w:r>
          </w:p>
        </w:tc>
        <w:tc>
          <w:tcPr>
            <w:tcW w:w="277" w:type="pct"/>
            <w:tcBorders>
              <w:right w:val="single" w:sz="8" w:space="0" w:color="auto"/>
            </w:tcBorders>
            <w:shd w:val="clear" w:color="auto" w:fill="FFFFFF" w:themeFill="background1"/>
            <w:vAlign w:val="center"/>
          </w:tcPr>
          <w:p w14:paraId="58B6F332" w14:textId="77777777" w:rsidR="00485891" w:rsidRPr="005E07F6" w:rsidRDefault="00485891" w:rsidP="005E07F6">
            <w:pPr>
              <w:spacing w:line="240" w:lineRule="auto"/>
              <w:jc w:val="center"/>
              <w:rPr>
                <w:rFonts w:cs="Arial"/>
                <w:sz w:val="14"/>
                <w:szCs w:val="14"/>
              </w:rPr>
            </w:pPr>
            <w:r w:rsidRPr="005E07F6">
              <w:rPr>
                <w:rFonts w:cs="Arial"/>
                <w:sz w:val="14"/>
                <w:szCs w:val="14"/>
              </w:rPr>
              <w:t>0.527</w:t>
            </w:r>
          </w:p>
        </w:tc>
        <w:tc>
          <w:tcPr>
            <w:tcW w:w="249" w:type="pct"/>
            <w:tcBorders>
              <w:left w:val="single" w:sz="8" w:space="0" w:color="auto"/>
            </w:tcBorders>
            <w:shd w:val="clear" w:color="auto" w:fill="FFFFFF" w:themeFill="background1"/>
            <w:vAlign w:val="center"/>
          </w:tcPr>
          <w:p w14:paraId="7D9C9D5A" w14:textId="77777777" w:rsidR="00485891" w:rsidRPr="005E07F6" w:rsidRDefault="00485891" w:rsidP="005E07F6">
            <w:pPr>
              <w:spacing w:line="240" w:lineRule="auto"/>
              <w:jc w:val="center"/>
              <w:rPr>
                <w:rFonts w:cs="Arial"/>
                <w:sz w:val="14"/>
                <w:szCs w:val="14"/>
              </w:rPr>
            </w:pPr>
            <w:r w:rsidRPr="005E07F6">
              <w:rPr>
                <w:rFonts w:cs="Arial"/>
                <w:sz w:val="14"/>
                <w:szCs w:val="14"/>
              </w:rPr>
              <w:t>0.70</w:t>
            </w:r>
          </w:p>
        </w:tc>
        <w:tc>
          <w:tcPr>
            <w:tcW w:w="594" w:type="pct"/>
            <w:shd w:val="clear" w:color="auto" w:fill="FFFFFF" w:themeFill="background1"/>
            <w:vAlign w:val="center"/>
          </w:tcPr>
          <w:p w14:paraId="7C4D7DE0" w14:textId="77777777" w:rsidR="00485891" w:rsidRPr="005E07F6" w:rsidRDefault="00485891" w:rsidP="005E07F6">
            <w:pPr>
              <w:spacing w:line="240" w:lineRule="auto"/>
              <w:jc w:val="center"/>
              <w:rPr>
                <w:rFonts w:cs="Arial"/>
                <w:sz w:val="14"/>
                <w:szCs w:val="14"/>
              </w:rPr>
            </w:pPr>
            <w:r w:rsidRPr="005E07F6">
              <w:rPr>
                <w:rFonts w:cs="Arial"/>
                <w:sz w:val="14"/>
                <w:szCs w:val="14"/>
              </w:rPr>
              <w:t>-7.31 – 8.72</w:t>
            </w:r>
          </w:p>
        </w:tc>
        <w:tc>
          <w:tcPr>
            <w:tcW w:w="268" w:type="pct"/>
            <w:tcBorders>
              <w:right w:val="single" w:sz="8" w:space="0" w:color="auto"/>
            </w:tcBorders>
            <w:shd w:val="clear" w:color="auto" w:fill="FFFFFF" w:themeFill="background1"/>
            <w:vAlign w:val="center"/>
          </w:tcPr>
          <w:p w14:paraId="43E30811" w14:textId="77777777" w:rsidR="00485891" w:rsidRPr="005E07F6" w:rsidRDefault="00485891" w:rsidP="005E07F6">
            <w:pPr>
              <w:spacing w:line="240" w:lineRule="auto"/>
              <w:jc w:val="center"/>
              <w:rPr>
                <w:rFonts w:cs="Arial"/>
                <w:sz w:val="14"/>
                <w:szCs w:val="14"/>
              </w:rPr>
            </w:pPr>
            <w:r w:rsidRPr="005E07F6">
              <w:rPr>
                <w:rFonts w:cs="Arial"/>
                <w:sz w:val="14"/>
                <w:szCs w:val="14"/>
              </w:rPr>
              <w:t>0.862</w:t>
            </w:r>
          </w:p>
        </w:tc>
        <w:tc>
          <w:tcPr>
            <w:tcW w:w="260" w:type="pct"/>
            <w:tcBorders>
              <w:left w:val="single" w:sz="8" w:space="0" w:color="auto"/>
            </w:tcBorders>
            <w:shd w:val="clear" w:color="auto" w:fill="FFFFFF" w:themeFill="background1"/>
            <w:vAlign w:val="center"/>
          </w:tcPr>
          <w:p w14:paraId="77B93A3B" w14:textId="77777777" w:rsidR="00485891" w:rsidRPr="005E07F6" w:rsidRDefault="00485891" w:rsidP="005E07F6">
            <w:pPr>
              <w:spacing w:line="240" w:lineRule="auto"/>
              <w:jc w:val="center"/>
              <w:rPr>
                <w:rFonts w:cs="Arial"/>
                <w:sz w:val="14"/>
                <w:szCs w:val="14"/>
              </w:rPr>
            </w:pPr>
            <w:r w:rsidRPr="005E07F6">
              <w:rPr>
                <w:rFonts w:cs="Arial"/>
                <w:sz w:val="14"/>
                <w:szCs w:val="14"/>
              </w:rPr>
              <w:t>-1.43</w:t>
            </w:r>
          </w:p>
        </w:tc>
        <w:tc>
          <w:tcPr>
            <w:tcW w:w="595" w:type="pct"/>
            <w:shd w:val="clear" w:color="auto" w:fill="FFFFFF" w:themeFill="background1"/>
            <w:vAlign w:val="center"/>
          </w:tcPr>
          <w:p w14:paraId="17FBE345" w14:textId="77777777" w:rsidR="00485891" w:rsidRPr="005E07F6" w:rsidRDefault="00485891" w:rsidP="005E07F6">
            <w:pPr>
              <w:spacing w:line="240" w:lineRule="auto"/>
              <w:jc w:val="center"/>
              <w:rPr>
                <w:rFonts w:cs="Arial"/>
                <w:sz w:val="14"/>
                <w:szCs w:val="14"/>
              </w:rPr>
            </w:pPr>
            <w:r w:rsidRPr="005E07F6">
              <w:rPr>
                <w:rFonts w:cs="Arial"/>
                <w:sz w:val="14"/>
                <w:szCs w:val="14"/>
              </w:rPr>
              <w:t>-2.54 – -0.32</w:t>
            </w:r>
          </w:p>
        </w:tc>
        <w:tc>
          <w:tcPr>
            <w:tcW w:w="252" w:type="pct"/>
            <w:tcBorders>
              <w:right w:val="single" w:sz="8" w:space="0" w:color="auto"/>
            </w:tcBorders>
            <w:shd w:val="clear" w:color="auto" w:fill="FFFFFF" w:themeFill="background1"/>
            <w:vAlign w:val="center"/>
          </w:tcPr>
          <w:p w14:paraId="354A8EE1" w14:textId="77777777" w:rsidR="00485891" w:rsidRPr="005E07F6" w:rsidRDefault="00485891" w:rsidP="005E07F6">
            <w:pPr>
              <w:spacing w:line="240" w:lineRule="auto"/>
              <w:jc w:val="center"/>
              <w:rPr>
                <w:rFonts w:cs="Arial"/>
                <w:sz w:val="14"/>
                <w:szCs w:val="14"/>
              </w:rPr>
            </w:pPr>
            <w:r w:rsidRPr="005E07F6">
              <w:rPr>
                <w:rFonts w:cs="Arial"/>
                <w:b/>
                <w:bCs/>
                <w:sz w:val="14"/>
                <w:szCs w:val="14"/>
              </w:rPr>
              <w:t>0.012</w:t>
            </w:r>
          </w:p>
        </w:tc>
        <w:tc>
          <w:tcPr>
            <w:tcW w:w="250" w:type="pct"/>
            <w:tcBorders>
              <w:left w:val="single" w:sz="8" w:space="0" w:color="auto"/>
            </w:tcBorders>
            <w:shd w:val="clear" w:color="auto" w:fill="FFFFFF" w:themeFill="background1"/>
            <w:vAlign w:val="center"/>
          </w:tcPr>
          <w:p w14:paraId="08582C27" w14:textId="77777777" w:rsidR="00485891" w:rsidRPr="005E07F6" w:rsidRDefault="00485891" w:rsidP="005E07F6">
            <w:pPr>
              <w:spacing w:line="240" w:lineRule="auto"/>
              <w:jc w:val="center"/>
              <w:rPr>
                <w:rFonts w:cs="Arial"/>
                <w:sz w:val="14"/>
                <w:szCs w:val="14"/>
              </w:rPr>
            </w:pPr>
            <w:r w:rsidRPr="005E07F6">
              <w:rPr>
                <w:rFonts w:cs="Arial"/>
                <w:sz w:val="14"/>
                <w:szCs w:val="14"/>
              </w:rPr>
              <w:t>6.80</w:t>
            </w:r>
          </w:p>
        </w:tc>
        <w:tc>
          <w:tcPr>
            <w:tcW w:w="591" w:type="pct"/>
            <w:shd w:val="clear" w:color="auto" w:fill="FFFFFF" w:themeFill="background1"/>
            <w:vAlign w:val="center"/>
          </w:tcPr>
          <w:p w14:paraId="39A2828D" w14:textId="77777777" w:rsidR="00485891" w:rsidRPr="005E07F6" w:rsidRDefault="00485891" w:rsidP="005E07F6">
            <w:pPr>
              <w:spacing w:line="240" w:lineRule="auto"/>
              <w:jc w:val="center"/>
              <w:rPr>
                <w:rFonts w:cs="Arial"/>
                <w:sz w:val="14"/>
                <w:szCs w:val="14"/>
              </w:rPr>
            </w:pPr>
            <w:r w:rsidRPr="005E07F6">
              <w:rPr>
                <w:rFonts w:cs="Arial"/>
                <w:sz w:val="14"/>
                <w:szCs w:val="14"/>
              </w:rPr>
              <w:t>-1.71 – 15.32</w:t>
            </w:r>
          </w:p>
        </w:tc>
        <w:tc>
          <w:tcPr>
            <w:tcW w:w="333" w:type="pct"/>
            <w:shd w:val="clear" w:color="auto" w:fill="FFFFFF" w:themeFill="background1"/>
            <w:vAlign w:val="center"/>
          </w:tcPr>
          <w:p w14:paraId="2A771F69" w14:textId="77777777" w:rsidR="00485891" w:rsidRPr="005E07F6" w:rsidRDefault="00485891" w:rsidP="005E07F6">
            <w:pPr>
              <w:spacing w:line="240" w:lineRule="auto"/>
              <w:jc w:val="center"/>
              <w:rPr>
                <w:rFonts w:cs="Arial"/>
                <w:sz w:val="14"/>
                <w:szCs w:val="14"/>
              </w:rPr>
            </w:pPr>
            <w:r w:rsidRPr="005E07F6">
              <w:rPr>
                <w:rFonts w:cs="Arial"/>
                <w:sz w:val="14"/>
                <w:szCs w:val="14"/>
              </w:rPr>
              <w:t>0.116</w:t>
            </w:r>
          </w:p>
        </w:tc>
      </w:tr>
      <w:tr w:rsidR="005E07F6" w:rsidRPr="005E07F6" w14:paraId="3B57DBB3" w14:textId="77777777" w:rsidTr="00332686">
        <w:tc>
          <w:tcPr>
            <w:tcW w:w="537" w:type="pct"/>
            <w:tcBorders>
              <w:right w:val="single" w:sz="8" w:space="0" w:color="auto"/>
            </w:tcBorders>
            <w:shd w:val="clear" w:color="auto" w:fill="FFFFFF" w:themeFill="background1"/>
            <w:vAlign w:val="center"/>
          </w:tcPr>
          <w:p w14:paraId="190C7C0A" w14:textId="77777777" w:rsidR="00485891" w:rsidRPr="005E07F6" w:rsidRDefault="00485891" w:rsidP="005E07F6">
            <w:pPr>
              <w:spacing w:line="240" w:lineRule="auto"/>
              <w:rPr>
                <w:rFonts w:cs="Arial"/>
                <w:sz w:val="14"/>
                <w:szCs w:val="14"/>
              </w:rPr>
            </w:pPr>
            <w:r w:rsidRPr="005E07F6">
              <w:rPr>
                <w:rFonts w:cs="Arial"/>
                <w:sz w:val="14"/>
                <w:szCs w:val="14"/>
              </w:rPr>
              <w:t>Control: T120</w:t>
            </w:r>
          </w:p>
        </w:tc>
        <w:tc>
          <w:tcPr>
            <w:tcW w:w="245" w:type="pct"/>
            <w:tcBorders>
              <w:left w:val="single" w:sz="8" w:space="0" w:color="auto"/>
            </w:tcBorders>
            <w:shd w:val="clear" w:color="auto" w:fill="FFFFFF" w:themeFill="background1"/>
            <w:vAlign w:val="center"/>
          </w:tcPr>
          <w:p w14:paraId="0EFF3A51" w14:textId="77777777" w:rsidR="00485891" w:rsidRPr="005E07F6" w:rsidRDefault="00485891" w:rsidP="005E07F6">
            <w:pPr>
              <w:spacing w:line="240" w:lineRule="auto"/>
              <w:jc w:val="center"/>
              <w:rPr>
                <w:rFonts w:cs="Arial"/>
                <w:sz w:val="14"/>
                <w:szCs w:val="14"/>
              </w:rPr>
            </w:pPr>
            <w:r w:rsidRPr="005E07F6">
              <w:rPr>
                <w:rFonts w:cs="Arial"/>
                <w:sz w:val="14"/>
                <w:szCs w:val="14"/>
              </w:rPr>
              <w:t>5.37</w:t>
            </w:r>
          </w:p>
        </w:tc>
        <w:tc>
          <w:tcPr>
            <w:tcW w:w="549" w:type="pct"/>
            <w:shd w:val="clear" w:color="auto" w:fill="FFFFFF" w:themeFill="background1"/>
            <w:vAlign w:val="center"/>
          </w:tcPr>
          <w:p w14:paraId="706CEF1E" w14:textId="77777777" w:rsidR="00485891" w:rsidRPr="005E07F6" w:rsidRDefault="00485891" w:rsidP="005E07F6">
            <w:pPr>
              <w:spacing w:line="240" w:lineRule="auto"/>
              <w:jc w:val="center"/>
              <w:rPr>
                <w:rFonts w:cs="Arial"/>
                <w:sz w:val="14"/>
                <w:szCs w:val="14"/>
              </w:rPr>
            </w:pPr>
            <w:r w:rsidRPr="005E07F6">
              <w:rPr>
                <w:rFonts w:cs="Arial"/>
                <w:sz w:val="14"/>
                <w:szCs w:val="14"/>
              </w:rPr>
              <w:t>-3.47 – 14.21</w:t>
            </w:r>
          </w:p>
        </w:tc>
        <w:tc>
          <w:tcPr>
            <w:tcW w:w="277" w:type="pct"/>
            <w:tcBorders>
              <w:right w:val="single" w:sz="8" w:space="0" w:color="auto"/>
            </w:tcBorders>
            <w:shd w:val="clear" w:color="auto" w:fill="FFFFFF" w:themeFill="background1"/>
            <w:vAlign w:val="center"/>
          </w:tcPr>
          <w:p w14:paraId="1E1E4CDC" w14:textId="77777777" w:rsidR="00485891" w:rsidRPr="005E07F6" w:rsidRDefault="00485891" w:rsidP="005E07F6">
            <w:pPr>
              <w:spacing w:line="240" w:lineRule="auto"/>
              <w:jc w:val="center"/>
              <w:rPr>
                <w:rFonts w:cs="Arial"/>
                <w:sz w:val="14"/>
                <w:szCs w:val="14"/>
              </w:rPr>
            </w:pPr>
            <w:r w:rsidRPr="005E07F6">
              <w:rPr>
                <w:rFonts w:cs="Arial"/>
                <w:sz w:val="14"/>
                <w:szCs w:val="14"/>
              </w:rPr>
              <w:t>0.231</w:t>
            </w:r>
          </w:p>
        </w:tc>
        <w:tc>
          <w:tcPr>
            <w:tcW w:w="249" w:type="pct"/>
            <w:tcBorders>
              <w:left w:val="single" w:sz="8" w:space="0" w:color="auto"/>
            </w:tcBorders>
            <w:shd w:val="clear" w:color="auto" w:fill="FFFFFF" w:themeFill="background1"/>
            <w:vAlign w:val="center"/>
          </w:tcPr>
          <w:p w14:paraId="0B774A40" w14:textId="77777777" w:rsidR="00485891" w:rsidRPr="005E07F6" w:rsidRDefault="00485891" w:rsidP="005E07F6">
            <w:pPr>
              <w:spacing w:line="240" w:lineRule="auto"/>
              <w:jc w:val="center"/>
              <w:rPr>
                <w:rFonts w:cs="Arial"/>
                <w:sz w:val="14"/>
                <w:szCs w:val="14"/>
              </w:rPr>
            </w:pPr>
            <w:r w:rsidRPr="005E07F6">
              <w:rPr>
                <w:rFonts w:cs="Arial"/>
                <w:sz w:val="14"/>
                <w:szCs w:val="14"/>
              </w:rPr>
              <w:t>0.85</w:t>
            </w:r>
          </w:p>
        </w:tc>
        <w:tc>
          <w:tcPr>
            <w:tcW w:w="594" w:type="pct"/>
            <w:shd w:val="clear" w:color="auto" w:fill="FFFFFF" w:themeFill="background1"/>
            <w:vAlign w:val="center"/>
          </w:tcPr>
          <w:p w14:paraId="7A6820CF" w14:textId="77777777" w:rsidR="00485891" w:rsidRPr="005E07F6" w:rsidRDefault="00485891" w:rsidP="005E07F6">
            <w:pPr>
              <w:spacing w:line="240" w:lineRule="auto"/>
              <w:jc w:val="center"/>
              <w:rPr>
                <w:rFonts w:cs="Arial"/>
                <w:sz w:val="14"/>
                <w:szCs w:val="14"/>
              </w:rPr>
            </w:pPr>
            <w:r w:rsidRPr="005E07F6">
              <w:rPr>
                <w:rFonts w:cs="Arial"/>
                <w:sz w:val="14"/>
                <w:szCs w:val="14"/>
              </w:rPr>
              <w:t>-7.16 – 8.87</w:t>
            </w:r>
          </w:p>
        </w:tc>
        <w:tc>
          <w:tcPr>
            <w:tcW w:w="268" w:type="pct"/>
            <w:tcBorders>
              <w:right w:val="single" w:sz="8" w:space="0" w:color="auto"/>
            </w:tcBorders>
            <w:shd w:val="clear" w:color="auto" w:fill="FFFFFF" w:themeFill="background1"/>
            <w:vAlign w:val="center"/>
          </w:tcPr>
          <w:p w14:paraId="07BFA1CF" w14:textId="77777777" w:rsidR="00485891" w:rsidRPr="005E07F6" w:rsidRDefault="00485891" w:rsidP="005E07F6">
            <w:pPr>
              <w:spacing w:line="240" w:lineRule="auto"/>
              <w:jc w:val="center"/>
              <w:rPr>
                <w:rFonts w:cs="Arial"/>
                <w:sz w:val="14"/>
                <w:szCs w:val="14"/>
              </w:rPr>
            </w:pPr>
            <w:r w:rsidRPr="005E07F6">
              <w:rPr>
                <w:rFonts w:cs="Arial"/>
                <w:sz w:val="14"/>
                <w:szCs w:val="14"/>
              </w:rPr>
              <w:t>0.833</w:t>
            </w:r>
          </w:p>
        </w:tc>
        <w:tc>
          <w:tcPr>
            <w:tcW w:w="260" w:type="pct"/>
            <w:tcBorders>
              <w:left w:val="single" w:sz="8" w:space="0" w:color="auto"/>
            </w:tcBorders>
            <w:shd w:val="clear" w:color="auto" w:fill="FFFFFF" w:themeFill="background1"/>
            <w:vAlign w:val="center"/>
          </w:tcPr>
          <w:p w14:paraId="5DAF385F" w14:textId="77777777" w:rsidR="00485891" w:rsidRPr="005E07F6" w:rsidRDefault="00485891" w:rsidP="005E07F6">
            <w:pPr>
              <w:spacing w:line="240" w:lineRule="auto"/>
              <w:jc w:val="center"/>
              <w:rPr>
                <w:rFonts w:cs="Arial"/>
                <w:sz w:val="14"/>
                <w:szCs w:val="14"/>
              </w:rPr>
            </w:pPr>
            <w:r w:rsidRPr="005E07F6">
              <w:rPr>
                <w:rFonts w:cs="Arial"/>
                <w:sz w:val="14"/>
                <w:szCs w:val="14"/>
              </w:rPr>
              <w:t>-3.61</w:t>
            </w:r>
          </w:p>
        </w:tc>
        <w:tc>
          <w:tcPr>
            <w:tcW w:w="595" w:type="pct"/>
            <w:shd w:val="clear" w:color="auto" w:fill="FFFFFF" w:themeFill="background1"/>
            <w:vAlign w:val="center"/>
          </w:tcPr>
          <w:p w14:paraId="26127ADE" w14:textId="77777777" w:rsidR="00485891" w:rsidRPr="005E07F6" w:rsidRDefault="00485891" w:rsidP="005E07F6">
            <w:pPr>
              <w:spacing w:line="240" w:lineRule="auto"/>
              <w:jc w:val="center"/>
              <w:rPr>
                <w:rFonts w:cs="Arial"/>
                <w:sz w:val="14"/>
                <w:szCs w:val="14"/>
              </w:rPr>
            </w:pPr>
            <w:r w:rsidRPr="005E07F6">
              <w:rPr>
                <w:rFonts w:cs="Arial"/>
                <w:sz w:val="14"/>
                <w:szCs w:val="14"/>
              </w:rPr>
              <w:t>-4.72 – -2.50</w:t>
            </w:r>
          </w:p>
        </w:tc>
        <w:tc>
          <w:tcPr>
            <w:tcW w:w="252" w:type="pct"/>
            <w:tcBorders>
              <w:right w:val="single" w:sz="8" w:space="0" w:color="auto"/>
            </w:tcBorders>
            <w:shd w:val="clear" w:color="auto" w:fill="FFFFFF" w:themeFill="background1"/>
            <w:vAlign w:val="center"/>
          </w:tcPr>
          <w:p w14:paraId="2E004EC5"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c>
          <w:tcPr>
            <w:tcW w:w="250" w:type="pct"/>
            <w:tcBorders>
              <w:left w:val="single" w:sz="8" w:space="0" w:color="auto"/>
            </w:tcBorders>
            <w:shd w:val="clear" w:color="auto" w:fill="FFFFFF" w:themeFill="background1"/>
            <w:vAlign w:val="center"/>
          </w:tcPr>
          <w:p w14:paraId="5CDAB747" w14:textId="77777777" w:rsidR="00485891" w:rsidRPr="005E07F6" w:rsidRDefault="00485891" w:rsidP="005E07F6">
            <w:pPr>
              <w:spacing w:line="240" w:lineRule="auto"/>
              <w:jc w:val="center"/>
              <w:rPr>
                <w:rFonts w:cs="Arial"/>
                <w:sz w:val="14"/>
                <w:szCs w:val="14"/>
              </w:rPr>
            </w:pPr>
            <w:r w:rsidRPr="005E07F6">
              <w:rPr>
                <w:rFonts w:cs="Arial"/>
                <w:sz w:val="14"/>
                <w:szCs w:val="14"/>
              </w:rPr>
              <w:t>9.28</w:t>
            </w:r>
          </w:p>
        </w:tc>
        <w:tc>
          <w:tcPr>
            <w:tcW w:w="591" w:type="pct"/>
            <w:shd w:val="clear" w:color="auto" w:fill="FFFFFF" w:themeFill="background1"/>
            <w:vAlign w:val="center"/>
          </w:tcPr>
          <w:p w14:paraId="4DB60538" w14:textId="77777777" w:rsidR="00485891" w:rsidRPr="005E07F6" w:rsidRDefault="00485891" w:rsidP="005E07F6">
            <w:pPr>
              <w:spacing w:line="240" w:lineRule="auto"/>
              <w:jc w:val="center"/>
              <w:rPr>
                <w:rFonts w:cs="Arial"/>
                <w:sz w:val="14"/>
                <w:szCs w:val="14"/>
              </w:rPr>
            </w:pPr>
            <w:r w:rsidRPr="005E07F6">
              <w:rPr>
                <w:rFonts w:cs="Arial"/>
                <w:sz w:val="14"/>
                <w:szCs w:val="14"/>
              </w:rPr>
              <w:t>0.77 – 17.80</w:t>
            </w:r>
          </w:p>
        </w:tc>
        <w:tc>
          <w:tcPr>
            <w:tcW w:w="333" w:type="pct"/>
            <w:shd w:val="clear" w:color="auto" w:fill="FFFFFF" w:themeFill="background1"/>
            <w:vAlign w:val="center"/>
          </w:tcPr>
          <w:p w14:paraId="5AF31ACC" w14:textId="77777777" w:rsidR="00485891" w:rsidRPr="005E07F6" w:rsidRDefault="00485891" w:rsidP="005E07F6">
            <w:pPr>
              <w:spacing w:line="240" w:lineRule="auto"/>
              <w:jc w:val="center"/>
              <w:rPr>
                <w:rFonts w:cs="Arial"/>
                <w:sz w:val="14"/>
                <w:szCs w:val="14"/>
              </w:rPr>
            </w:pPr>
            <w:r w:rsidRPr="005E07F6">
              <w:rPr>
                <w:rFonts w:cs="Arial"/>
                <w:b/>
                <w:bCs/>
                <w:sz w:val="14"/>
                <w:szCs w:val="14"/>
              </w:rPr>
              <w:t>0.033</w:t>
            </w:r>
          </w:p>
        </w:tc>
      </w:tr>
      <w:tr w:rsidR="005E07F6" w:rsidRPr="005E07F6" w14:paraId="2436E10B" w14:textId="77777777" w:rsidTr="00332686">
        <w:trPr>
          <w:cnfStyle w:val="000000100000" w:firstRow="0" w:lastRow="0" w:firstColumn="0" w:lastColumn="0" w:oddVBand="0" w:evenVBand="0" w:oddHBand="1" w:evenHBand="0" w:firstRowFirstColumn="0" w:firstRowLastColumn="0" w:lastRowFirstColumn="0" w:lastRowLastColumn="0"/>
        </w:trPr>
        <w:tc>
          <w:tcPr>
            <w:tcW w:w="537" w:type="pct"/>
            <w:tcBorders>
              <w:right w:val="single" w:sz="8" w:space="0" w:color="auto"/>
            </w:tcBorders>
            <w:shd w:val="clear" w:color="auto" w:fill="FFFFFF" w:themeFill="background1"/>
            <w:vAlign w:val="center"/>
          </w:tcPr>
          <w:p w14:paraId="349448D4" w14:textId="77777777" w:rsidR="00485891" w:rsidRPr="005E07F6" w:rsidRDefault="00485891" w:rsidP="005E07F6">
            <w:pPr>
              <w:spacing w:line="240" w:lineRule="auto"/>
              <w:rPr>
                <w:rFonts w:cs="Arial"/>
                <w:sz w:val="14"/>
                <w:szCs w:val="14"/>
              </w:rPr>
            </w:pPr>
            <w:r w:rsidRPr="005E07F6">
              <w:rPr>
                <w:rFonts w:cs="Arial"/>
                <w:sz w:val="14"/>
                <w:szCs w:val="14"/>
              </w:rPr>
              <w:t>Control: T180</w:t>
            </w:r>
          </w:p>
        </w:tc>
        <w:tc>
          <w:tcPr>
            <w:tcW w:w="245" w:type="pct"/>
            <w:tcBorders>
              <w:left w:val="single" w:sz="8" w:space="0" w:color="auto"/>
            </w:tcBorders>
            <w:shd w:val="clear" w:color="auto" w:fill="FFFFFF" w:themeFill="background1"/>
            <w:vAlign w:val="center"/>
          </w:tcPr>
          <w:p w14:paraId="37BACEF3" w14:textId="77777777" w:rsidR="00485891" w:rsidRPr="005E07F6" w:rsidRDefault="00485891" w:rsidP="005E07F6">
            <w:pPr>
              <w:spacing w:line="240" w:lineRule="auto"/>
              <w:jc w:val="center"/>
              <w:rPr>
                <w:rFonts w:cs="Arial"/>
                <w:sz w:val="14"/>
                <w:szCs w:val="14"/>
              </w:rPr>
            </w:pPr>
            <w:r w:rsidRPr="005E07F6">
              <w:rPr>
                <w:rFonts w:cs="Arial"/>
                <w:sz w:val="14"/>
                <w:szCs w:val="14"/>
              </w:rPr>
              <w:t>1.43</w:t>
            </w:r>
          </w:p>
        </w:tc>
        <w:tc>
          <w:tcPr>
            <w:tcW w:w="549" w:type="pct"/>
            <w:shd w:val="clear" w:color="auto" w:fill="FFFFFF" w:themeFill="background1"/>
            <w:vAlign w:val="center"/>
          </w:tcPr>
          <w:p w14:paraId="14A20344" w14:textId="77777777" w:rsidR="00485891" w:rsidRPr="005E07F6" w:rsidRDefault="00485891" w:rsidP="005E07F6">
            <w:pPr>
              <w:spacing w:line="240" w:lineRule="auto"/>
              <w:jc w:val="center"/>
              <w:rPr>
                <w:rFonts w:cs="Arial"/>
                <w:sz w:val="14"/>
                <w:szCs w:val="14"/>
              </w:rPr>
            </w:pPr>
            <w:r w:rsidRPr="005E07F6">
              <w:rPr>
                <w:rFonts w:cs="Arial"/>
                <w:sz w:val="14"/>
                <w:szCs w:val="14"/>
              </w:rPr>
              <w:t>-7.41 – 10.28</w:t>
            </w:r>
          </w:p>
        </w:tc>
        <w:tc>
          <w:tcPr>
            <w:tcW w:w="277" w:type="pct"/>
            <w:tcBorders>
              <w:right w:val="single" w:sz="8" w:space="0" w:color="auto"/>
            </w:tcBorders>
            <w:shd w:val="clear" w:color="auto" w:fill="FFFFFF" w:themeFill="background1"/>
            <w:vAlign w:val="center"/>
          </w:tcPr>
          <w:p w14:paraId="26640A04" w14:textId="77777777" w:rsidR="00485891" w:rsidRPr="005E07F6" w:rsidRDefault="00485891" w:rsidP="005E07F6">
            <w:pPr>
              <w:spacing w:line="240" w:lineRule="auto"/>
              <w:jc w:val="center"/>
              <w:rPr>
                <w:rFonts w:cs="Arial"/>
                <w:sz w:val="14"/>
                <w:szCs w:val="14"/>
              </w:rPr>
            </w:pPr>
            <w:r w:rsidRPr="005E07F6">
              <w:rPr>
                <w:rFonts w:cs="Arial"/>
                <w:sz w:val="14"/>
                <w:szCs w:val="14"/>
              </w:rPr>
              <w:t>0.748</w:t>
            </w:r>
          </w:p>
        </w:tc>
        <w:tc>
          <w:tcPr>
            <w:tcW w:w="249" w:type="pct"/>
            <w:tcBorders>
              <w:left w:val="single" w:sz="8" w:space="0" w:color="auto"/>
            </w:tcBorders>
            <w:shd w:val="clear" w:color="auto" w:fill="FFFFFF" w:themeFill="background1"/>
            <w:vAlign w:val="center"/>
          </w:tcPr>
          <w:p w14:paraId="66E10BC6" w14:textId="77777777" w:rsidR="00485891" w:rsidRPr="005E07F6" w:rsidRDefault="00485891" w:rsidP="005E07F6">
            <w:pPr>
              <w:spacing w:line="240" w:lineRule="auto"/>
              <w:jc w:val="center"/>
              <w:rPr>
                <w:rFonts w:cs="Arial"/>
                <w:sz w:val="14"/>
                <w:szCs w:val="14"/>
              </w:rPr>
            </w:pPr>
            <w:r w:rsidRPr="005E07F6">
              <w:rPr>
                <w:rFonts w:cs="Arial"/>
                <w:sz w:val="14"/>
                <w:szCs w:val="14"/>
              </w:rPr>
              <w:t>0.08</w:t>
            </w:r>
          </w:p>
        </w:tc>
        <w:tc>
          <w:tcPr>
            <w:tcW w:w="594" w:type="pct"/>
            <w:shd w:val="clear" w:color="auto" w:fill="FFFFFF" w:themeFill="background1"/>
            <w:vAlign w:val="center"/>
          </w:tcPr>
          <w:p w14:paraId="628DA057" w14:textId="77777777" w:rsidR="00485891" w:rsidRPr="005E07F6" w:rsidRDefault="00485891" w:rsidP="005E07F6">
            <w:pPr>
              <w:spacing w:line="240" w:lineRule="auto"/>
              <w:jc w:val="center"/>
              <w:rPr>
                <w:rFonts w:cs="Arial"/>
                <w:sz w:val="14"/>
                <w:szCs w:val="14"/>
              </w:rPr>
            </w:pPr>
            <w:r w:rsidRPr="005E07F6">
              <w:rPr>
                <w:rFonts w:cs="Arial"/>
                <w:sz w:val="14"/>
                <w:szCs w:val="14"/>
              </w:rPr>
              <w:t>-7.93 – 8.10</w:t>
            </w:r>
          </w:p>
        </w:tc>
        <w:tc>
          <w:tcPr>
            <w:tcW w:w="268" w:type="pct"/>
            <w:tcBorders>
              <w:right w:val="single" w:sz="8" w:space="0" w:color="auto"/>
            </w:tcBorders>
            <w:shd w:val="clear" w:color="auto" w:fill="FFFFFF" w:themeFill="background1"/>
            <w:vAlign w:val="center"/>
          </w:tcPr>
          <w:p w14:paraId="6E4D1BA5" w14:textId="77777777" w:rsidR="00485891" w:rsidRPr="005E07F6" w:rsidRDefault="00485891" w:rsidP="005E07F6">
            <w:pPr>
              <w:spacing w:line="240" w:lineRule="auto"/>
              <w:jc w:val="center"/>
              <w:rPr>
                <w:rFonts w:cs="Arial"/>
                <w:sz w:val="14"/>
                <w:szCs w:val="14"/>
              </w:rPr>
            </w:pPr>
            <w:r w:rsidRPr="005E07F6">
              <w:rPr>
                <w:rFonts w:cs="Arial"/>
                <w:sz w:val="14"/>
                <w:szCs w:val="14"/>
              </w:rPr>
              <w:t>0.983</w:t>
            </w:r>
          </w:p>
        </w:tc>
        <w:tc>
          <w:tcPr>
            <w:tcW w:w="260" w:type="pct"/>
            <w:tcBorders>
              <w:left w:val="single" w:sz="8" w:space="0" w:color="auto"/>
            </w:tcBorders>
            <w:shd w:val="clear" w:color="auto" w:fill="FFFFFF" w:themeFill="background1"/>
            <w:vAlign w:val="center"/>
          </w:tcPr>
          <w:p w14:paraId="1F2A7451" w14:textId="77777777" w:rsidR="00485891" w:rsidRPr="005E07F6" w:rsidRDefault="00485891" w:rsidP="005E07F6">
            <w:pPr>
              <w:spacing w:line="240" w:lineRule="auto"/>
              <w:jc w:val="center"/>
              <w:rPr>
                <w:rFonts w:cs="Arial"/>
                <w:sz w:val="14"/>
                <w:szCs w:val="14"/>
              </w:rPr>
            </w:pPr>
            <w:r w:rsidRPr="005E07F6">
              <w:rPr>
                <w:rFonts w:cs="Arial"/>
                <w:sz w:val="14"/>
                <w:szCs w:val="14"/>
              </w:rPr>
              <w:t>-5.85</w:t>
            </w:r>
          </w:p>
        </w:tc>
        <w:tc>
          <w:tcPr>
            <w:tcW w:w="595" w:type="pct"/>
            <w:shd w:val="clear" w:color="auto" w:fill="FFFFFF" w:themeFill="background1"/>
            <w:vAlign w:val="center"/>
          </w:tcPr>
          <w:p w14:paraId="3ABD0624" w14:textId="77777777" w:rsidR="00485891" w:rsidRPr="005E07F6" w:rsidRDefault="00485891" w:rsidP="005E07F6">
            <w:pPr>
              <w:spacing w:line="240" w:lineRule="auto"/>
              <w:jc w:val="center"/>
              <w:rPr>
                <w:rFonts w:cs="Arial"/>
                <w:sz w:val="14"/>
                <w:szCs w:val="14"/>
              </w:rPr>
            </w:pPr>
            <w:r w:rsidRPr="005E07F6">
              <w:rPr>
                <w:rFonts w:cs="Arial"/>
                <w:sz w:val="14"/>
                <w:szCs w:val="14"/>
              </w:rPr>
              <w:t>-6.97 – -4.74</w:t>
            </w:r>
          </w:p>
        </w:tc>
        <w:tc>
          <w:tcPr>
            <w:tcW w:w="252" w:type="pct"/>
            <w:tcBorders>
              <w:right w:val="single" w:sz="8" w:space="0" w:color="auto"/>
            </w:tcBorders>
            <w:shd w:val="clear" w:color="auto" w:fill="FFFFFF" w:themeFill="background1"/>
            <w:vAlign w:val="center"/>
          </w:tcPr>
          <w:p w14:paraId="00A16E32"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c>
          <w:tcPr>
            <w:tcW w:w="250" w:type="pct"/>
            <w:tcBorders>
              <w:left w:val="single" w:sz="8" w:space="0" w:color="auto"/>
            </w:tcBorders>
            <w:shd w:val="clear" w:color="auto" w:fill="FFFFFF" w:themeFill="background1"/>
            <w:vAlign w:val="center"/>
          </w:tcPr>
          <w:p w14:paraId="4C0D22D8" w14:textId="77777777" w:rsidR="00485891" w:rsidRPr="005E07F6" w:rsidRDefault="00485891" w:rsidP="005E07F6">
            <w:pPr>
              <w:spacing w:line="240" w:lineRule="auto"/>
              <w:jc w:val="center"/>
              <w:rPr>
                <w:rFonts w:cs="Arial"/>
                <w:sz w:val="14"/>
                <w:szCs w:val="14"/>
              </w:rPr>
            </w:pPr>
            <w:r w:rsidRPr="005E07F6">
              <w:rPr>
                <w:rFonts w:cs="Arial"/>
                <w:sz w:val="14"/>
                <w:szCs w:val="14"/>
              </w:rPr>
              <w:t>15.45</w:t>
            </w:r>
          </w:p>
        </w:tc>
        <w:tc>
          <w:tcPr>
            <w:tcW w:w="591" w:type="pct"/>
            <w:shd w:val="clear" w:color="auto" w:fill="FFFFFF" w:themeFill="background1"/>
            <w:vAlign w:val="center"/>
          </w:tcPr>
          <w:p w14:paraId="2EFE9888" w14:textId="77777777" w:rsidR="00485891" w:rsidRPr="005E07F6" w:rsidRDefault="00485891" w:rsidP="005E07F6">
            <w:pPr>
              <w:spacing w:line="240" w:lineRule="auto"/>
              <w:jc w:val="center"/>
              <w:rPr>
                <w:rFonts w:cs="Arial"/>
                <w:sz w:val="14"/>
                <w:szCs w:val="14"/>
              </w:rPr>
            </w:pPr>
            <w:r w:rsidRPr="005E07F6">
              <w:rPr>
                <w:rFonts w:cs="Arial"/>
                <w:sz w:val="14"/>
                <w:szCs w:val="14"/>
              </w:rPr>
              <w:t>6.94 – 23.97</w:t>
            </w:r>
          </w:p>
        </w:tc>
        <w:tc>
          <w:tcPr>
            <w:tcW w:w="333" w:type="pct"/>
            <w:shd w:val="clear" w:color="auto" w:fill="FFFFFF" w:themeFill="background1"/>
            <w:vAlign w:val="center"/>
          </w:tcPr>
          <w:p w14:paraId="782E5319"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r>
      <w:tr w:rsidR="005E07F6" w:rsidRPr="005E07F6" w14:paraId="1EF01FFA" w14:textId="77777777" w:rsidTr="00332686">
        <w:tc>
          <w:tcPr>
            <w:tcW w:w="537" w:type="pct"/>
            <w:tcBorders>
              <w:right w:val="single" w:sz="8" w:space="0" w:color="auto"/>
            </w:tcBorders>
            <w:shd w:val="clear" w:color="auto" w:fill="FFFFFF" w:themeFill="background1"/>
            <w:vAlign w:val="center"/>
          </w:tcPr>
          <w:p w14:paraId="68641951" w14:textId="77777777" w:rsidR="00485891" w:rsidRPr="005E07F6" w:rsidRDefault="00485891" w:rsidP="005E07F6">
            <w:pPr>
              <w:spacing w:line="240" w:lineRule="auto"/>
              <w:rPr>
                <w:rFonts w:cs="Arial"/>
                <w:sz w:val="14"/>
                <w:szCs w:val="14"/>
              </w:rPr>
            </w:pPr>
            <w:r w:rsidRPr="005E07F6">
              <w:rPr>
                <w:rFonts w:cs="Arial"/>
                <w:sz w:val="14"/>
                <w:szCs w:val="14"/>
              </w:rPr>
              <w:t>LPS-1</w:t>
            </w:r>
          </w:p>
        </w:tc>
        <w:tc>
          <w:tcPr>
            <w:tcW w:w="245" w:type="pct"/>
            <w:tcBorders>
              <w:left w:val="single" w:sz="8" w:space="0" w:color="auto"/>
            </w:tcBorders>
            <w:shd w:val="clear" w:color="auto" w:fill="FFFFFF" w:themeFill="background1"/>
            <w:vAlign w:val="center"/>
          </w:tcPr>
          <w:p w14:paraId="632C2CB6" w14:textId="77777777" w:rsidR="00485891" w:rsidRPr="005E07F6" w:rsidRDefault="00485891" w:rsidP="005E07F6">
            <w:pPr>
              <w:spacing w:line="240" w:lineRule="auto"/>
              <w:jc w:val="center"/>
              <w:rPr>
                <w:rFonts w:cs="Arial"/>
                <w:sz w:val="14"/>
                <w:szCs w:val="14"/>
              </w:rPr>
            </w:pPr>
            <w:r w:rsidRPr="005E07F6">
              <w:rPr>
                <w:rFonts w:cs="Arial"/>
                <w:sz w:val="14"/>
                <w:szCs w:val="14"/>
              </w:rPr>
              <w:t>-0.07</w:t>
            </w:r>
          </w:p>
        </w:tc>
        <w:tc>
          <w:tcPr>
            <w:tcW w:w="549" w:type="pct"/>
            <w:shd w:val="clear" w:color="auto" w:fill="FFFFFF" w:themeFill="background1"/>
            <w:vAlign w:val="center"/>
          </w:tcPr>
          <w:p w14:paraId="30BC3EB9" w14:textId="77777777" w:rsidR="00485891" w:rsidRPr="005E07F6" w:rsidRDefault="00485891" w:rsidP="005E07F6">
            <w:pPr>
              <w:spacing w:line="240" w:lineRule="auto"/>
              <w:jc w:val="center"/>
              <w:rPr>
                <w:rFonts w:cs="Arial"/>
                <w:sz w:val="14"/>
                <w:szCs w:val="14"/>
              </w:rPr>
            </w:pPr>
            <w:r w:rsidRPr="005E07F6">
              <w:rPr>
                <w:rFonts w:cs="Arial"/>
                <w:sz w:val="14"/>
                <w:szCs w:val="14"/>
              </w:rPr>
              <w:t>-10.26 – 10.11</w:t>
            </w:r>
          </w:p>
        </w:tc>
        <w:tc>
          <w:tcPr>
            <w:tcW w:w="277" w:type="pct"/>
            <w:tcBorders>
              <w:right w:val="single" w:sz="8" w:space="0" w:color="auto"/>
            </w:tcBorders>
            <w:shd w:val="clear" w:color="auto" w:fill="FFFFFF" w:themeFill="background1"/>
            <w:vAlign w:val="center"/>
          </w:tcPr>
          <w:p w14:paraId="40BF1BAB" w14:textId="77777777" w:rsidR="00485891" w:rsidRPr="005E07F6" w:rsidRDefault="00485891" w:rsidP="005E07F6">
            <w:pPr>
              <w:spacing w:line="240" w:lineRule="auto"/>
              <w:jc w:val="center"/>
              <w:rPr>
                <w:rFonts w:cs="Arial"/>
                <w:sz w:val="14"/>
                <w:szCs w:val="14"/>
              </w:rPr>
            </w:pPr>
            <w:r w:rsidRPr="005E07F6">
              <w:rPr>
                <w:rFonts w:cs="Arial"/>
                <w:sz w:val="14"/>
                <w:szCs w:val="14"/>
              </w:rPr>
              <w:t>0.989</w:t>
            </w:r>
          </w:p>
        </w:tc>
        <w:tc>
          <w:tcPr>
            <w:tcW w:w="249" w:type="pct"/>
            <w:tcBorders>
              <w:left w:val="single" w:sz="8" w:space="0" w:color="auto"/>
            </w:tcBorders>
            <w:shd w:val="clear" w:color="auto" w:fill="FFFFFF" w:themeFill="background1"/>
            <w:vAlign w:val="center"/>
          </w:tcPr>
          <w:p w14:paraId="7E954E80" w14:textId="77777777" w:rsidR="00485891" w:rsidRPr="005E07F6" w:rsidRDefault="00485891" w:rsidP="005E07F6">
            <w:pPr>
              <w:spacing w:line="240" w:lineRule="auto"/>
              <w:jc w:val="center"/>
              <w:rPr>
                <w:rFonts w:cs="Arial"/>
                <w:sz w:val="14"/>
                <w:szCs w:val="14"/>
              </w:rPr>
            </w:pPr>
            <w:r w:rsidRPr="005E07F6">
              <w:rPr>
                <w:rFonts w:cs="Arial"/>
                <w:sz w:val="14"/>
                <w:szCs w:val="14"/>
              </w:rPr>
              <w:t>1.80</w:t>
            </w:r>
          </w:p>
        </w:tc>
        <w:tc>
          <w:tcPr>
            <w:tcW w:w="594" w:type="pct"/>
            <w:shd w:val="clear" w:color="auto" w:fill="FFFFFF" w:themeFill="background1"/>
            <w:vAlign w:val="center"/>
          </w:tcPr>
          <w:p w14:paraId="40F18D78" w14:textId="77777777" w:rsidR="00485891" w:rsidRPr="005E07F6" w:rsidRDefault="00485891" w:rsidP="005E07F6">
            <w:pPr>
              <w:spacing w:line="240" w:lineRule="auto"/>
              <w:jc w:val="center"/>
              <w:rPr>
                <w:rFonts w:cs="Arial"/>
                <w:sz w:val="14"/>
                <w:szCs w:val="14"/>
              </w:rPr>
            </w:pPr>
            <w:r w:rsidRPr="005E07F6">
              <w:rPr>
                <w:rFonts w:cs="Arial"/>
                <w:sz w:val="14"/>
                <w:szCs w:val="14"/>
              </w:rPr>
              <w:t>-8.41 – 12.00</w:t>
            </w:r>
          </w:p>
        </w:tc>
        <w:tc>
          <w:tcPr>
            <w:tcW w:w="268" w:type="pct"/>
            <w:tcBorders>
              <w:right w:val="single" w:sz="8" w:space="0" w:color="auto"/>
            </w:tcBorders>
            <w:shd w:val="clear" w:color="auto" w:fill="FFFFFF" w:themeFill="background1"/>
            <w:vAlign w:val="center"/>
          </w:tcPr>
          <w:p w14:paraId="0DCD0FEF" w14:textId="77777777" w:rsidR="00485891" w:rsidRPr="005E07F6" w:rsidRDefault="00485891" w:rsidP="005E07F6">
            <w:pPr>
              <w:spacing w:line="240" w:lineRule="auto"/>
              <w:jc w:val="center"/>
              <w:rPr>
                <w:rFonts w:cs="Arial"/>
                <w:sz w:val="14"/>
                <w:szCs w:val="14"/>
              </w:rPr>
            </w:pPr>
            <w:r w:rsidRPr="005E07F6">
              <w:rPr>
                <w:rFonts w:cs="Arial"/>
                <w:sz w:val="14"/>
                <w:szCs w:val="14"/>
              </w:rPr>
              <w:t>0.728</w:t>
            </w:r>
          </w:p>
        </w:tc>
        <w:tc>
          <w:tcPr>
            <w:tcW w:w="260" w:type="pct"/>
            <w:tcBorders>
              <w:left w:val="single" w:sz="8" w:space="0" w:color="auto"/>
            </w:tcBorders>
            <w:shd w:val="clear" w:color="auto" w:fill="FFFFFF" w:themeFill="background1"/>
            <w:vAlign w:val="center"/>
          </w:tcPr>
          <w:p w14:paraId="0EE9076A" w14:textId="77777777" w:rsidR="00485891" w:rsidRPr="005E07F6" w:rsidRDefault="00485891" w:rsidP="005E07F6">
            <w:pPr>
              <w:spacing w:line="240" w:lineRule="auto"/>
              <w:jc w:val="center"/>
              <w:rPr>
                <w:rFonts w:cs="Arial"/>
                <w:sz w:val="14"/>
                <w:szCs w:val="14"/>
              </w:rPr>
            </w:pPr>
            <w:r w:rsidRPr="005E07F6">
              <w:rPr>
                <w:rFonts w:cs="Arial"/>
                <w:sz w:val="14"/>
                <w:szCs w:val="14"/>
              </w:rPr>
              <w:t>0.90</w:t>
            </w:r>
          </w:p>
        </w:tc>
        <w:tc>
          <w:tcPr>
            <w:tcW w:w="595" w:type="pct"/>
            <w:shd w:val="clear" w:color="auto" w:fill="FFFFFF" w:themeFill="background1"/>
            <w:vAlign w:val="center"/>
          </w:tcPr>
          <w:p w14:paraId="1CCE1AD8" w14:textId="77777777" w:rsidR="00485891" w:rsidRPr="005E07F6" w:rsidRDefault="00485891" w:rsidP="005E07F6">
            <w:pPr>
              <w:spacing w:line="240" w:lineRule="auto"/>
              <w:jc w:val="center"/>
              <w:rPr>
                <w:rFonts w:cs="Arial"/>
                <w:sz w:val="14"/>
                <w:szCs w:val="14"/>
              </w:rPr>
            </w:pPr>
            <w:r w:rsidRPr="005E07F6">
              <w:rPr>
                <w:rFonts w:cs="Arial"/>
                <w:sz w:val="14"/>
                <w:szCs w:val="14"/>
              </w:rPr>
              <w:t>-0.70 – 2.49</w:t>
            </w:r>
          </w:p>
        </w:tc>
        <w:tc>
          <w:tcPr>
            <w:tcW w:w="252" w:type="pct"/>
            <w:tcBorders>
              <w:right w:val="single" w:sz="8" w:space="0" w:color="auto"/>
            </w:tcBorders>
            <w:shd w:val="clear" w:color="auto" w:fill="FFFFFF" w:themeFill="background1"/>
            <w:vAlign w:val="center"/>
          </w:tcPr>
          <w:p w14:paraId="29E87FD3" w14:textId="77777777" w:rsidR="00485891" w:rsidRPr="005E07F6" w:rsidRDefault="00485891" w:rsidP="005E07F6">
            <w:pPr>
              <w:spacing w:line="240" w:lineRule="auto"/>
              <w:jc w:val="center"/>
              <w:rPr>
                <w:rFonts w:cs="Arial"/>
                <w:sz w:val="14"/>
                <w:szCs w:val="14"/>
              </w:rPr>
            </w:pPr>
            <w:r w:rsidRPr="005E07F6">
              <w:rPr>
                <w:rFonts w:cs="Arial"/>
                <w:sz w:val="14"/>
                <w:szCs w:val="14"/>
              </w:rPr>
              <w:t>0.268</w:t>
            </w:r>
          </w:p>
        </w:tc>
        <w:tc>
          <w:tcPr>
            <w:tcW w:w="250" w:type="pct"/>
            <w:tcBorders>
              <w:left w:val="single" w:sz="8" w:space="0" w:color="auto"/>
            </w:tcBorders>
            <w:shd w:val="clear" w:color="auto" w:fill="FFFFFF" w:themeFill="background1"/>
            <w:vAlign w:val="center"/>
          </w:tcPr>
          <w:p w14:paraId="577C93B3" w14:textId="77777777" w:rsidR="00485891" w:rsidRPr="005E07F6" w:rsidRDefault="00485891" w:rsidP="005E07F6">
            <w:pPr>
              <w:spacing w:line="240" w:lineRule="auto"/>
              <w:jc w:val="center"/>
              <w:rPr>
                <w:rFonts w:cs="Arial"/>
                <w:sz w:val="14"/>
                <w:szCs w:val="14"/>
              </w:rPr>
            </w:pPr>
            <w:r w:rsidRPr="005E07F6">
              <w:rPr>
                <w:rFonts w:cs="Arial"/>
                <w:sz w:val="14"/>
                <w:szCs w:val="14"/>
              </w:rPr>
              <w:t>-32.55</w:t>
            </w:r>
          </w:p>
        </w:tc>
        <w:tc>
          <w:tcPr>
            <w:tcW w:w="591" w:type="pct"/>
            <w:shd w:val="clear" w:color="auto" w:fill="FFFFFF" w:themeFill="background1"/>
            <w:vAlign w:val="center"/>
          </w:tcPr>
          <w:p w14:paraId="613B0FE5" w14:textId="77777777" w:rsidR="00485891" w:rsidRPr="005E07F6" w:rsidRDefault="00485891" w:rsidP="005E07F6">
            <w:pPr>
              <w:spacing w:line="240" w:lineRule="auto"/>
              <w:jc w:val="center"/>
              <w:rPr>
                <w:rFonts w:cs="Arial"/>
                <w:sz w:val="14"/>
                <w:szCs w:val="14"/>
              </w:rPr>
            </w:pPr>
            <w:r w:rsidRPr="005E07F6">
              <w:rPr>
                <w:rFonts w:cs="Arial"/>
                <w:sz w:val="14"/>
                <w:szCs w:val="14"/>
              </w:rPr>
              <w:t>-87.82 – 22.72</w:t>
            </w:r>
          </w:p>
        </w:tc>
        <w:tc>
          <w:tcPr>
            <w:tcW w:w="333" w:type="pct"/>
            <w:shd w:val="clear" w:color="auto" w:fill="FFFFFF" w:themeFill="background1"/>
            <w:vAlign w:val="center"/>
          </w:tcPr>
          <w:p w14:paraId="31DDA42D" w14:textId="77777777" w:rsidR="00485891" w:rsidRPr="005E07F6" w:rsidRDefault="00485891" w:rsidP="005E07F6">
            <w:pPr>
              <w:spacing w:line="240" w:lineRule="auto"/>
              <w:jc w:val="center"/>
              <w:rPr>
                <w:rFonts w:cs="Arial"/>
                <w:sz w:val="14"/>
                <w:szCs w:val="14"/>
              </w:rPr>
            </w:pPr>
            <w:r w:rsidRPr="005E07F6">
              <w:rPr>
                <w:rFonts w:cs="Arial"/>
                <w:sz w:val="14"/>
                <w:szCs w:val="14"/>
              </w:rPr>
              <w:t>0.246</w:t>
            </w:r>
          </w:p>
        </w:tc>
      </w:tr>
      <w:tr w:rsidR="005E07F6" w:rsidRPr="005E07F6" w14:paraId="5EFB7F23" w14:textId="77777777" w:rsidTr="00332686">
        <w:trPr>
          <w:cnfStyle w:val="000000100000" w:firstRow="0" w:lastRow="0" w:firstColumn="0" w:lastColumn="0" w:oddVBand="0" w:evenVBand="0" w:oddHBand="1" w:evenHBand="0" w:firstRowFirstColumn="0" w:firstRowLastColumn="0" w:lastRowFirstColumn="0" w:lastRowLastColumn="0"/>
        </w:trPr>
        <w:tc>
          <w:tcPr>
            <w:tcW w:w="537" w:type="pct"/>
            <w:tcBorders>
              <w:right w:val="single" w:sz="8" w:space="0" w:color="auto"/>
            </w:tcBorders>
            <w:shd w:val="clear" w:color="auto" w:fill="FFFFFF" w:themeFill="background1"/>
            <w:vAlign w:val="center"/>
          </w:tcPr>
          <w:p w14:paraId="7D077430" w14:textId="77777777" w:rsidR="00485891" w:rsidRPr="005E07F6" w:rsidRDefault="00485891" w:rsidP="005E07F6">
            <w:pPr>
              <w:spacing w:line="240" w:lineRule="auto"/>
              <w:rPr>
                <w:rFonts w:cs="Arial"/>
                <w:sz w:val="14"/>
                <w:szCs w:val="14"/>
              </w:rPr>
            </w:pPr>
            <w:r w:rsidRPr="005E07F6">
              <w:rPr>
                <w:rFonts w:cs="Arial"/>
                <w:sz w:val="14"/>
                <w:szCs w:val="14"/>
              </w:rPr>
              <w:t>LPS-1: T060</w:t>
            </w:r>
          </w:p>
        </w:tc>
        <w:tc>
          <w:tcPr>
            <w:tcW w:w="245" w:type="pct"/>
            <w:tcBorders>
              <w:left w:val="single" w:sz="8" w:space="0" w:color="auto"/>
            </w:tcBorders>
            <w:shd w:val="clear" w:color="auto" w:fill="FFFFFF" w:themeFill="background1"/>
            <w:vAlign w:val="center"/>
          </w:tcPr>
          <w:p w14:paraId="22014263" w14:textId="77777777" w:rsidR="00485891" w:rsidRPr="005E07F6" w:rsidRDefault="00485891" w:rsidP="005E07F6">
            <w:pPr>
              <w:spacing w:line="240" w:lineRule="auto"/>
              <w:jc w:val="center"/>
              <w:rPr>
                <w:rFonts w:cs="Arial"/>
                <w:sz w:val="14"/>
                <w:szCs w:val="14"/>
              </w:rPr>
            </w:pPr>
            <w:r w:rsidRPr="005E07F6">
              <w:rPr>
                <w:rFonts w:cs="Arial"/>
                <w:sz w:val="14"/>
                <w:szCs w:val="14"/>
              </w:rPr>
              <w:t>0.80</w:t>
            </w:r>
          </w:p>
        </w:tc>
        <w:tc>
          <w:tcPr>
            <w:tcW w:w="549" w:type="pct"/>
            <w:shd w:val="clear" w:color="auto" w:fill="FFFFFF" w:themeFill="background1"/>
            <w:vAlign w:val="center"/>
          </w:tcPr>
          <w:p w14:paraId="255C877D" w14:textId="77777777" w:rsidR="00485891" w:rsidRPr="005E07F6" w:rsidRDefault="00485891" w:rsidP="005E07F6">
            <w:pPr>
              <w:spacing w:line="240" w:lineRule="auto"/>
              <w:jc w:val="center"/>
              <w:rPr>
                <w:rFonts w:cs="Arial"/>
                <w:sz w:val="14"/>
                <w:szCs w:val="14"/>
              </w:rPr>
            </w:pPr>
            <w:r w:rsidRPr="005E07F6">
              <w:rPr>
                <w:rFonts w:cs="Arial"/>
                <w:sz w:val="14"/>
                <w:szCs w:val="14"/>
              </w:rPr>
              <w:t>-11.71 – 13.30</w:t>
            </w:r>
          </w:p>
        </w:tc>
        <w:tc>
          <w:tcPr>
            <w:tcW w:w="277" w:type="pct"/>
            <w:tcBorders>
              <w:right w:val="single" w:sz="8" w:space="0" w:color="auto"/>
            </w:tcBorders>
            <w:shd w:val="clear" w:color="auto" w:fill="FFFFFF" w:themeFill="background1"/>
            <w:vAlign w:val="center"/>
          </w:tcPr>
          <w:p w14:paraId="69C690BD" w14:textId="77777777" w:rsidR="00485891" w:rsidRPr="005E07F6" w:rsidRDefault="00485891" w:rsidP="005E07F6">
            <w:pPr>
              <w:spacing w:line="240" w:lineRule="auto"/>
              <w:jc w:val="center"/>
              <w:rPr>
                <w:rFonts w:cs="Arial"/>
                <w:sz w:val="14"/>
                <w:szCs w:val="14"/>
              </w:rPr>
            </w:pPr>
            <w:r w:rsidRPr="005E07F6">
              <w:rPr>
                <w:rFonts w:cs="Arial"/>
                <w:sz w:val="14"/>
                <w:szCs w:val="14"/>
              </w:rPr>
              <w:t>0.900</w:t>
            </w:r>
          </w:p>
        </w:tc>
        <w:tc>
          <w:tcPr>
            <w:tcW w:w="249" w:type="pct"/>
            <w:tcBorders>
              <w:left w:val="single" w:sz="8" w:space="0" w:color="auto"/>
            </w:tcBorders>
            <w:shd w:val="clear" w:color="auto" w:fill="FFFFFF" w:themeFill="background1"/>
            <w:vAlign w:val="center"/>
          </w:tcPr>
          <w:p w14:paraId="01AB83B2" w14:textId="77777777" w:rsidR="00485891" w:rsidRPr="005E07F6" w:rsidRDefault="00485891" w:rsidP="005E07F6">
            <w:pPr>
              <w:spacing w:line="240" w:lineRule="auto"/>
              <w:jc w:val="center"/>
              <w:rPr>
                <w:rFonts w:cs="Arial"/>
                <w:sz w:val="14"/>
                <w:szCs w:val="14"/>
              </w:rPr>
            </w:pPr>
            <w:r w:rsidRPr="005E07F6">
              <w:rPr>
                <w:rFonts w:cs="Arial"/>
                <w:sz w:val="14"/>
                <w:szCs w:val="14"/>
              </w:rPr>
              <w:t>1.86</w:t>
            </w:r>
          </w:p>
        </w:tc>
        <w:tc>
          <w:tcPr>
            <w:tcW w:w="594" w:type="pct"/>
            <w:shd w:val="clear" w:color="auto" w:fill="FFFFFF" w:themeFill="background1"/>
            <w:vAlign w:val="center"/>
          </w:tcPr>
          <w:p w14:paraId="2BE7FFC2" w14:textId="77777777" w:rsidR="00485891" w:rsidRPr="005E07F6" w:rsidRDefault="00485891" w:rsidP="005E07F6">
            <w:pPr>
              <w:spacing w:line="240" w:lineRule="auto"/>
              <w:jc w:val="center"/>
              <w:rPr>
                <w:rFonts w:cs="Arial"/>
                <w:sz w:val="14"/>
                <w:szCs w:val="14"/>
              </w:rPr>
            </w:pPr>
            <w:r w:rsidRPr="005E07F6">
              <w:rPr>
                <w:rFonts w:cs="Arial"/>
                <w:sz w:val="14"/>
                <w:szCs w:val="14"/>
              </w:rPr>
              <w:t>-9.47 – 13.19</w:t>
            </w:r>
          </w:p>
        </w:tc>
        <w:tc>
          <w:tcPr>
            <w:tcW w:w="268" w:type="pct"/>
            <w:tcBorders>
              <w:right w:val="single" w:sz="8" w:space="0" w:color="auto"/>
            </w:tcBorders>
            <w:shd w:val="clear" w:color="auto" w:fill="FFFFFF" w:themeFill="background1"/>
            <w:vAlign w:val="center"/>
          </w:tcPr>
          <w:p w14:paraId="7E4B82E0" w14:textId="77777777" w:rsidR="00485891" w:rsidRPr="005E07F6" w:rsidRDefault="00485891" w:rsidP="005E07F6">
            <w:pPr>
              <w:spacing w:line="240" w:lineRule="auto"/>
              <w:jc w:val="center"/>
              <w:rPr>
                <w:rFonts w:cs="Arial"/>
                <w:sz w:val="14"/>
                <w:szCs w:val="14"/>
              </w:rPr>
            </w:pPr>
            <w:r w:rsidRPr="005E07F6">
              <w:rPr>
                <w:rFonts w:cs="Arial"/>
                <w:sz w:val="14"/>
                <w:szCs w:val="14"/>
              </w:rPr>
              <w:t>0.745</w:t>
            </w:r>
          </w:p>
        </w:tc>
        <w:tc>
          <w:tcPr>
            <w:tcW w:w="260" w:type="pct"/>
            <w:tcBorders>
              <w:left w:val="single" w:sz="8" w:space="0" w:color="auto"/>
            </w:tcBorders>
            <w:shd w:val="clear" w:color="auto" w:fill="FFFFFF" w:themeFill="background1"/>
            <w:vAlign w:val="center"/>
          </w:tcPr>
          <w:p w14:paraId="31E8D492" w14:textId="77777777" w:rsidR="00485891" w:rsidRPr="005E07F6" w:rsidRDefault="00485891" w:rsidP="005E07F6">
            <w:pPr>
              <w:spacing w:line="240" w:lineRule="auto"/>
              <w:jc w:val="center"/>
              <w:rPr>
                <w:rFonts w:cs="Arial"/>
                <w:sz w:val="14"/>
                <w:szCs w:val="14"/>
              </w:rPr>
            </w:pPr>
            <w:r w:rsidRPr="005E07F6">
              <w:rPr>
                <w:rFonts w:cs="Arial"/>
                <w:sz w:val="14"/>
                <w:szCs w:val="14"/>
              </w:rPr>
              <w:t>-2.75</w:t>
            </w:r>
          </w:p>
        </w:tc>
        <w:tc>
          <w:tcPr>
            <w:tcW w:w="595" w:type="pct"/>
            <w:shd w:val="clear" w:color="auto" w:fill="FFFFFF" w:themeFill="background1"/>
            <w:vAlign w:val="center"/>
          </w:tcPr>
          <w:p w14:paraId="4C2FAEFE" w14:textId="77777777" w:rsidR="00485891" w:rsidRPr="005E07F6" w:rsidRDefault="00485891" w:rsidP="005E07F6">
            <w:pPr>
              <w:spacing w:line="240" w:lineRule="auto"/>
              <w:jc w:val="center"/>
              <w:rPr>
                <w:rFonts w:cs="Arial"/>
                <w:sz w:val="14"/>
                <w:szCs w:val="14"/>
              </w:rPr>
            </w:pPr>
            <w:r w:rsidRPr="005E07F6">
              <w:rPr>
                <w:rFonts w:cs="Arial"/>
                <w:sz w:val="14"/>
                <w:szCs w:val="14"/>
              </w:rPr>
              <w:t>-4.32 – -1.18</w:t>
            </w:r>
          </w:p>
        </w:tc>
        <w:tc>
          <w:tcPr>
            <w:tcW w:w="252" w:type="pct"/>
            <w:tcBorders>
              <w:right w:val="single" w:sz="8" w:space="0" w:color="auto"/>
            </w:tcBorders>
            <w:shd w:val="clear" w:color="auto" w:fill="FFFFFF" w:themeFill="background1"/>
            <w:vAlign w:val="center"/>
          </w:tcPr>
          <w:p w14:paraId="5C592AD3" w14:textId="77777777" w:rsidR="00485891" w:rsidRPr="005E07F6" w:rsidRDefault="00485891" w:rsidP="005E07F6">
            <w:pPr>
              <w:spacing w:line="240" w:lineRule="auto"/>
              <w:jc w:val="center"/>
              <w:rPr>
                <w:rFonts w:cs="Arial"/>
                <w:sz w:val="14"/>
                <w:szCs w:val="14"/>
              </w:rPr>
            </w:pPr>
            <w:r w:rsidRPr="005E07F6">
              <w:rPr>
                <w:rFonts w:cs="Arial"/>
                <w:b/>
                <w:bCs/>
                <w:sz w:val="14"/>
                <w:szCs w:val="14"/>
              </w:rPr>
              <w:t>0.001</w:t>
            </w:r>
          </w:p>
        </w:tc>
        <w:tc>
          <w:tcPr>
            <w:tcW w:w="250" w:type="pct"/>
            <w:tcBorders>
              <w:left w:val="single" w:sz="8" w:space="0" w:color="auto"/>
            </w:tcBorders>
            <w:shd w:val="clear" w:color="auto" w:fill="FFFFFF" w:themeFill="background1"/>
            <w:vAlign w:val="center"/>
          </w:tcPr>
          <w:p w14:paraId="63CCD7B6" w14:textId="77777777" w:rsidR="00485891" w:rsidRPr="005E07F6" w:rsidRDefault="00485891" w:rsidP="005E07F6">
            <w:pPr>
              <w:spacing w:line="240" w:lineRule="auto"/>
              <w:jc w:val="center"/>
              <w:rPr>
                <w:rFonts w:cs="Arial"/>
                <w:sz w:val="14"/>
                <w:szCs w:val="14"/>
              </w:rPr>
            </w:pPr>
            <w:r w:rsidRPr="005E07F6">
              <w:rPr>
                <w:rFonts w:cs="Arial"/>
                <w:sz w:val="14"/>
                <w:szCs w:val="14"/>
              </w:rPr>
              <w:t>4.11</w:t>
            </w:r>
          </w:p>
        </w:tc>
        <w:tc>
          <w:tcPr>
            <w:tcW w:w="591" w:type="pct"/>
            <w:shd w:val="clear" w:color="auto" w:fill="FFFFFF" w:themeFill="background1"/>
            <w:vAlign w:val="center"/>
          </w:tcPr>
          <w:p w14:paraId="447C5302" w14:textId="77777777" w:rsidR="00485891" w:rsidRPr="005E07F6" w:rsidRDefault="00485891" w:rsidP="005E07F6">
            <w:pPr>
              <w:spacing w:line="240" w:lineRule="auto"/>
              <w:jc w:val="center"/>
              <w:rPr>
                <w:rFonts w:cs="Arial"/>
                <w:sz w:val="14"/>
                <w:szCs w:val="14"/>
              </w:rPr>
            </w:pPr>
            <w:r w:rsidRPr="005E07F6">
              <w:rPr>
                <w:rFonts w:cs="Arial"/>
                <w:sz w:val="14"/>
                <w:szCs w:val="14"/>
              </w:rPr>
              <w:t>-7.93 – 16.15</w:t>
            </w:r>
          </w:p>
        </w:tc>
        <w:tc>
          <w:tcPr>
            <w:tcW w:w="333" w:type="pct"/>
            <w:shd w:val="clear" w:color="auto" w:fill="FFFFFF" w:themeFill="background1"/>
            <w:vAlign w:val="center"/>
          </w:tcPr>
          <w:p w14:paraId="70895129" w14:textId="77777777" w:rsidR="00485891" w:rsidRPr="005E07F6" w:rsidRDefault="00485891" w:rsidP="005E07F6">
            <w:pPr>
              <w:spacing w:line="240" w:lineRule="auto"/>
              <w:jc w:val="center"/>
              <w:rPr>
                <w:rFonts w:cs="Arial"/>
                <w:sz w:val="14"/>
                <w:szCs w:val="14"/>
              </w:rPr>
            </w:pPr>
            <w:r w:rsidRPr="005E07F6">
              <w:rPr>
                <w:rFonts w:cs="Arial"/>
                <w:sz w:val="14"/>
                <w:szCs w:val="14"/>
              </w:rPr>
              <w:t>0.500</w:t>
            </w:r>
          </w:p>
        </w:tc>
      </w:tr>
      <w:tr w:rsidR="005E07F6" w:rsidRPr="005E07F6" w14:paraId="34400AC5" w14:textId="77777777" w:rsidTr="00332686">
        <w:tc>
          <w:tcPr>
            <w:tcW w:w="537" w:type="pct"/>
            <w:tcBorders>
              <w:right w:val="single" w:sz="8" w:space="0" w:color="auto"/>
            </w:tcBorders>
            <w:shd w:val="clear" w:color="auto" w:fill="FFFFFF" w:themeFill="background1"/>
            <w:vAlign w:val="center"/>
          </w:tcPr>
          <w:p w14:paraId="71495B78" w14:textId="77777777" w:rsidR="00485891" w:rsidRPr="005E07F6" w:rsidRDefault="00485891" w:rsidP="005E07F6">
            <w:pPr>
              <w:spacing w:line="240" w:lineRule="auto"/>
              <w:rPr>
                <w:rFonts w:cs="Arial"/>
                <w:sz w:val="14"/>
                <w:szCs w:val="14"/>
              </w:rPr>
            </w:pPr>
            <w:r w:rsidRPr="005E07F6">
              <w:rPr>
                <w:rFonts w:cs="Arial"/>
                <w:sz w:val="14"/>
                <w:szCs w:val="14"/>
              </w:rPr>
              <w:t>LPS-1: T120</w:t>
            </w:r>
          </w:p>
        </w:tc>
        <w:tc>
          <w:tcPr>
            <w:tcW w:w="245" w:type="pct"/>
            <w:tcBorders>
              <w:left w:val="single" w:sz="8" w:space="0" w:color="auto"/>
            </w:tcBorders>
            <w:shd w:val="clear" w:color="auto" w:fill="FFFFFF" w:themeFill="background1"/>
            <w:vAlign w:val="center"/>
          </w:tcPr>
          <w:p w14:paraId="2647112B" w14:textId="77777777" w:rsidR="00485891" w:rsidRPr="005E07F6" w:rsidRDefault="00485891" w:rsidP="005E07F6">
            <w:pPr>
              <w:spacing w:line="240" w:lineRule="auto"/>
              <w:jc w:val="center"/>
              <w:rPr>
                <w:rFonts w:cs="Arial"/>
                <w:sz w:val="14"/>
                <w:szCs w:val="14"/>
              </w:rPr>
            </w:pPr>
            <w:r w:rsidRPr="005E07F6">
              <w:rPr>
                <w:rFonts w:cs="Arial"/>
                <w:sz w:val="14"/>
                <w:szCs w:val="14"/>
              </w:rPr>
              <w:t>-11.36</w:t>
            </w:r>
          </w:p>
        </w:tc>
        <w:tc>
          <w:tcPr>
            <w:tcW w:w="549" w:type="pct"/>
            <w:shd w:val="clear" w:color="auto" w:fill="FFFFFF" w:themeFill="background1"/>
            <w:vAlign w:val="center"/>
          </w:tcPr>
          <w:p w14:paraId="0F6A5ACB" w14:textId="77777777" w:rsidR="00485891" w:rsidRPr="005E07F6" w:rsidRDefault="00485891" w:rsidP="005E07F6">
            <w:pPr>
              <w:spacing w:line="240" w:lineRule="auto"/>
              <w:jc w:val="center"/>
              <w:rPr>
                <w:rFonts w:cs="Arial"/>
                <w:sz w:val="14"/>
                <w:szCs w:val="14"/>
              </w:rPr>
            </w:pPr>
            <w:r w:rsidRPr="005E07F6">
              <w:rPr>
                <w:rFonts w:cs="Arial"/>
                <w:sz w:val="14"/>
                <w:szCs w:val="14"/>
              </w:rPr>
              <w:t>-23.86 – 1.15</w:t>
            </w:r>
          </w:p>
        </w:tc>
        <w:tc>
          <w:tcPr>
            <w:tcW w:w="277" w:type="pct"/>
            <w:tcBorders>
              <w:right w:val="single" w:sz="8" w:space="0" w:color="auto"/>
            </w:tcBorders>
            <w:shd w:val="clear" w:color="auto" w:fill="FFFFFF" w:themeFill="background1"/>
            <w:vAlign w:val="center"/>
          </w:tcPr>
          <w:p w14:paraId="7E29CBC0" w14:textId="77777777" w:rsidR="00485891" w:rsidRPr="005E07F6" w:rsidRDefault="00485891" w:rsidP="005E07F6">
            <w:pPr>
              <w:spacing w:line="240" w:lineRule="auto"/>
              <w:jc w:val="center"/>
              <w:rPr>
                <w:rFonts w:cs="Arial"/>
                <w:sz w:val="14"/>
                <w:szCs w:val="14"/>
              </w:rPr>
            </w:pPr>
            <w:r w:rsidRPr="005E07F6">
              <w:rPr>
                <w:rFonts w:cs="Arial"/>
                <w:sz w:val="14"/>
                <w:szCs w:val="14"/>
              </w:rPr>
              <w:t>0.075</w:t>
            </w:r>
          </w:p>
        </w:tc>
        <w:tc>
          <w:tcPr>
            <w:tcW w:w="249" w:type="pct"/>
            <w:tcBorders>
              <w:left w:val="single" w:sz="8" w:space="0" w:color="auto"/>
            </w:tcBorders>
            <w:shd w:val="clear" w:color="auto" w:fill="FFFFFF" w:themeFill="background1"/>
            <w:vAlign w:val="center"/>
          </w:tcPr>
          <w:p w14:paraId="247A72D2" w14:textId="77777777" w:rsidR="00485891" w:rsidRPr="005E07F6" w:rsidRDefault="00485891" w:rsidP="005E07F6">
            <w:pPr>
              <w:spacing w:line="240" w:lineRule="auto"/>
              <w:jc w:val="center"/>
              <w:rPr>
                <w:rFonts w:cs="Arial"/>
                <w:sz w:val="14"/>
                <w:szCs w:val="14"/>
              </w:rPr>
            </w:pPr>
            <w:r w:rsidRPr="005E07F6">
              <w:rPr>
                <w:rFonts w:cs="Arial"/>
                <w:sz w:val="14"/>
                <w:szCs w:val="14"/>
              </w:rPr>
              <w:t>4.23</w:t>
            </w:r>
          </w:p>
        </w:tc>
        <w:tc>
          <w:tcPr>
            <w:tcW w:w="594" w:type="pct"/>
            <w:shd w:val="clear" w:color="auto" w:fill="FFFFFF" w:themeFill="background1"/>
            <w:vAlign w:val="center"/>
          </w:tcPr>
          <w:p w14:paraId="0893B5B0" w14:textId="77777777" w:rsidR="00485891" w:rsidRPr="005E07F6" w:rsidRDefault="00485891" w:rsidP="005E07F6">
            <w:pPr>
              <w:spacing w:line="240" w:lineRule="auto"/>
              <w:jc w:val="center"/>
              <w:rPr>
                <w:rFonts w:cs="Arial"/>
                <w:sz w:val="14"/>
                <w:szCs w:val="14"/>
              </w:rPr>
            </w:pPr>
            <w:r w:rsidRPr="005E07F6">
              <w:rPr>
                <w:rFonts w:cs="Arial"/>
                <w:sz w:val="14"/>
                <w:szCs w:val="14"/>
              </w:rPr>
              <w:t>-7.11 – 15.56</w:t>
            </w:r>
          </w:p>
        </w:tc>
        <w:tc>
          <w:tcPr>
            <w:tcW w:w="268" w:type="pct"/>
            <w:tcBorders>
              <w:right w:val="single" w:sz="8" w:space="0" w:color="auto"/>
            </w:tcBorders>
            <w:shd w:val="clear" w:color="auto" w:fill="FFFFFF" w:themeFill="background1"/>
            <w:vAlign w:val="center"/>
          </w:tcPr>
          <w:p w14:paraId="25ADDAC9" w14:textId="77777777" w:rsidR="00485891" w:rsidRPr="005E07F6" w:rsidRDefault="00485891" w:rsidP="005E07F6">
            <w:pPr>
              <w:spacing w:line="240" w:lineRule="auto"/>
              <w:jc w:val="center"/>
              <w:rPr>
                <w:rFonts w:cs="Arial"/>
                <w:sz w:val="14"/>
                <w:szCs w:val="14"/>
              </w:rPr>
            </w:pPr>
            <w:r w:rsidRPr="005E07F6">
              <w:rPr>
                <w:rFonts w:cs="Arial"/>
                <w:sz w:val="14"/>
                <w:szCs w:val="14"/>
              </w:rPr>
              <w:t>0.461</w:t>
            </w:r>
          </w:p>
        </w:tc>
        <w:tc>
          <w:tcPr>
            <w:tcW w:w="260" w:type="pct"/>
            <w:tcBorders>
              <w:left w:val="single" w:sz="8" w:space="0" w:color="auto"/>
            </w:tcBorders>
            <w:shd w:val="clear" w:color="auto" w:fill="FFFFFF" w:themeFill="background1"/>
            <w:vAlign w:val="center"/>
          </w:tcPr>
          <w:p w14:paraId="19AF0D31" w14:textId="77777777" w:rsidR="00485891" w:rsidRPr="005E07F6" w:rsidRDefault="00485891" w:rsidP="005E07F6">
            <w:pPr>
              <w:spacing w:line="240" w:lineRule="auto"/>
              <w:jc w:val="center"/>
              <w:rPr>
                <w:rFonts w:cs="Arial"/>
                <w:sz w:val="14"/>
                <w:szCs w:val="14"/>
              </w:rPr>
            </w:pPr>
            <w:r w:rsidRPr="005E07F6">
              <w:rPr>
                <w:rFonts w:cs="Arial"/>
                <w:sz w:val="14"/>
                <w:szCs w:val="14"/>
              </w:rPr>
              <w:t>-5.26</w:t>
            </w:r>
          </w:p>
        </w:tc>
        <w:tc>
          <w:tcPr>
            <w:tcW w:w="595" w:type="pct"/>
            <w:shd w:val="clear" w:color="auto" w:fill="FFFFFF" w:themeFill="background1"/>
            <w:vAlign w:val="center"/>
          </w:tcPr>
          <w:p w14:paraId="6B99BECE" w14:textId="77777777" w:rsidR="00485891" w:rsidRPr="005E07F6" w:rsidRDefault="00485891" w:rsidP="005E07F6">
            <w:pPr>
              <w:spacing w:line="240" w:lineRule="auto"/>
              <w:jc w:val="center"/>
              <w:rPr>
                <w:rFonts w:cs="Arial"/>
                <w:sz w:val="14"/>
                <w:szCs w:val="14"/>
              </w:rPr>
            </w:pPr>
            <w:r w:rsidRPr="005E07F6">
              <w:rPr>
                <w:rFonts w:cs="Arial"/>
                <w:sz w:val="14"/>
                <w:szCs w:val="14"/>
              </w:rPr>
              <w:t>-6.83 – -3.69</w:t>
            </w:r>
          </w:p>
        </w:tc>
        <w:tc>
          <w:tcPr>
            <w:tcW w:w="252" w:type="pct"/>
            <w:tcBorders>
              <w:right w:val="single" w:sz="8" w:space="0" w:color="auto"/>
            </w:tcBorders>
            <w:shd w:val="clear" w:color="auto" w:fill="FFFFFF" w:themeFill="background1"/>
            <w:vAlign w:val="center"/>
          </w:tcPr>
          <w:p w14:paraId="0439D2E9"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c>
          <w:tcPr>
            <w:tcW w:w="250" w:type="pct"/>
            <w:tcBorders>
              <w:left w:val="single" w:sz="8" w:space="0" w:color="auto"/>
            </w:tcBorders>
            <w:shd w:val="clear" w:color="auto" w:fill="FFFFFF" w:themeFill="background1"/>
            <w:vAlign w:val="center"/>
          </w:tcPr>
          <w:p w14:paraId="395CE1AD" w14:textId="77777777" w:rsidR="00485891" w:rsidRPr="005E07F6" w:rsidRDefault="00485891" w:rsidP="005E07F6">
            <w:pPr>
              <w:spacing w:line="240" w:lineRule="auto"/>
              <w:jc w:val="center"/>
              <w:rPr>
                <w:rFonts w:cs="Arial"/>
                <w:sz w:val="14"/>
                <w:szCs w:val="14"/>
              </w:rPr>
            </w:pPr>
            <w:r w:rsidRPr="005E07F6">
              <w:rPr>
                <w:rFonts w:cs="Arial"/>
                <w:sz w:val="14"/>
                <w:szCs w:val="14"/>
              </w:rPr>
              <w:t>-3.70</w:t>
            </w:r>
          </w:p>
        </w:tc>
        <w:tc>
          <w:tcPr>
            <w:tcW w:w="591" w:type="pct"/>
            <w:shd w:val="clear" w:color="auto" w:fill="FFFFFF" w:themeFill="background1"/>
            <w:vAlign w:val="center"/>
          </w:tcPr>
          <w:p w14:paraId="3B4A8A0E" w14:textId="77777777" w:rsidR="00485891" w:rsidRPr="005E07F6" w:rsidRDefault="00485891" w:rsidP="005E07F6">
            <w:pPr>
              <w:spacing w:line="240" w:lineRule="auto"/>
              <w:jc w:val="center"/>
              <w:rPr>
                <w:rFonts w:cs="Arial"/>
                <w:sz w:val="14"/>
                <w:szCs w:val="14"/>
              </w:rPr>
            </w:pPr>
            <w:r w:rsidRPr="005E07F6">
              <w:rPr>
                <w:rFonts w:cs="Arial"/>
                <w:sz w:val="14"/>
                <w:szCs w:val="14"/>
              </w:rPr>
              <w:t>-15.74 – 8.34</w:t>
            </w:r>
          </w:p>
        </w:tc>
        <w:tc>
          <w:tcPr>
            <w:tcW w:w="333" w:type="pct"/>
            <w:shd w:val="clear" w:color="auto" w:fill="FFFFFF" w:themeFill="background1"/>
            <w:vAlign w:val="center"/>
          </w:tcPr>
          <w:p w14:paraId="359F1D9E" w14:textId="77777777" w:rsidR="00485891" w:rsidRPr="005E07F6" w:rsidRDefault="00485891" w:rsidP="005E07F6">
            <w:pPr>
              <w:spacing w:line="240" w:lineRule="auto"/>
              <w:jc w:val="center"/>
              <w:rPr>
                <w:rFonts w:cs="Arial"/>
                <w:sz w:val="14"/>
                <w:szCs w:val="14"/>
              </w:rPr>
            </w:pPr>
            <w:r w:rsidRPr="005E07F6">
              <w:rPr>
                <w:rFonts w:cs="Arial"/>
                <w:sz w:val="14"/>
                <w:szCs w:val="14"/>
              </w:rPr>
              <w:t>0.543</w:t>
            </w:r>
          </w:p>
        </w:tc>
      </w:tr>
      <w:tr w:rsidR="005E07F6" w:rsidRPr="005E07F6" w14:paraId="25CEB936" w14:textId="77777777" w:rsidTr="00332686">
        <w:trPr>
          <w:cnfStyle w:val="000000100000" w:firstRow="0" w:lastRow="0" w:firstColumn="0" w:lastColumn="0" w:oddVBand="0" w:evenVBand="0" w:oddHBand="1" w:evenHBand="0" w:firstRowFirstColumn="0" w:firstRowLastColumn="0" w:lastRowFirstColumn="0" w:lastRowLastColumn="0"/>
        </w:trPr>
        <w:tc>
          <w:tcPr>
            <w:tcW w:w="537" w:type="pct"/>
            <w:tcBorders>
              <w:right w:val="single" w:sz="8" w:space="0" w:color="auto"/>
            </w:tcBorders>
            <w:shd w:val="clear" w:color="auto" w:fill="FFFFFF" w:themeFill="background1"/>
            <w:vAlign w:val="center"/>
          </w:tcPr>
          <w:p w14:paraId="17E9EF47" w14:textId="77777777" w:rsidR="00485891" w:rsidRPr="005E07F6" w:rsidRDefault="00485891" w:rsidP="005E07F6">
            <w:pPr>
              <w:spacing w:line="240" w:lineRule="auto"/>
              <w:rPr>
                <w:rFonts w:cs="Arial"/>
                <w:sz w:val="14"/>
                <w:szCs w:val="14"/>
              </w:rPr>
            </w:pPr>
            <w:r w:rsidRPr="005E07F6">
              <w:rPr>
                <w:rFonts w:cs="Arial"/>
                <w:sz w:val="14"/>
                <w:szCs w:val="14"/>
              </w:rPr>
              <w:t>LPS-1: T180</w:t>
            </w:r>
          </w:p>
        </w:tc>
        <w:tc>
          <w:tcPr>
            <w:tcW w:w="245" w:type="pct"/>
            <w:tcBorders>
              <w:left w:val="single" w:sz="8" w:space="0" w:color="auto"/>
            </w:tcBorders>
            <w:shd w:val="clear" w:color="auto" w:fill="FFFFFF" w:themeFill="background1"/>
            <w:vAlign w:val="center"/>
          </w:tcPr>
          <w:p w14:paraId="048D23C1" w14:textId="77777777" w:rsidR="00485891" w:rsidRPr="005E07F6" w:rsidRDefault="00485891" w:rsidP="005E07F6">
            <w:pPr>
              <w:spacing w:line="240" w:lineRule="auto"/>
              <w:jc w:val="center"/>
              <w:rPr>
                <w:rFonts w:cs="Arial"/>
                <w:sz w:val="14"/>
                <w:szCs w:val="14"/>
              </w:rPr>
            </w:pPr>
            <w:r w:rsidRPr="005E07F6">
              <w:rPr>
                <w:rFonts w:cs="Arial"/>
                <w:sz w:val="14"/>
                <w:szCs w:val="14"/>
              </w:rPr>
              <w:t>-6.35</w:t>
            </w:r>
          </w:p>
        </w:tc>
        <w:tc>
          <w:tcPr>
            <w:tcW w:w="549" w:type="pct"/>
            <w:shd w:val="clear" w:color="auto" w:fill="FFFFFF" w:themeFill="background1"/>
            <w:vAlign w:val="center"/>
          </w:tcPr>
          <w:p w14:paraId="35A155FE" w14:textId="77777777" w:rsidR="00485891" w:rsidRPr="005E07F6" w:rsidRDefault="00485891" w:rsidP="005E07F6">
            <w:pPr>
              <w:spacing w:line="240" w:lineRule="auto"/>
              <w:jc w:val="center"/>
              <w:rPr>
                <w:rFonts w:cs="Arial"/>
                <w:sz w:val="14"/>
                <w:szCs w:val="14"/>
              </w:rPr>
            </w:pPr>
            <w:r w:rsidRPr="005E07F6">
              <w:rPr>
                <w:rFonts w:cs="Arial"/>
                <w:sz w:val="14"/>
                <w:szCs w:val="14"/>
              </w:rPr>
              <w:t>-18.85 – 6.16</w:t>
            </w:r>
          </w:p>
        </w:tc>
        <w:tc>
          <w:tcPr>
            <w:tcW w:w="277" w:type="pct"/>
            <w:tcBorders>
              <w:right w:val="single" w:sz="8" w:space="0" w:color="auto"/>
            </w:tcBorders>
            <w:shd w:val="clear" w:color="auto" w:fill="FFFFFF" w:themeFill="background1"/>
            <w:vAlign w:val="center"/>
          </w:tcPr>
          <w:p w14:paraId="096CB191" w14:textId="77777777" w:rsidR="00485891" w:rsidRPr="005E07F6" w:rsidRDefault="00485891" w:rsidP="005E07F6">
            <w:pPr>
              <w:spacing w:line="240" w:lineRule="auto"/>
              <w:jc w:val="center"/>
              <w:rPr>
                <w:rFonts w:cs="Arial"/>
                <w:sz w:val="14"/>
                <w:szCs w:val="14"/>
              </w:rPr>
            </w:pPr>
            <w:r w:rsidRPr="005E07F6">
              <w:rPr>
                <w:rFonts w:cs="Arial"/>
                <w:sz w:val="14"/>
                <w:szCs w:val="14"/>
              </w:rPr>
              <w:t>0.317</w:t>
            </w:r>
          </w:p>
        </w:tc>
        <w:tc>
          <w:tcPr>
            <w:tcW w:w="249" w:type="pct"/>
            <w:tcBorders>
              <w:left w:val="single" w:sz="8" w:space="0" w:color="auto"/>
            </w:tcBorders>
            <w:shd w:val="clear" w:color="auto" w:fill="FFFFFF" w:themeFill="background1"/>
            <w:vAlign w:val="center"/>
          </w:tcPr>
          <w:p w14:paraId="29E4B54F" w14:textId="77777777" w:rsidR="00485891" w:rsidRPr="005E07F6" w:rsidRDefault="00485891" w:rsidP="005E07F6">
            <w:pPr>
              <w:spacing w:line="240" w:lineRule="auto"/>
              <w:jc w:val="center"/>
              <w:rPr>
                <w:rFonts w:cs="Arial"/>
                <w:sz w:val="14"/>
                <w:szCs w:val="14"/>
              </w:rPr>
            </w:pPr>
            <w:r w:rsidRPr="005E07F6">
              <w:rPr>
                <w:rFonts w:cs="Arial"/>
                <w:sz w:val="14"/>
                <w:szCs w:val="14"/>
              </w:rPr>
              <w:t>11.91</w:t>
            </w:r>
          </w:p>
        </w:tc>
        <w:tc>
          <w:tcPr>
            <w:tcW w:w="594" w:type="pct"/>
            <w:shd w:val="clear" w:color="auto" w:fill="FFFFFF" w:themeFill="background1"/>
            <w:vAlign w:val="center"/>
          </w:tcPr>
          <w:p w14:paraId="460C62ED" w14:textId="77777777" w:rsidR="00485891" w:rsidRPr="005E07F6" w:rsidRDefault="00485891" w:rsidP="005E07F6">
            <w:pPr>
              <w:spacing w:line="240" w:lineRule="auto"/>
              <w:jc w:val="center"/>
              <w:rPr>
                <w:rFonts w:cs="Arial"/>
                <w:sz w:val="14"/>
                <w:szCs w:val="14"/>
              </w:rPr>
            </w:pPr>
            <w:r w:rsidRPr="005E07F6">
              <w:rPr>
                <w:rFonts w:cs="Arial"/>
                <w:sz w:val="14"/>
                <w:szCs w:val="14"/>
              </w:rPr>
              <w:t>0.57 – 23.24</w:t>
            </w:r>
          </w:p>
        </w:tc>
        <w:tc>
          <w:tcPr>
            <w:tcW w:w="268" w:type="pct"/>
            <w:tcBorders>
              <w:right w:val="single" w:sz="8" w:space="0" w:color="auto"/>
            </w:tcBorders>
            <w:shd w:val="clear" w:color="auto" w:fill="FFFFFF" w:themeFill="background1"/>
            <w:vAlign w:val="center"/>
          </w:tcPr>
          <w:p w14:paraId="643C0605" w14:textId="77777777" w:rsidR="00485891" w:rsidRPr="005E07F6" w:rsidRDefault="00485891" w:rsidP="005E07F6">
            <w:pPr>
              <w:spacing w:line="240" w:lineRule="auto"/>
              <w:jc w:val="center"/>
              <w:rPr>
                <w:rFonts w:cs="Arial"/>
                <w:sz w:val="14"/>
                <w:szCs w:val="14"/>
              </w:rPr>
            </w:pPr>
            <w:r w:rsidRPr="005E07F6">
              <w:rPr>
                <w:rFonts w:cs="Arial"/>
                <w:b/>
                <w:bCs/>
                <w:sz w:val="14"/>
                <w:szCs w:val="14"/>
              </w:rPr>
              <w:t>0.040</w:t>
            </w:r>
          </w:p>
        </w:tc>
        <w:tc>
          <w:tcPr>
            <w:tcW w:w="260" w:type="pct"/>
            <w:tcBorders>
              <w:left w:val="single" w:sz="8" w:space="0" w:color="auto"/>
            </w:tcBorders>
            <w:shd w:val="clear" w:color="auto" w:fill="FFFFFF" w:themeFill="background1"/>
            <w:vAlign w:val="center"/>
          </w:tcPr>
          <w:p w14:paraId="6DBFEB8B" w14:textId="77777777" w:rsidR="00485891" w:rsidRPr="005E07F6" w:rsidRDefault="00485891" w:rsidP="005E07F6">
            <w:pPr>
              <w:spacing w:line="240" w:lineRule="auto"/>
              <w:jc w:val="center"/>
              <w:rPr>
                <w:rFonts w:cs="Arial"/>
                <w:sz w:val="14"/>
                <w:szCs w:val="14"/>
              </w:rPr>
            </w:pPr>
            <w:r w:rsidRPr="005E07F6">
              <w:rPr>
                <w:rFonts w:cs="Arial"/>
                <w:sz w:val="14"/>
                <w:szCs w:val="14"/>
              </w:rPr>
              <w:t>-4.50</w:t>
            </w:r>
          </w:p>
        </w:tc>
        <w:tc>
          <w:tcPr>
            <w:tcW w:w="595" w:type="pct"/>
            <w:shd w:val="clear" w:color="auto" w:fill="FFFFFF" w:themeFill="background1"/>
            <w:vAlign w:val="center"/>
          </w:tcPr>
          <w:p w14:paraId="76BC2BC1" w14:textId="77777777" w:rsidR="00485891" w:rsidRPr="005E07F6" w:rsidRDefault="00485891" w:rsidP="005E07F6">
            <w:pPr>
              <w:spacing w:line="240" w:lineRule="auto"/>
              <w:jc w:val="center"/>
              <w:rPr>
                <w:rFonts w:cs="Arial"/>
                <w:sz w:val="14"/>
                <w:szCs w:val="14"/>
              </w:rPr>
            </w:pPr>
            <w:r w:rsidRPr="005E07F6">
              <w:rPr>
                <w:rFonts w:cs="Arial"/>
                <w:sz w:val="14"/>
                <w:szCs w:val="14"/>
              </w:rPr>
              <w:t>-6.07 – -2.93</w:t>
            </w:r>
          </w:p>
        </w:tc>
        <w:tc>
          <w:tcPr>
            <w:tcW w:w="252" w:type="pct"/>
            <w:tcBorders>
              <w:right w:val="single" w:sz="8" w:space="0" w:color="auto"/>
            </w:tcBorders>
            <w:shd w:val="clear" w:color="auto" w:fill="FFFFFF" w:themeFill="background1"/>
            <w:vAlign w:val="center"/>
          </w:tcPr>
          <w:p w14:paraId="2BE7797C"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c>
          <w:tcPr>
            <w:tcW w:w="250" w:type="pct"/>
            <w:tcBorders>
              <w:left w:val="single" w:sz="8" w:space="0" w:color="auto"/>
            </w:tcBorders>
            <w:shd w:val="clear" w:color="auto" w:fill="FFFFFF" w:themeFill="background1"/>
            <w:vAlign w:val="center"/>
          </w:tcPr>
          <w:p w14:paraId="6A2C52F3" w14:textId="77777777" w:rsidR="00485891" w:rsidRPr="005E07F6" w:rsidRDefault="00485891" w:rsidP="005E07F6">
            <w:pPr>
              <w:spacing w:line="240" w:lineRule="auto"/>
              <w:jc w:val="center"/>
              <w:rPr>
                <w:rFonts w:cs="Arial"/>
                <w:sz w:val="14"/>
                <w:szCs w:val="14"/>
              </w:rPr>
            </w:pPr>
            <w:r w:rsidRPr="005E07F6">
              <w:rPr>
                <w:rFonts w:cs="Arial"/>
                <w:sz w:val="14"/>
                <w:szCs w:val="14"/>
              </w:rPr>
              <w:t>-5.09</w:t>
            </w:r>
          </w:p>
        </w:tc>
        <w:tc>
          <w:tcPr>
            <w:tcW w:w="591" w:type="pct"/>
            <w:shd w:val="clear" w:color="auto" w:fill="FFFFFF" w:themeFill="background1"/>
            <w:vAlign w:val="center"/>
          </w:tcPr>
          <w:p w14:paraId="41772A5D" w14:textId="77777777" w:rsidR="00485891" w:rsidRPr="005E07F6" w:rsidRDefault="00485891" w:rsidP="005E07F6">
            <w:pPr>
              <w:spacing w:line="240" w:lineRule="auto"/>
              <w:jc w:val="center"/>
              <w:rPr>
                <w:rFonts w:cs="Arial"/>
                <w:sz w:val="14"/>
                <w:szCs w:val="14"/>
              </w:rPr>
            </w:pPr>
            <w:r w:rsidRPr="005E07F6">
              <w:rPr>
                <w:rFonts w:cs="Arial"/>
                <w:sz w:val="14"/>
                <w:szCs w:val="14"/>
              </w:rPr>
              <w:t>-17.13 – 6.95</w:t>
            </w:r>
          </w:p>
        </w:tc>
        <w:tc>
          <w:tcPr>
            <w:tcW w:w="333" w:type="pct"/>
            <w:shd w:val="clear" w:color="auto" w:fill="FFFFFF" w:themeFill="background1"/>
            <w:vAlign w:val="center"/>
          </w:tcPr>
          <w:p w14:paraId="13A115D1" w14:textId="77777777" w:rsidR="00485891" w:rsidRPr="005E07F6" w:rsidRDefault="00485891" w:rsidP="005E07F6">
            <w:pPr>
              <w:spacing w:line="240" w:lineRule="auto"/>
              <w:jc w:val="center"/>
              <w:rPr>
                <w:rFonts w:cs="Arial"/>
                <w:sz w:val="14"/>
                <w:szCs w:val="14"/>
              </w:rPr>
            </w:pPr>
            <w:r w:rsidRPr="005E07F6">
              <w:rPr>
                <w:rFonts w:cs="Arial"/>
                <w:sz w:val="14"/>
                <w:szCs w:val="14"/>
              </w:rPr>
              <w:t>0.404</w:t>
            </w:r>
          </w:p>
        </w:tc>
      </w:tr>
      <w:tr w:rsidR="005E07F6" w:rsidRPr="005E07F6" w14:paraId="122415AF" w14:textId="77777777" w:rsidTr="00332686">
        <w:tc>
          <w:tcPr>
            <w:tcW w:w="537" w:type="pct"/>
            <w:tcBorders>
              <w:right w:val="single" w:sz="8" w:space="0" w:color="auto"/>
            </w:tcBorders>
            <w:shd w:val="clear" w:color="auto" w:fill="FFFFFF" w:themeFill="background1"/>
            <w:vAlign w:val="center"/>
          </w:tcPr>
          <w:p w14:paraId="06A40EA2" w14:textId="77777777" w:rsidR="00485891" w:rsidRPr="005E07F6" w:rsidRDefault="00485891" w:rsidP="005E07F6">
            <w:pPr>
              <w:spacing w:line="240" w:lineRule="auto"/>
              <w:rPr>
                <w:rFonts w:cs="Arial"/>
                <w:sz w:val="14"/>
                <w:szCs w:val="14"/>
              </w:rPr>
            </w:pPr>
            <w:r w:rsidRPr="005E07F6">
              <w:rPr>
                <w:rFonts w:cs="Arial"/>
                <w:sz w:val="14"/>
                <w:szCs w:val="14"/>
              </w:rPr>
              <w:t>LPS-2</w:t>
            </w:r>
          </w:p>
        </w:tc>
        <w:tc>
          <w:tcPr>
            <w:tcW w:w="245" w:type="pct"/>
            <w:tcBorders>
              <w:left w:val="single" w:sz="8" w:space="0" w:color="auto"/>
            </w:tcBorders>
            <w:shd w:val="clear" w:color="auto" w:fill="FFFFFF" w:themeFill="background1"/>
            <w:vAlign w:val="center"/>
          </w:tcPr>
          <w:p w14:paraId="5ED2114D" w14:textId="77777777" w:rsidR="00485891" w:rsidRPr="005E07F6" w:rsidRDefault="00485891" w:rsidP="005E07F6">
            <w:pPr>
              <w:spacing w:line="240" w:lineRule="auto"/>
              <w:jc w:val="center"/>
              <w:rPr>
                <w:rFonts w:cs="Arial"/>
                <w:sz w:val="14"/>
                <w:szCs w:val="14"/>
              </w:rPr>
            </w:pPr>
            <w:r w:rsidRPr="005E07F6">
              <w:rPr>
                <w:rFonts w:cs="Arial"/>
                <w:sz w:val="14"/>
                <w:szCs w:val="14"/>
              </w:rPr>
              <w:t>-4.50</w:t>
            </w:r>
          </w:p>
        </w:tc>
        <w:tc>
          <w:tcPr>
            <w:tcW w:w="549" w:type="pct"/>
            <w:shd w:val="clear" w:color="auto" w:fill="FFFFFF" w:themeFill="background1"/>
            <w:vAlign w:val="center"/>
          </w:tcPr>
          <w:p w14:paraId="3BEE9682" w14:textId="77777777" w:rsidR="00485891" w:rsidRPr="005E07F6" w:rsidRDefault="00485891" w:rsidP="005E07F6">
            <w:pPr>
              <w:spacing w:line="240" w:lineRule="auto"/>
              <w:jc w:val="center"/>
              <w:rPr>
                <w:rFonts w:cs="Arial"/>
                <w:sz w:val="14"/>
                <w:szCs w:val="14"/>
              </w:rPr>
            </w:pPr>
            <w:r w:rsidRPr="005E07F6">
              <w:rPr>
                <w:rFonts w:cs="Arial"/>
                <w:sz w:val="14"/>
                <w:szCs w:val="14"/>
              </w:rPr>
              <w:t>-14.68 – 5.69</w:t>
            </w:r>
          </w:p>
        </w:tc>
        <w:tc>
          <w:tcPr>
            <w:tcW w:w="277" w:type="pct"/>
            <w:tcBorders>
              <w:right w:val="single" w:sz="8" w:space="0" w:color="auto"/>
            </w:tcBorders>
            <w:shd w:val="clear" w:color="auto" w:fill="FFFFFF" w:themeFill="background1"/>
            <w:vAlign w:val="center"/>
          </w:tcPr>
          <w:p w14:paraId="4B10C368" w14:textId="77777777" w:rsidR="00485891" w:rsidRPr="005E07F6" w:rsidRDefault="00485891" w:rsidP="005E07F6">
            <w:pPr>
              <w:spacing w:line="240" w:lineRule="auto"/>
              <w:jc w:val="center"/>
              <w:rPr>
                <w:rFonts w:cs="Arial"/>
                <w:sz w:val="14"/>
                <w:szCs w:val="14"/>
              </w:rPr>
            </w:pPr>
            <w:r w:rsidRPr="005E07F6">
              <w:rPr>
                <w:rFonts w:cs="Arial"/>
                <w:sz w:val="14"/>
                <w:szCs w:val="14"/>
              </w:rPr>
              <w:t>0.383</w:t>
            </w:r>
          </w:p>
        </w:tc>
        <w:tc>
          <w:tcPr>
            <w:tcW w:w="249" w:type="pct"/>
            <w:tcBorders>
              <w:left w:val="single" w:sz="8" w:space="0" w:color="auto"/>
            </w:tcBorders>
            <w:shd w:val="clear" w:color="auto" w:fill="FFFFFF" w:themeFill="background1"/>
            <w:vAlign w:val="center"/>
          </w:tcPr>
          <w:p w14:paraId="5D253FE0" w14:textId="77777777" w:rsidR="00485891" w:rsidRPr="005E07F6" w:rsidRDefault="00485891" w:rsidP="005E07F6">
            <w:pPr>
              <w:spacing w:line="240" w:lineRule="auto"/>
              <w:jc w:val="center"/>
              <w:rPr>
                <w:rFonts w:cs="Arial"/>
                <w:sz w:val="14"/>
                <w:szCs w:val="14"/>
              </w:rPr>
            </w:pPr>
            <w:r w:rsidRPr="005E07F6">
              <w:rPr>
                <w:rFonts w:cs="Arial"/>
                <w:sz w:val="14"/>
                <w:szCs w:val="14"/>
              </w:rPr>
              <w:t>-1.17</w:t>
            </w:r>
          </w:p>
        </w:tc>
        <w:tc>
          <w:tcPr>
            <w:tcW w:w="594" w:type="pct"/>
            <w:shd w:val="clear" w:color="auto" w:fill="FFFFFF" w:themeFill="background1"/>
            <w:vAlign w:val="center"/>
          </w:tcPr>
          <w:p w14:paraId="79105F12" w14:textId="77777777" w:rsidR="00485891" w:rsidRPr="005E07F6" w:rsidRDefault="00485891" w:rsidP="005E07F6">
            <w:pPr>
              <w:spacing w:line="240" w:lineRule="auto"/>
              <w:jc w:val="center"/>
              <w:rPr>
                <w:rFonts w:cs="Arial"/>
                <w:sz w:val="14"/>
                <w:szCs w:val="14"/>
              </w:rPr>
            </w:pPr>
            <w:r w:rsidRPr="005E07F6">
              <w:rPr>
                <w:rFonts w:cs="Arial"/>
                <w:sz w:val="14"/>
                <w:szCs w:val="14"/>
              </w:rPr>
              <w:t>-11.38 – 9.03</w:t>
            </w:r>
          </w:p>
        </w:tc>
        <w:tc>
          <w:tcPr>
            <w:tcW w:w="268" w:type="pct"/>
            <w:tcBorders>
              <w:right w:val="single" w:sz="8" w:space="0" w:color="auto"/>
            </w:tcBorders>
            <w:shd w:val="clear" w:color="auto" w:fill="FFFFFF" w:themeFill="background1"/>
            <w:vAlign w:val="center"/>
          </w:tcPr>
          <w:p w14:paraId="041C288F" w14:textId="77777777" w:rsidR="00485891" w:rsidRPr="005E07F6" w:rsidRDefault="00485891" w:rsidP="005E07F6">
            <w:pPr>
              <w:spacing w:line="240" w:lineRule="auto"/>
              <w:jc w:val="center"/>
              <w:rPr>
                <w:rFonts w:cs="Arial"/>
                <w:sz w:val="14"/>
                <w:szCs w:val="14"/>
              </w:rPr>
            </w:pPr>
            <w:r w:rsidRPr="005E07F6">
              <w:rPr>
                <w:rFonts w:cs="Arial"/>
                <w:sz w:val="14"/>
                <w:szCs w:val="14"/>
              </w:rPr>
              <w:t>0.820</w:t>
            </w:r>
          </w:p>
        </w:tc>
        <w:tc>
          <w:tcPr>
            <w:tcW w:w="260" w:type="pct"/>
            <w:tcBorders>
              <w:left w:val="single" w:sz="8" w:space="0" w:color="auto"/>
            </w:tcBorders>
            <w:shd w:val="clear" w:color="auto" w:fill="FFFFFF" w:themeFill="background1"/>
            <w:vAlign w:val="center"/>
          </w:tcPr>
          <w:p w14:paraId="474CA288" w14:textId="77777777" w:rsidR="00485891" w:rsidRPr="005E07F6" w:rsidRDefault="00485891" w:rsidP="005E07F6">
            <w:pPr>
              <w:spacing w:line="240" w:lineRule="auto"/>
              <w:jc w:val="center"/>
              <w:rPr>
                <w:rFonts w:cs="Arial"/>
                <w:sz w:val="14"/>
                <w:szCs w:val="14"/>
              </w:rPr>
            </w:pPr>
            <w:r w:rsidRPr="005E07F6">
              <w:rPr>
                <w:rFonts w:cs="Arial"/>
                <w:sz w:val="14"/>
                <w:szCs w:val="14"/>
              </w:rPr>
              <w:t>-1.39</w:t>
            </w:r>
          </w:p>
        </w:tc>
        <w:tc>
          <w:tcPr>
            <w:tcW w:w="595" w:type="pct"/>
            <w:shd w:val="clear" w:color="auto" w:fill="FFFFFF" w:themeFill="background1"/>
            <w:vAlign w:val="center"/>
          </w:tcPr>
          <w:p w14:paraId="6204182A" w14:textId="77777777" w:rsidR="00485891" w:rsidRPr="005E07F6" w:rsidRDefault="00485891" w:rsidP="005E07F6">
            <w:pPr>
              <w:spacing w:line="240" w:lineRule="auto"/>
              <w:jc w:val="center"/>
              <w:rPr>
                <w:rFonts w:cs="Arial"/>
                <w:sz w:val="14"/>
                <w:szCs w:val="14"/>
              </w:rPr>
            </w:pPr>
            <w:r w:rsidRPr="005E07F6">
              <w:rPr>
                <w:rFonts w:cs="Arial"/>
                <w:sz w:val="14"/>
                <w:szCs w:val="14"/>
              </w:rPr>
              <w:t>-2.98 – 0.21</w:t>
            </w:r>
          </w:p>
        </w:tc>
        <w:tc>
          <w:tcPr>
            <w:tcW w:w="252" w:type="pct"/>
            <w:tcBorders>
              <w:right w:val="single" w:sz="8" w:space="0" w:color="auto"/>
            </w:tcBorders>
            <w:shd w:val="clear" w:color="auto" w:fill="FFFFFF" w:themeFill="background1"/>
            <w:vAlign w:val="center"/>
          </w:tcPr>
          <w:p w14:paraId="521FFE84" w14:textId="77777777" w:rsidR="00485891" w:rsidRPr="005E07F6" w:rsidRDefault="00485891" w:rsidP="005E07F6">
            <w:pPr>
              <w:spacing w:line="240" w:lineRule="auto"/>
              <w:jc w:val="center"/>
              <w:rPr>
                <w:rFonts w:cs="Arial"/>
                <w:sz w:val="14"/>
                <w:szCs w:val="14"/>
              </w:rPr>
            </w:pPr>
            <w:r w:rsidRPr="005E07F6">
              <w:rPr>
                <w:rFonts w:cs="Arial"/>
                <w:sz w:val="14"/>
                <w:szCs w:val="14"/>
              </w:rPr>
              <w:t>0.088</w:t>
            </w:r>
          </w:p>
        </w:tc>
        <w:tc>
          <w:tcPr>
            <w:tcW w:w="250" w:type="pct"/>
            <w:tcBorders>
              <w:left w:val="single" w:sz="8" w:space="0" w:color="auto"/>
            </w:tcBorders>
            <w:shd w:val="clear" w:color="auto" w:fill="FFFFFF" w:themeFill="background1"/>
            <w:vAlign w:val="center"/>
          </w:tcPr>
          <w:p w14:paraId="3073E013" w14:textId="77777777" w:rsidR="00485891" w:rsidRPr="005E07F6" w:rsidRDefault="00485891" w:rsidP="005E07F6">
            <w:pPr>
              <w:spacing w:line="240" w:lineRule="auto"/>
              <w:jc w:val="center"/>
              <w:rPr>
                <w:rFonts w:cs="Arial"/>
                <w:sz w:val="14"/>
                <w:szCs w:val="14"/>
              </w:rPr>
            </w:pPr>
            <w:r w:rsidRPr="005E07F6">
              <w:rPr>
                <w:rFonts w:cs="Arial"/>
                <w:sz w:val="14"/>
                <w:szCs w:val="14"/>
              </w:rPr>
              <w:t>5.05</w:t>
            </w:r>
          </w:p>
        </w:tc>
        <w:tc>
          <w:tcPr>
            <w:tcW w:w="591" w:type="pct"/>
            <w:shd w:val="clear" w:color="auto" w:fill="FFFFFF" w:themeFill="background1"/>
            <w:vAlign w:val="center"/>
          </w:tcPr>
          <w:p w14:paraId="686815BD" w14:textId="77777777" w:rsidR="00485891" w:rsidRPr="005E07F6" w:rsidRDefault="00485891" w:rsidP="005E07F6">
            <w:pPr>
              <w:spacing w:line="240" w:lineRule="auto"/>
              <w:jc w:val="center"/>
              <w:rPr>
                <w:rFonts w:cs="Arial"/>
                <w:sz w:val="14"/>
                <w:szCs w:val="14"/>
              </w:rPr>
            </w:pPr>
            <w:r w:rsidRPr="005E07F6">
              <w:rPr>
                <w:rFonts w:cs="Arial"/>
                <w:sz w:val="14"/>
                <w:szCs w:val="14"/>
              </w:rPr>
              <w:t>-50.23 – 60.32</w:t>
            </w:r>
          </w:p>
        </w:tc>
        <w:tc>
          <w:tcPr>
            <w:tcW w:w="333" w:type="pct"/>
            <w:shd w:val="clear" w:color="auto" w:fill="FFFFFF" w:themeFill="background1"/>
            <w:vAlign w:val="center"/>
          </w:tcPr>
          <w:p w14:paraId="7C16CF85" w14:textId="77777777" w:rsidR="00485891" w:rsidRPr="005E07F6" w:rsidRDefault="00485891" w:rsidP="005E07F6">
            <w:pPr>
              <w:spacing w:line="240" w:lineRule="auto"/>
              <w:jc w:val="center"/>
              <w:rPr>
                <w:rFonts w:cs="Arial"/>
                <w:sz w:val="14"/>
                <w:szCs w:val="14"/>
              </w:rPr>
            </w:pPr>
            <w:r w:rsidRPr="005E07F6">
              <w:rPr>
                <w:rFonts w:cs="Arial"/>
                <w:sz w:val="14"/>
                <w:szCs w:val="14"/>
              </w:rPr>
              <w:t>0.857</w:t>
            </w:r>
          </w:p>
        </w:tc>
      </w:tr>
      <w:tr w:rsidR="005E07F6" w:rsidRPr="005E07F6" w14:paraId="52971E5C" w14:textId="77777777" w:rsidTr="00332686">
        <w:trPr>
          <w:cnfStyle w:val="000000100000" w:firstRow="0" w:lastRow="0" w:firstColumn="0" w:lastColumn="0" w:oddVBand="0" w:evenVBand="0" w:oddHBand="1" w:evenHBand="0" w:firstRowFirstColumn="0" w:firstRowLastColumn="0" w:lastRowFirstColumn="0" w:lastRowLastColumn="0"/>
        </w:trPr>
        <w:tc>
          <w:tcPr>
            <w:tcW w:w="537" w:type="pct"/>
            <w:tcBorders>
              <w:right w:val="single" w:sz="8" w:space="0" w:color="auto"/>
            </w:tcBorders>
            <w:shd w:val="clear" w:color="auto" w:fill="FFFFFF" w:themeFill="background1"/>
            <w:vAlign w:val="center"/>
          </w:tcPr>
          <w:p w14:paraId="0D609180" w14:textId="77777777" w:rsidR="00485891" w:rsidRPr="005E07F6" w:rsidRDefault="00485891" w:rsidP="005E07F6">
            <w:pPr>
              <w:spacing w:line="240" w:lineRule="auto"/>
              <w:rPr>
                <w:rFonts w:cs="Arial"/>
                <w:sz w:val="14"/>
                <w:szCs w:val="14"/>
              </w:rPr>
            </w:pPr>
            <w:r w:rsidRPr="005E07F6">
              <w:rPr>
                <w:rFonts w:cs="Arial"/>
                <w:sz w:val="14"/>
                <w:szCs w:val="14"/>
              </w:rPr>
              <w:t>LPS-2: T060</w:t>
            </w:r>
          </w:p>
        </w:tc>
        <w:tc>
          <w:tcPr>
            <w:tcW w:w="245" w:type="pct"/>
            <w:tcBorders>
              <w:left w:val="single" w:sz="8" w:space="0" w:color="auto"/>
            </w:tcBorders>
            <w:shd w:val="clear" w:color="auto" w:fill="FFFFFF" w:themeFill="background1"/>
            <w:vAlign w:val="center"/>
          </w:tcPr>
          <w:p w14:paraId="4CBA9472" w14:textId="77777777" w:rsidR="00485891" w:rsidRPr="005E07F6" w:rsidRDefault="00485891" w:rsidP="005E07F6">
            <w:pPr>
              <w:spacing w:line="240" w:lineRule="auto"/>
              <w:jc w:val="center"/>
              <w:rPr>
                <w:rFonts w:cs="Arial"/>
                <w:sz w:val="14"/>
                <w:szCs w:val="14"/>
              </w:rPr>
            </w:pPr>
            <w:r w:rsidRPr="005E07F6">
              <w:rPr>
                <w:rFonts w:cs="Arial"/>
                <w:sz w:val="14"/>
                <w:szCs w:val="14"/>
              </w:rPr>
              <w:t>10.62</w:t>
            </w:r>
          </w:p>
        </w:tc>
        <w:tc>
          <w:tcPr>
            <w:tcW w:w="549" w:type="pct"/>
            <w:shd w:val="clear" w:color="auto" w:fill="FFFFFF" w:themeFill="background1"/>
            <w:vAlign w:val="center"/>
          </w:tcPr>
          <w:p w14:paraId="2CDDB50E" w14:textId="77777777" w:rsidR="00485891" w:rsidRPr="005E07F6" w:rsidRDefault="00485891" w:rsidP="005E07F6">
            <w:pPr>
              <w:spacing w:line="240" w:lineRule="auto"/>
              <w:jc w:val="center"/>
              <w:rPr>
                <w:rFonts w:cs="Arial"/>
                <w:sz w:val="14"/>
                <w:szCs w:val="14"/>
              </w:rPr>
            </w:pPr>
            <w:r w:rsidRPr="005E07F6">
              <w:rPr>
                <w:rFonts w:cs="Arial"/>
                <w:sz w:val="14"/>
                <w:szCs w:val="14"/>
              </w:rPr>
              <w:t>-1.88 – 23.13</w:t>
            </w:r>
          </w:p>
        </w:tc>
        <w:tc>
          <w:tcPr>
            <w:tcW w:w="277" w:type="pct"/>
            <w:tcBorders>
              <w:right w:val="single" w:sz="8" w:space="0" w:color="auto"/>
            </w:tcBorders>
            <w:shd w:val="clear" w:color="auto" w:fill="FFFFFF" w:themeFill="background1"/>
            <w:vAlign w:val="center"/>
          </w:tcPr>
          <w:p w14:paraId="5077932E" w14:textId="77777777" w:rsidR="00485891" w:rsidRPr="005E07F6" w:rsidRDefault="00485891" w:rsidP="005E07F6">
            <w:pPr>
              <w:spacing w:line="240" w:lineRule="auto"/>
              <w:jc w:val="center"/>
              <w:rPr>
                <w:rFonts w:cs="Arial"/>
                <w:sz w:val="14"/>
                <w:szCs w:val="14"/>
              </w:rPr>
            </w:pPr>
            <w:r w:rsidRPr="005E07F6">
              <w:rPr>
                <w:rFonts w:cs="Arial"/>
                <w:sz w:val="14"/>
                <w:szCs w:val="14"/>
              </w:rPr>
              <w:t>0.095</w:t>
            </w:r>
          </w:p>
        </w:tc>
        <w:tc>
          <w:tcPr>
            <w:tcW w:w="249" w:type="pct"/>
            <w:tcBorders>
              <w:left w:val="single" w:sz="8" w:space="0" w:color="auto"/>
            </w:tcBorders>
            <w:shd w:val="clear" w:color="auto" w:fill="FFFFFF" w:themeFill="background1"/>
            <w:vAlign w:val="center"/>
          </w:tcPr>
          <w:p w14:paraId="1656354A" w14:textId="77777777" w:rsidR="00485891" w:rsidRPr="005E07F6" w:rsidRDefault="00485891" w:rsidP="005E07F6">
            <w:pPr>
              <w:spacing w:line="240" w:lineRule="auto"/>
              <w:jc w:val="center"/>
              <w:rPr>
                <w:rFonts w:cs="Arial"/>
                <w:sz w:val="14"/>
                <w:szCs w:val="14"/>
              </w:rPr>
            </w:pPr>
            <w:r w:rsidRPr="005E07F6">
              <w:rPr>
                <w:rFonts w:cs="Arial"/>
                <w:sz w:val="14"/>
                <w:szCs w:val="14"/>
              </w:rPr>
              <w:t>6.20</w:t>
            </w:r>
          </w:p>
        </w:tc>
        <w:tc>
          <w:tcPr>
            <w:tcW w:w="594" w:type="pct"/>
            <w:shd w:val="clear" w:color="auto" w:fill="FFFFFF" w:themeFill="background1"/>
            <w:vAlign w:val="center"/>
          </w:tcPr>
          <w:p w14:paraId="044708BD" w14:textId="77777777" w:rsidR="00485891" w:rsidRPr="005E07F6" w:rsidRDefault="00485891" w:rsidP="005E07F6">
            <w:pPr>
              <w:spacing w:line="240" w:lineRule="auto"/>
              <w:jc w:val="center"/>
              <w:rPr>
                <w:rFonts w:cs="Arial"/>
                <w:sz w:val="14"/>
                <w:szCs w:val="14"/>
              </w:rPr>
            </w:pPr>
            <w:r w:rsidRPr="005E07F6">
              <w:rPr>
                <w:rFonts w:cs="Arial"/>
                <w:sz w:val="14"/>
                <w:szCs w:val="14"/>
              </w:rPr>
              <w:t>-5.13 – 17.54</w:t>
            </w:r>
          </w:p>
        </w:tc>
        <w:tc>
          <w:tcPr>
            <w:tcW w:w="268" w:type="pct"/>
            <w:tcBorders>
              <w:right w:val="single" w:sz="8" w:space="0" w:color="auto"/>
            </w:tcBorders>
            <w:shd w:val="clear" w:color="auto" w:fill="FFFFFF" w:themeFill="background1"/>
            <w:vAlign w:val="center"/>
          </w:tcPr>
          <w:p w14:paraId="3426FE9F" w14:textId="77777777" w:rsidR="00485891" w:rsidRPr="005E07F6" w:rsidRDefault="00485891" w:rsidP="005E07F6">
            <w:pPr>
              <w:spacing w:line="240" w:lineRule="auto"/>
              <w:jc w:val="center"/>
              <w:rPr>
                <w:rFonts w:cs="Arial"/>
                <w:sz w:val="14"/>
                <w:szCs w:val="14"/>
              </w:rPr>
            </w:pPr>
            <w:r w:rsidRPr="005E07F6">
              <w:rPr>
                <w:rFonts w:cs="Arial"/>
                <w:sz w:val="14"/>
                <w:szCs w:val="14"/>
              </w:rPr>
              <w:t>0.280</w:t>
            </w:r>
          </w:p>
        </w:tc>
        <w:tc>
          <w:tcPr>
            <w:tcW w:w="260" w:type="pct"/>
            <w:tcBorders>
              <w:left w:val="single" w:sz="8" w:space="0" w:color="auto"/>
            </w:tcBorders>
            <w:shd w:val="clear" w:color="auto" w:fill="FFFFFF" w:themeFill="background1"/>
            <w:vAlign w:val="center"/>
          </w:tcPr>
          <w:p w14:paraId="5702E9EF" w14:textId="77777777" w:rsidR="00485891" w:rsidRPr="005E07F6" w:rsidRDefault="00485891" w:rsidP="005E07F6">
            <w:pPr>
              <w:spacing w:line="240" w:lineRule="auto"/>
              <w:jc w:val="center"/>
              <w:rPr>
                <w:rFonts w:cs="Arial"/>
                <w:sz w:val="14"/>
                <w:szCs w:val="14"/>
              </w:rPr>
            </w:pPr>
            <w:r w:rsidRPr="005E07F6">
              <w:rPr>
                <w:rFonts w:cs="Arial"/>
                <w:sz w:val="14"/>
                <w:szCs w:val="14"/>
              </w:rPr>
              <w:t>-0.97</w:t>
            </w:r>
          </w:p>
        </w:tc>
        <w:tc>
          <w:tcPr>
            <w:tcW w:w="595" w:type="pct"/>
            <w:shd w:val="clear" w:color="auto" w:fill="FFFFFF" w:themeFill="background1"/>
            <w:vAlign w:val="center"/>
          </w:tcPr>
          <w:p w14:paraId="25D55D4D" w14:textId="77777777" w:rsidR="00485891" w:rsidRPr="005E07F6" w:rsidRDefault="00485891" w:rsidP="005E07F6">
            <w:pPr>
              <w:spacing w:line="240" w:lineRule="auto"/>
              <w:jc w:val="center"/>
              <w:rPr>
                <w:rFonts w:cs="Arial"/>
                <w:sz w:val="14"/>
                <w:szCs w:val="14"/>
              </w:rPr>
            </w:pPr>
            <w:r w:rsidRPr="005E07F6">
              <w:rPr>
                <w:rFonts w:cs="Arial"/>
                <w:sz w:val="14"/>
                <w:szCs w:val="14"/>
              </w:rPr>
              <w:t>-2.54 – 0.60</w:t>
            </w:r>
          </w:p>
        </w:tc>
        <w:tc>
          <w:tcPr>
            <w:tcW w:w="252" w:type="pct"/>
            <w:tcBorders>
              <w:right w:val="single" w:sz="8" w:space="0" w:color="auto"/>
            </w:tcBorders>
            <w:shd w:val="clear" w:color="auto" w:fill="FFFFFF" w:themeFill="background1"/>
            <w:vAlign w:val="center"/>
          </w:tcPr>
          <w:p w14:paraId="056926E5" w14:textId="77777777" w:rsidR="00485891" w:rsidRPr="005E07F6" w:rsidRDefault="00485891" w:rsidP="005E07F6">
            <w:pPr>
              <w:spacing w:line="240" w:lineRule="auto"/>
              <w:jc w:val="center"/>
              <w:rPr>
                <w:rFonts w:cs="Arial"/>
                <w:sz w:val="14"/>
                <w:szCs w:val="14"/>
              </w:rPr>
            </w:pPr>
            <w:r w:rsidRPr="005E07F6">
              <w:rPr>
                <w:rFonts w:cs="Arial"/>
                <w:sz w:val="14"/>
                <w:szCs w:val="14"/>
              </w:rPr>
              <w:t>0.224</w:t>
            </w:r>
          </w:p>
        </w:tc>
        <w:tc>
          <w:tcPr>
            <w:tcW w:w="250" w:type="pct"/>
            <w:tcBorders>
              <w:left w:val="single" w:sz="8" w:space="0" w:color="auto"/>
            </w:tcBorders>
            <w:shd w:val="clear" w:color="auto" w:fill="FFFFFF" w:themeFill="background1"/>
            <w:vAlign w:val="center"/>
          </w:tcPr>
          <w:p w14:paraId="2E05E374" w14:textId="77777777" w:rsidR="00485891" w:rsidRPr="005E07F6" w:rsidRDefault="00485891" w:rsidP="005E07F6">
            <w:pPr>
              <w:spacing w:line="240" w:lineRule="auto"/>
              <w:jc w:val="center"/>
              <w:rPr>
                <w:rFonts w:cs="Arial"/>
                <w:sz w:val="14"/>
                <w:szCs w:val="14"/>
              </w:rPr>
            </w:pPr>
            <w:r w:rsidRPr="005E07F6">
              <w:rPr>
                <w:rFonts w:cs="Arial"/>
                <w:sz w:val="14"/>
                <w:szCs w:val="14"/>
              </w:rPr>
              <w:t>2.61</w:t>
            </w:r>
          </w:p>
        </w:tc>
        <w:tc>
          <w:tcPr>
            <w:tcW w:w="591" w:type="pct"/>
            <w:shd w:val="clear" w:color="auto" w:fill="FFFFFF" w:themeFill="background1"/>
            <w:vAlign w:val="center"/>
          </w:tcPr>
          <w:p w14:paraId="32F39ED3" w14:textId="77777777" w:rsidR="00485891" w:rsidRPr="005E07F6" w:rsidRDefault="00485891" w:rsidP="005E07F6">
            <w:pPr>
              <w:spacing w:line="240" w:lineRule="auto"/>
              <w:jc w:val="center"/>
              <w:rPr>
                <w:rFonts w:cs="Arial"/>
                <w:sz w:val="14"/>
                <w:szCs w:val="14"/>
              </w:rPr>
            </w:pPr>
            <w:r w:rsidRPr="005E07F6">
              <w:rPr>
                <w:rFonts w:cs="Arial"/>
                <w:sz w:val="14"/>
                <w:szCs w:val="14"/>
              </w:rPr>
              <w:t>-9.43 – 14.65</w:t>
            </w:r>
          </w:p>
        </w:tc>
        <w:tc>
          <w:tcPr>
            <w:tcW w:w="333" w:type="pct"/>
            <w:shd w:val="clear" w:color="auto" w:fill="FFFFFF" w:themeFill="background1"/>
            <w:vAlign w:val="center"/>
          </w:tcPr>
          <w:p w14:paraId="4720DBA5" w14:textId="77777777" w:rsidR="00485891" w:rsidRPr="005E07F6" w:rsidRDefault="00485891" w:rsidP="005E07F6">
            <w:pPr>
              <w:spacing w:line="240" w:lineRule="auto"/>
              <w:jc w:val="center"/>
              <w:rPr>
                <w:rFonts w:cs="Arial"/>
                <w:sz w:val="14"/>
                <w:szCs w:val="14"/>
              </w:rPr>
            </w:pPr>
            <w:r w:rsidRPr="005E07F6">
              <w:rPr>
                <w:rFonts w:cs="Arial"/>
                <w:sz w:val="14"/>
                <w:szCs w:val="14"/>
              </w:rPr>
              <w:t>0.668</w:t>
            </w:r>
          </w:p>
        </w:tc>
      </w:tr>
      <w:tr w:rsidR="005E07F6" w:rsidRPr="005E07F6" w14:paraId="17A92044" w14:textId="77777777" w:rsidTr="00332686">
        <w:tc>
          <w:tcPr>
            <w:tcW w:w="537" w:type="pct"/>
            <w:tcBorders>
              <w:right w:val="single" w:sz="8" w:space="0" w:color="auto"/>
            </w:tcBorders>
            <w:shd w:val="clear" w:color="auto" w:fill="FFFFFF" w:themeFill="background1"/>
            <w:vAlign w:val="center"/>
          </w:tcPr>
          <w:p w14:paraId="0A748BF6" w14:textId="77777777" w:rsidR="00485891" w:rsidRPr="005E07F6" w:rsidRDefault="00485891" w:rsidP="005E07F6">
            <w:pPr>
              <w:spacing w:line="240" w:lineRule="auto"/>
              <w:rPr>
                <w:rFonts w:cs="Arial"/>
                <w:sz w:val="14"/>
                <w:szCs w:val="14"/>
              </w:rPr>
            </w:pPr>
            <w:r w:rsidRPr="005E07F6">
              <w:rPr>
                <w:rFonts w:cs="Arial"/>
                <w:sz w:val="14"/>
                <w:szCs w:val="14"/>
              </w:rPr>
              <w:t>LPS-2: T120</w:t>
            </w:r>
          </w:p>
        </w:tc>
        <w:tc>
          <w:tcPr>
            <w:tcW w:w="245" w:type="pct"/>
            <w:tcBorders>
              <w:left w:val="single" w:sz="8" w:space="0" w:color="auto"/>
            </w:tcBorders>
            <w:shd w:val="clear" w:color="auto" w:fill="FFFFFF" w:themeFill="background1"/>
            <w:vAlign w:val="center"/>
          </w:tcPr>
          <w:p w14:paraId="342A1C5B" w14:textId="77777777" w:rsidR="00485891" w:rsidRPr="005E07F6" w:rsidRDefault="00485891" w:rsidP="005E07F6">
            <w:pPr>
              <w:spacing w:line="240" w:lineRule="auto"/>
              <w:jc w:val="center"/>
              <w:rPr>
                <w:rFonts w:cs="Arial"/>
                <w:sz w:val="14"/>
                <w:szCs w:val="14"/>
              </w:rPr>
            </w:pPr>
            <w:r w:rsidRPr="005E07F6">
              <w:rPr>
                <w:rFonts w:cs="Arial"/>
                <w:sz w:val="14"/>
                <w:szCs w:val="14"/>
              </w:rPr>
              <w:t>-18.99</w:t>
            </w:r>
          </w:p>
        </w:tc>
        <w:tc>
          <w:tcPr>
            <w:tcW w:w="549" w:type="pct"/>
            <w:shd w:val="clear" w:color="auto" w:fill="FFFFFF" w:themeFill="background1"/>
            <w:vAlign w:val="center"/>
          </w:tcPr>
          <w:p w14:paraId="4E8EAD8B" w14:textId="77777777" w:rsidR="00485891" w:rsidRPr="005E07F6" w:rsidRDefault="00485891" w:rsidP="005E07F6">
            <w:pPr>
              <w:spacing w:line="240" w:lineRule="auto"/>
              <w:jc w:val="center"/>
              <w:rPr>
                <w:rFonts w:cs="Arial"/>
                <w:sz w:val="14"/>
                <w:szCs w:val="14"/>
              </w:rPr>
            </w:pPr>
            <w:r w:rsidRPr="005E07F6">
              <w:rPr>
                <w:rFonts w:cs="Arial"/>
                <w:sz w:val="14"/>
                <w:szCs w:val="14"/>
              </w:rPr>
              <w:t>-31.50 – -6.48</w:t>
            </w:r>
          </w:p>
        </w:tc>
        <w:tc>
          <w:tcPr>
            <w:tcW w:w="277" w:type="pct"/>
            <w:tcBorders>
              <w:right w:val="single" w:sz="8" w:space="0" w:color="auto"/>
            </w:tcBorders>
            <w:shd w:val="clear" w:color="auto" w:fill="FFFFFF" w:themeFill="background1"/>
            <w:vAlign w:val="center"/>
          </w:tcPr>
          <w:p w14:paraId="52A48935" w14:textId="77777777" w:rsidR="00485891" w:rsidRPr="005E07F6" w:rsidRDefault="00485891" w:rsidP="005E07F6">
            <w:pPr>
              <w:spacing w:line="240" w:lineRule="auto"/>
              <w:jc w:val="center"/>
              <w:rPr>
                <w:rFonts w:cs="Arial"/>
                <w:sz w:val="14"/>
                <w:szCs w:val="14"/>
              </w:rPr>
            </w:pPr>
            <w:r w:rsidRPr="005E07F6">
              <w:rPr>
                <w:rFonts w:cs="Arial"/>
                <w:b/>
                <w:bCs/>
                <w:sz w:val="14"/>
                <w:szCs w:val="14"/>
              </w:rPr>
              <w:t>0.003</w:t>
            </w:r>
          </w:p>
        </w:tc>
        <w:tc>
          <w:tcPr>
            <w:tcW w:w="249" w:type="pct"/>
            <w:tcBorders>
              <w:left w:val="single" w:sz="8" w:space="0" w:color="auto"/>
            </w:tcBorders>
            <w:shd w:val="clear" w:color="auto" w:fill="FFFFFF" w:themeFill="background1"/>
            <w:vAlign w:val="center"/>
          </w:tcPr>
          <w:p w14:paraId="0D309CAF" w14:textId="77777777" w:rsidR="00485891" w:rsidRPr="005E07F6" w:rsidRDefault="00485891" w:rsidP="005E07F6">
            <w:pPr>
              <w:spacing w:line="240" w:lineRule="auto"/>
              <w:jc w:val="center"/>
              <w:rPr>
                <w:rFonts w:cs="Arial"/>
                <w:sz w:val="14"/>
                <w:szCs w:val="14"/>
              </w:rPr>
            </w:pPr>
            <w:r w:rsidRPr="005E07F6">
              <w:rPr>
                <w:rFonts w:cs="Arial"/>
                <w:sz w:val="14"/>
                <w:szCs w:val="14"/>
              </w:rPr>
              <w:t>10.61</w:t>
            </w:r>
          </w:p>
        </w:tc>
        <w:tc>
          <w:tcPr>
            <w:tcW w:w="594" w:type="pct"/>
            <w:shd w:val="clear" w:color="auto" w:fill="FFFFFF" w:themeFill="background1"/>
            <w:vAlign w:val="center"/>
          </w:tcPr>
          <w:p w14:paraId="1CF7A4AB" w14:textId="77777777" w:rsidR="00485891" w:rsidRPr="005E07F6" w:rsidRDefault="00485891" w:rsidP="005E07F6">
            <w:pPr>
              <w:spacing w:line="240" w:lineRule="auto"/>
              <w:jc w:val="center"/>
              <w:rPr>
                <w:rFonts w:cs="Arial"/>
                <w:sz w:val="14"/>
                <w:szCs w:val="14"/>
              </w:rPr>
            </w:pPr>
            <w:r w:rsidRPr="005E07F6">
              <w:rPr>
                <w:rFonts w:cs="Arial"/>
                <w:sz w:val="14"/>
                <w:szCs w:val="14"/>
              </w:rPr>
              <w:t>-0.72 – 21.94</w:t>
            </w:r>
          </w:p>
        </w:tc>
        <w:tc>
          <w:tcPr>
            <w:tcW w:w="268" w:type="pct"/>
            <w:tcBorders>
              <w:right w:val="single" w:sz="8" w:space="0" w:color="auto"/>
            </w:tcBorders>
            <w:shd w:val="clear" w:color="auto" w:fill="FFFFFF" w:themeFill="background1"/>
            <w:vAlign w:val="center"/>
          </w:tcPr>
          <w:p w14:paraId="6374E559" w14:textId="77777777" w:rsidR="00485891" w:rsidRPr="005E07F6" w:rsidRDefault="00485891" w:rsidP="005E07F6">
            <w:pPr>
              <w:spacing w:line="240" w:lineRule="auto"/>
              <w:jc w:val="center"/>
              <w:rPr>
                <w:rFonts w:cs="Arial"/>
                <w:sz w:val="14"/>
                <w:szCs w:val="14"/>
              </w:rPr>
            </w:pPr>
            <w:r w:rsidRPr="005E07F6">
              <w:rPr>
                <w:rFonts w:cs="Arial"/>
                <w:sz w:val="14"/>
                <w:szCs w:val="14"/>
              </w:rPr>
              <w:t>0.066</w:t>
            </w:r>
          </w:p>
        </w:tc>
        <w:tc>
          <w:tcPr>
            <w:tcW w:w="260" w:type="pct"/>
            <w:tcBorders>
              <w:left w:val="single" w:sz="8" w:space="0" w:color="auto"/>
            </w:tcBorders>
            <w:shd w:val="clear" w:color="auto" w:fill="FFFFFF" w:themeFill="background1"/>
            <w:vAlign w:val="center"/>
          </w:tcPr>
          <w:p w14:paraId="168F6E23" w14:textId="77777777" w:rsidR="00485891" w:rsidRPr="005E07F6" w:rsidRDefault="00485891" w:rsidP="005E07F6">
            <w:pPr>
              <w:spacing w:line="240" w:lineRule="auto"/>
              <w:jc w:val="center"/>
              <w:rPr>
                <w:rFonts w:cs="Arial"/>
                <w:sz w:val="14"/>
                <w:szCs w:val="14"/>
              </w:rPr>
            </w:pPr>
            <w:r w:rsidRPr="005E07F6">
              <w:rPr>
                <w:rFonts w:cs="Arial"/>
                <w:sz w:val="14"/>
                <w:szCs w:val="14"/>
              </w:rPr>
              <w:t>-3.42</w:t>
            </w:r>
          </w:p>
        </w:tc>
        <w:tc>
          <w:tcPr>
            <w:tcW w:w="595" w:type="pct"/>
            <w:shd w:val="clear" w:color="auto" w:fill="FFFFFF" w:themeFill="background1"/>
            <w:vAlign w:val="center"/>
          </w:tcPr>
          <w:p w14:paraId="1780F049" w14:textId="77777777" w:rsidR="00485891" w:rsidRPr="005E07F6" w:rsidRDefault="00485891" w:rsidP="005E07F6">
            <w:pPr>
              <w:spacing w:line="240" w:lineRule="auto"/>
              <w:jc w:val="center"/>
              <w:rPr>
                <w:rFonts w:cs="Arial"/>
                <w:sz w:val="14"/>
                <w:szCs w:val="14"/>
              </w:rPr>
            </w:pPr>
            <w:r w:rsidRPr="005E07F6">
              <w:rPr>
                <w:rFonts w:cs="Arial"/>
                <w:sz w:val="14"/>
                <w:szCs w:val="14"/>
              </w:rPr>
              <w:t>-4.99 – -1.85</w:t>
            </w:r>
          </w:p>
        </w:tc>
        <w:tc>
          <w:tcPr>
            <w:tcW w:w="252" w:type="pct"/>
            <w:tcBorders>
              <w:right w:val="single" w:sz="8" w:space="0" w:color="auto"/>
            </w:tcBorders>
            <w:shd w:val="clear" w:color="auto" w:fill="FFFFFF" w:themeFill="background1"/>
            <w:vAlign w:val="center"/>
          </w:tcPr>
          <w:p w14:paraId="488EE381"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c>
          <w:tcPr>
            <w:tcW w:w="250" w:type="pct"/>
            <w:tcBorders>
              <w:left w:val="single" w:sz="8" w:space="0" w:color="auto"/>
            </w:tcBorders>
            <w:shd w:val="clear" w:color="auto" w:fill="FFFFFF" w:themeFill="background1"/>
            <w:vAlign w:val="center"/>
          </w:tcPr>
          <w:p w14:paraId="2CBAB48A" w14:textId="77777777" w:rsidR="00485891" w:rsidRPr="005E07F6" w:rsidRDefault="00485891" w:rsidP="005E07F6">
            <w:pPr>
              <w:spacing w:line="240" w:lineRule="auto"/>
              <w:jc w:val="center"/>
              <w:rPr>
                <w:rFonts w:cs="Arial"/>
                <w:sz w:val="14"/>
                <w:szCs w:val="14"/>
              </w:rPr>
            </w:pPr>
            <w:r w:rsidRPr="005E07F6">
              <w:rPr>
                <w:rFonts w:cs="Arial"/>
                <w:sz w:val="14"/>
                <w:szCs w:val="14"/>
              </w:rPr>
              <w:t>0.96</w:t>
            </w:r>
          </w:p>
        </w:tc>
        <w:tc>
          <w:tcPr>
            <w:tcW w:w="591" w:type="pct"/>
            <w:shd w:val="clear" w:color="auto" w:fill="FFFFFF" w:themeFill="background1"/>
            <w:vAlign w:val="center"/>
          </w:tcPr>
          <w:p w14:paraId="11ACE276" w14:textId="77777777" w:rsidR="00485891" w:rsidRPr="005E07F6" w:rsidRDefault="00485891" w:rsidP="005E07F6">
            <w:pPr>
              <w:spacing w:line="240" w:lineRule="auto"/>
              <w:jc w:val="center"/>
              <w:rPr>
                <w:rFonts w:cs="Arial"/>
                <w:sz w:val="14"/>
                <w:szCs w:val="14"/>
              </w:rPr>
            </w:pPr>
            <w:r w:rsidRPr="005E07F6">
              <w:rPr>
                <w:rFonts w:cs="Arial"/>
                <w:sz w:val="14"/>
                <w:szCs w:val="14"/>
              </w:rPr>
              <w:t>-11.08 – 13.00</w:t>
            </w:r>
          </w:p>
        </w:tc>
        <w:tc>
          <w:tcPr>
            <w:tcW w:w="333" w:type="pct"/>
            <w:shd w:val="clear" w:color="auto" w:fill="FFFFFF" w:themeFill="background1"/>
            <w:vAlign w:val="center"/>
          </w:tcPr>
          <w:p w14:paraId="3078718E" w14:textId="77777777" w:rsidR="00485891" w:rsidRPr="005E07F6" w:rsidRDefault="00485891" w:rsidP="005E07F6">
            <w:pPr>
              <w:spacing w:line="240" w:lineRule="auto"/>
              <w:jc w:val="center"/>
              <w:rPr>
                <w:rFonts w:cs="Arial"/>
                <w:sz w:val="14"/>
                <w:szCs w:val="14"/>
              </w:rPr>
            </w:pPr>
            <w:r w:rsidRPr="005E07F6">
              <w:rPr>
                <w:rFonts w:cs="Arial"/>
                <w:sz w:val="14"/>
                <w:szCs w:val="14"/>
              </w:rPr>
              <w:t>0.875</w:t>
            </w:r>
          </w:p>
        </w:tc>
      </w:tr>
      <w:tr w:rsidR="005E07F6" w:rsidRPr="005E07F6" w14:paraId="185CE800" w14:textId="77777777" w:rsidTr="00332686">
        <w:trPr>
          <w:cnfStyle w:val="000000100000" w:firstRow="0" w:lastRow="0" w:firstColumn="0" w:lastColumn="0" w:oddVBand="0" w:evenVBand="0" w:oddHBand="1" w:evenHBand="0" w:firstRowFirstColumn="0" w:firstRowLastColumn="0" w:lastRowFirstColumn="0" w:lastRowLastColumn="0"/>
        </w:trPr>
        <w:tc>
          <w:tcPr>
            <w:tcW w:w="537" w:type="pct"/>
            <w:tcBorders>
              <w:bottom w:val="single" w:sz="12" w:space="0" w:color="auto"/>
              <w:right w:val="single" w:sz="8" w:space="0" w:color="auto"/>
            </w:tcBorders>
            <w:shd w:val="clear" w:color="auto" w:fill="FFFFFF" w:themeFill="background1"/>
            <w:vAlign w:val="center"/>
          </w:tcPr>
          <w:p w14:paraId="4E4795B6" w14:textId="77777777" w:rsidR="00485891" w:rsidRPr="005E07F6" w:rsidRDefault="00485891" w:rsidP="005E07F6">
            <w:pPr>
              <w:spacing w:line="240" w:lineRule="auto"/>
              <w:rPr>
                <w:rFonts w:cs="Arial"/>
                <w:sz w:val="14"/>
                <w:szCs w:val="14"/>
              </w:rPr>
            </w:pPr>
            <w:r w:rsidRPr="005E07F6">
              <w:rPr>
                <w:rFonts w:cs="Arial"/>
                <w:sz w:val="14"/>
                <w:szCs w:val="14"/>
              </w:rPr>
              <w:t>LPS-2: T180</w:t>
            </w:r>
          </w:p>
        </w:tc>
        <w:tc>
          <w:tcPr>
            <w:tcW w:w="245" w:type="pct"/>
            <w:tcBorders>
              <w:left w:val="single" w:sz="8" w:space="0" w:color="auto"/>
              <w:bottom w:val="single" w:sz="12" w:space="0" w:color="auto"/>
            </w:tcBorders>
            <w:shd w:val="clear" w:color="auto" w:fill="FFFFFF" w:themeFill="background1"/>
            <w:vAlign w:val="center"/>
          </w:tcPr>
          <w:p w14:paraId="2B474C1F" w14:textId="77777777" w:rsidR="00485891" w:rsidRPr="005E07F6" w:rsidRDefault="00485891" w:rsidP="005E07F6">
            <w:pPr>
              <w:spacing w:line="240" w:lineRule="auto"/>
              <w:jc w:val="center"/>
              <w:rPr>
                <w:rFonts w:cs="Arial"/>
                <w:sz w:val="14"/>
                <w:szCs w:val="14"/>
              </w:rPr>
            </w:pPr>
            <w:r w:rsidRPr="005E07F6">
              <w:rPr>
                <w:rFonts w:cs="Arial"/>
                <w:sz w:val="14"/>
                <w:szCs w:val="14"/>
              </w:rPr>
              <w:t>-9.88</w:t>
            </w:r>
          </w:p>
        </w:tc>
        <w:tc>
          <w:tcPr>
            <w:tcW w:w="549" w:type="pct"/>
            <w:tcBorders>
              <w:bottom w:val="single" w:sz="12" w:space="0" w:color="auto"/>
            </w:tcBorders>
            <w:shd w:val="clear" w:color="auto" w:fill="FFFFFF" w:themeFill="background1"/>
            <w:vAlign w:val="center"/>
          </w:tcPr>
          <w:p w14:paraId="69401567" w14:textId="77777777" w:rsidR="00485891" w:rsidRPr="005E07F6" w:rsidRDefault="00485891" w:rsidP="005E07F6">
            <w:pPr>
              <w:spacing w:line="240" w:lineRule="auto"/>
              <w:jc w:val="center"/>
              <w:rPr>
                <w:rFonts w:cs="Arial"/>
                <w:sz w:val="14"/>
                <w:szCs w:val="14"/>
              </w:rPr>
            </w:pPr>
            <w:r w:rsidRPr="005E07F6">
              <w:rPr>
                <w:rFonts w:cs="Arial"/>
                <w:sz w:val="14"/>
                <w:szCs w:val="14"/>
              </w:rPr>
              <w:t>-22.38 – 2.63</w:t>
            </w:r>
          </w:p>
        </w:tc>
        <w:tc>
          <w:tcPr>
            <w:tcW w:w="277" w:type="pct"/>
            <w:tcBorders>
              <w:bottom w:val="single" w:sz="12" w:space="0" w:color="auto"/>
              <w:right w:val="single" w:sz="8" w:space="0" w:color="auto"/>
            </w:tcBorders>
            <w:shd w:val="clear" w:color="auto" w:fill="FFFFFF" w:themeFill="background1"/>
            <w:vAlign w:val="center"/>
          </w:tcPr>
          <w:p w14:paraId="5A820FF2" w14:textId="77777777" w:rsidR="00485891" w:rsidRPr="005E07F6" w:rsidRDefault="00485891" w:rsidP="005E07F6">
            <w:pPr>
              <w:spacing w:line="240" w:lineRule="auto"/>
              <w:jc w:val="center"/>
              <w:rPr>
                <w:rFonts w:cs="Arial"/>
                <w:sz w:val="14"/>
                <w:szCs w:val="14"/>
              </w:rPr>
            </w:pPr>
            <w:r w:rsidRPr="005E07F6">
              <w:rPr>
                <w:rFonts w:cs="Arial"/>
                <w:sz w:val="14"/>
                <w:szCs w:val="14"/>
              </w:rPr>
              <w:t>0.120</w:t>
            </w:r>
          </w:p>
        </w:tc>
        <w:tc>
          <w:tcPr>
            <w:tcW w:w="249" w:type="pct"/>
            <w:tcBorders>
              <w:left w:val="single" w:sz="8" w:space="0" w:color="auto"/>
              <w:bottom w:val="single" w:sz="12" w:space="0" w:color="auto"/>
            </w:tcBorders>
            <w:shd w:val="clear" w:color="auto" w:fill="FFFFFF" w:themeFill="background1"/>
            <w:vAlign w:val="center"/>
          </w:tcPr>
          <w:p w14:paraId="4AAA9699" w14:textId="77777777" w:rsidR="00485891" w:rsidRPr="005E07F6" w:rsidRDefault="00485891" w:rsidP="005E07F6">
            <w:pPr>
              <w:spacing w:line="240" w:lineRule="auto"/>
              <w:jc w:val="center"/>
              <w:rPr>
                <w:rFonts w:cs="Arial"/>
                <w:sz w:val="14"/>
                <w:szCs w:val="14"/>
              </w:rPr>
            </w:pPr>
            <w:r w:rsidRPr="005E07F6">
              <w:rPr>
                <w:rFonts w:cs="Arial"/>
                <w:sz w:val="14"/>
                <w:szCs w:val="14"/>
              </w:rPr>
              <w:t>39.25</w:t>
            </w:r>
          </w:p>
        </w:tc>
        <w:tc>
          <w:tcPr>
            <w:tcW w:w="594" w:type="pct"/>
            <w:tcBorders>
              <w:bottom w:val="single" w:sz="12" w:space="0" w:color="auto"/>
            </w:tcBorders>
            <w:shd w:val="clear" w:color="auto" w:fill="FFFFFF" w:themeFill="background1"/>
            <w:vAlign w:val="center"/>
          </w:tcPr>
          <w:p w14:paraId="0D6043B3" w14:textId="77777777" w:rsidR="00485891" w:rsidRPr="005E07F6" w:rsidRDefault="00485891" w:rsidP="005E07F6">
            <w:pPr>
              <w:spacing w:line="240" w:lineRule="auto"/>
              <w:jc w:val="center"/>
              <w:rPr>
                <w:rFonts w:cs="Arial"/>
                <w:sz w:val="14"/>
                <w:szCs w:val="14"/>
              </w:rPr>
            </w:pPr>
            <w:r w:rsidRPr="005E07F6">
              <w:rPr>
                <w:rFonts w:cs="Arial"/>
                <w:sz w:val="14"/>
                <w:szCs w:val="14"/>
              </w:rPr>
              <w:t>27.92 – 50.58</w:t>
            </w:r>
          </w:p>
        </w:tc>
        <w:tc>
          <w:tcPr>
            <w:tcW w:w="268" w:type="pct"/>
            <w:tcBorders>
              <w:bottom w:val="single" w:sz="12" w:space="0" w:color="auto"/>
              <w:right w:val="single" w:sz="8" w:space="0" w:color="auto"/>
            </w:tcBorders>
            <w:shd w:val="clear" w:color="auto" w:fill="FFFFFF" w:themeFill="background1"/>
            <w:vAlign w:val="center"/>
          </w:tcPr>
          <w:p w14:paraId="4111F4E2" w14:textId="77777777" w:rsidR="00485891" w:rsidRPr="005E07F6" w:rsidRDefault="00485891" w:rsidP="005E07F6">
            <w:pPr>
              <w:spacing w:line="240" w:lineRule="auto"/>
              <w:jc w:val="center"/>
              <w:rPr>
                <w:rFonts w:cs="Arial"/>
                <w:sz w:val="14"/>
                <w:szCs w:val="14"/>
              </w:rPr>
            </w:pPr>
            <w:r w:rsidRPr="005E07F6">
              <w:rPr>
                <w:rFonts w:cs="Arial"/>
                <w:b/>
                <w:bCs/>
                <w:sz w:val="14"/>
                <w:szCs w:val="14"/>
              </w:rPr>
              <w:t>&lt;0.001</w:t>
            </w:r>
          </w:p>
        </w:tc>
        <w:tc>
          <w:tcPr>
            <w:tcW w:w="260" w:type="pct"/>
            <w:tcBorders>
              <w:left w:val="single" w:sz="8" w:space="0" w:color="auto"/>
              <w:bottom w:val="single" w:sz="12" w:space="0" w:color="auto"/>
            </w:tcBorders>
            <w:shd w:val="clear" w:color="auto" w:fill="FFFFFF" w:themeFill="background1"/>
            <w:vAlign w:val="center"/>
          </w:tcPr>
          <w:p w14:paraId="68EC472F" w14:textId="77777777" w:rsidR="00485891" w:rsidRPr="005E07F6" w:rsidRDefault="00485891" w:rsidP="005E07F6">
            <w:pPr>
              <w:spacing w:line="240" w:lineRule="auto"/>
              <w:jc w:val="center"/>
              <w:rPr>
                <w:rFonts w:cs="Arial"/>
                <w:sz w:val="14"/>
                <w:szCs w:val="14"/>
              </w:rPr>
            </w:pPr>
            <w:r w:rsidRPr="005E07F6">
              <w:rPr>
                <w:rFonts w:cs="Arial"/>
                <w:sz w:val="14"/>
                <w:szCs w:val="14"/>
              </w:rPr>
              <w:t>-1.91</w:t>
            </w:r>
          </w:p>
        </w:tc>
        <w:tc>
          <w:tcPr>
            <w:tcW w:w="595" w:type="pct"/>
            <w:tcBorders>
              <w:bottom w:val="single" w:sz="12" w:space="0" w:color="auto"/>
            </w:tcBorders>
            <w:shd w:val="clear" w:color="auto" w:fill="FFFFFF" w:themeFill="background1"/>
            <w:vAlign w:val="center"/>
          </w:tcPr>
          <w:p w14:paraId="4B73C20C" w14:textId="77777777" w:rsidR="00485891" w:rsidRPr="005E07F6" w:rsidRDefault="00485891" w:rsidP="005E07F6">
            <w:pPr>
              <w:spacing w:line="240" w:lineRule="auto"/>
              <w:jc w:val="center"/>
              <w:rPr>
                <w:rFonts w:cs="Arial"/>
                <w:sz w:val="14"/>
                <w:szCs w:val="14"/>
              </w:rPr>
            </w:pPr>
            <w:r w:rsidRPr="005E07F6">
              <w:rPr>
                <w:rFonts w:cs="Arial"/>
                <w:sz w:val="14"/>
                <w:szCs w:val="14"/>
              </w:rPr>
              <w:t>-3.48 – -0.34</w:t>
            </w:r>
          </w:p>
        </w:tc>
        <w:tc>
          <w:tcPr>
            <w:tcW w:w="252" w:type="pct"/>
            <w:tcBorders>
              <w:bottom w:val="single" w:sz="12" w:space="0" w:color="auto"/>
              <w:right w:val="single" w:sz="8" w:space="0" w:color="auto"/>
            </w:tcBorders>
            <w:shd w:val="clear" w:color="auto" w:fill="FFFFFF" w:themeFill="background1"/>
            <w:vAlign w:val="center"/>
          </w:tcPr>
          <w:p w14:paraId="32E81662" w14:textId="77777777" w:rsidR="00485891" w:rsidRPr="005E07F6" w:rsidRDefault="00485891" w:rsidP="005E07F6">
            <w:pPr>
              <w:spacing w:line="240" w:lineRule="auto"/>
              <w:jc w:val="center"/>
              <w:rPr>
                <w:rFonts w:cs="Arial"/>
                <w:sz w:val="14"/>
                <w:szCs w:val="14"/>
              </w:rPr>
            </w:pPr>
            <w:r w:rsidRPr="005E07F6">
              <w:rPr>
                <w:rFonts w:cs="Arial"/>
                <w:b/>
                <w:bCs/>
                <w:sz w:val="14"/>
                <w:szCs w:val="14"/>
              </w:rPr>
              <w:t>0.018</w:t>
            </w:r>
          </w:p>
        </w:tc>
        <w:tc>
          <w:tcPr>
            <w:tcW w:w="250" w:type="pct"/>
            <w:tcBorders>
              <w:left w:val="single" w:sz="8" w:space="0" w:color="auto"/>
              <w:bottom w:val="single" w:sz="12" w:space="0" w:color="auto"/>
            </w:tcBorders>
            <w:shd w:val="clear" w:color="auto" w:fill="FFFFFF" w:themeFill="background1"/>
            <w:vAlign w:val="center"/>
          </w:tcPr>
          <w:p w14:paraId="0CAF8725" w14:textId="77777777" w:rsidR="00485891" w:rsidRPr="005E07F6" w:rsidRDefault="00485891" w:rsidP="005E07F6">
            <w:pPr>
              <w:spacing w:line="240" w:lineRule="auto"/>
              <w:jc w:val="center"/>
              <w:rPr>
                <w:rFonts w:cs="Arial"/>
                <w:sz w:val="14"/>
                <w:szCs w:val="14"/>
              </w:rPr>
            </w:pPr>
            <w:r w:rsidRPr="005E07F6">
              <w:rPr>
                <w:rFonts w:cs="Arial"/>
                <w:sz w:val="14"/>
                <w:szCs w:val="14"/>
              </w:rPr>
              <w:t>-6.87</w:t>
            </w:r>
          </w:p>
        </w:tc>
        <w:tc>
          <w:tcPr>
            <w:tcW w:w="591" w:type="pct"/>
            <w:tcBorders>
              <w:bottom w:val="single" w:sz="12" w:space="0" w:color="auto"/>
            </w:tcBorders>
            <w:shd w:val="clear" w:color="auto" w:fill="FFFFFF" w:themeFill="background1"/>
            <w:vAlign w:val="center"/>
          </w:tcPr>
          <w:p w14:paraId="44E04C3D" w14:textId="77777777" w:rsidR="00485891" w:rsidRPr="005E07F6" w:rsidRDefault="00485891" w:rsidP="005E07F6">
            <w:pPr>
              <w:spacing w:line="240" w:lineRule="auto"/>
              <w:jc w:val="center"/>
              <w:rPr>
                <w:rFonts w:cs="Arial"/>
                <w:sz w:val="14"/>
                <w:szCs w:val="14"/>
              </w:rPr>
            </w:pPr>
            <w:r w:rsidRPr="005E07F6">
              <w:rPr>
                <w:rFonts w:cs="Arial"/>
                <w:sz w:val="14"/>
                <w:szCs w:val="14"/>
              </w:rPr>
              <w:t>-18.91 – 5.17</w:t>
            </w:r>
          </w:p>
        </w:tc>
        <w:tc>
          <w:tcPr>
            <w:tcW w:w="333" w:type="pct"/>
            <w:shd w:val="clear" w:color="auto" w:fill="FFFFFF" w:themeFill="background1"/>
            <w:vAlign w:val="center"/>
          </w:tcPr>
          <w:p w14:paraId="6BD9AA08" w14:textId="77777777" w:rsidR="00485891" w:rsidRPr="005E07F6" w:rsidRDefault="00485891" w:rsidP="005E07F6">
            <w:pPr>
              <w:spacing w:line="240" w:lineRule="auto"/>
              <w:jc w:val="center"/>
              <w:rPr>
                <w:rFonts w:cs="Arial"/>
                <w:sz w:val="14"/>
                <w:szCs w:val="14"/>
              </w:rPr>
            </w:pPr>
            <w:r w:rsidRPr="005E07F6">
              <w:rPr>
                <w:rFonts w:cs="Arial"/>
                <w:sz w:val="14"/>
                <w:szCs w:val="14"/>
              </w:rPr>
              <w:t>0.261</w:t>
            </w:r>
          </w:p>
        </w:tc>
      </w:tr>
      <w:tr w:rsidR="00485891" w:rsidRPr="005E07F6" w14:paraId="218848FF" w14:textId="77777777" w:rsidTr="00332686">
        <w:tc>
          <w:tcPr>
            <w:tcW w:w="5000" w:type="pct"/>
            <w:gridSpan w:val="13"/>
            <w:tcBorders>
              <w:top w:val="single" w:sz="12" w:space="0" w:color="auto"/>
              <w:bottom w:val="nil"/>
            </w:tcBorders>
            <w:shd w:val="clear" w:color="auto" w:fill="FFFFFF" w:themeFill="background1"/>
            <w:vAlign w:val="center"/>
          </w:tcPr>
          <w:p w14:paraId="3F3CFB7A" w14:textId="77777777" w:rsidR="00485891" w:rsidRPr="005E07F6" w:rsidRDefault="00485891" w:rsidP="005E07F6">
            <w:pPr>
              <w:spacing w:line="240" w:lineRule="auto"/>
              <w:rPr>
                <w:rFonts w:cs="Arial"/>
                <w:sz w:val="14"/>
                <w:szCs w:val="14"/>
              </w:rPr>
            </w:pPr>
            <w:r w:rsidRPr="005E07F6">
              <w:rPr>
                <w:rFonts w:cs="Arial"/>
                <w:bCs/>
                <w:i/>
                <w:iCs/>
                <w:sz w:val="14"/>
                <w:szCs w:val="14"/>
              </w:rPr>
              <w:t>Abbreviations: ICG-PDR, indocyanine green plasma disappearance rate</w:t>
            </w:r>
            <w:r w:rsidRPr="005E07F6">
              <w:rPr>
                <w:rFonts w:cs="Arial"/>
                <w:i/>
                <w:sz w:val="14"/>
                <w:szCs w:val="14"/>
              </w:rPr>
              <w:t xml:space="preserve">; </w:t>
            </w:r>
            <w:r w:rsidRPr="005E07F6">
              <w:rPr>
                <w:rFonts w:cs="Arial"/>
                <w:bCs/>
                <w:i/>
                <w:iCs/>
                <w:sz w:val="14"/>
                <w:szCs w:val="14"/>
              </w:rPr>
              <w:t xml:space="preserve"> NGAL, </w:t>
            </w:r>
            <w:r w:rsidRPr="005E07F6">
              <w:rPr>
                <w:rFonts w:cs="Arial"/>
                <w:i/>
                <w:sz w:val="14"/>
                <w:szCs w:val="14"/>
              </w:rPr>
              <w:t>Neutrophil gelatinase-associated lipocalin;</w:t>
            </w:r>
            <w:r w:rsidRPr="005E07F6">
              <w:rPr>
                <w:rFonts w:cs="Arial"/>
                <w:bCs/>
                <w:i/>
                <w:iCs/>
                <w:sz w:val="14"/>
                <w:szCs w:val="14"/>
              </w:rPr>
              <w:t xml:space="preserve"> I-FABP, </w:t>
            </w:r>
            <w:r w:rsidRPr="005E07F6">
              <w:rPr>
                <w:rFonts w:cs="Arial"/>
                <w:i/>
                <w:sz w:val="14"/>
                <w:szCs w:val="14"/>
              </w:rPr>
              <w:t xml:space="preserve"> intestinal fatty acid binding protein; </w:t>
            </w:r>
            <w:r w:rsidRPr="005E07F6">
              <w:rPr>
                <w:rFonts w:cs="Arial"/>
                <w:bCs/>
                <w:i/>
                <w:sz w:val="14"/>
                <w:szCs w:val="14"/>
              </w:rPr>
              <w:t xml:space="preserve">LPS, lipopolysaccharide; </w:t>
            </w:r>
            <w:r w:rsidRPr="005E07F6">
              <w:rPr>
                <w:rFonts w:cs="Arial"/>
                <w:i/>
                <w:iCs/>
                <w:sz w:val="14"/>
                <w:szCs w:val="14"/>
              </w:rPr>
              <w:t>LPS-1, LPS with support initiated at MAP &lt;80mmHg; LPS-2, LPS with support initiated at MAP &lt;65mmHg</w:t>
            </w:r>
            <w:r w:rsidRPr="005E07F6">
              <w:rPr>
                <w:rFonts w:cs="Arial"/>
                <w:bCs/>
                <w:i/>
                <w:sz w:val="14"/>
                <w:szCs w:val="14"/>
              </w:rPr>
              <w:t>; Est., estimate; CI, confidence interval</w:t>
            </w:r>
          </w:p>
        </w:tc>
      </w:tr>
    </w:tbl>
    <w:p w14:paraId="1C1C077D" w14:textId="77777777" w:rsidR="00485891" w:rsidRDefault="00485891" w:rsidP="005E07F6"/>
    <w:p w14:paraId="1DB5A2A4" w14:textId="03C79E3A" w:rsidR="005E07F6" w:rsidRDefault="005E07F6" w:rsidP="005E07F6">
      <w:r w:rsidRPr="00174000">
        <w:rPr>
          <w:b/>
          <w:bCs/>
        </w:rPr>
        <w:t>Fig.</w:t>
      </w:r>
      <w:r w:rsidR="00174000">
        <w:rPr>
          <w:b/>
          <w:bCs/>
        </w:rPr>
        <w:t xml:space="preserve"> </w:t>
      </w:r>
      <w:r w:rsidRPr="00174000">
        <w:rPr>
          <w:b/>
          <w:bCs/>
        </w:rPr>
        <w:t>2:</w:t>
      </w:r>
      <w:r>
        <w:t xml:space="preserve"> Correlation plot of lactate and ICG-PDR</w:t>
      </w:r>
    </w:p>
    <w:p w14:paraId="2B121FE6" w14:textId="7C392833" w:rsidR="005E07F6" w:rsidRDefault="005E07F6" w:rsidP="00F33822">
      <w:pPr>
        <w:rPr>
          <w:rFonts w:cs="Arial"/>
          <w:color w:val="000000" w:themeColor="text1"/>
          <w:szCs w:val="20"/>
        </w:rPr>
      </w:pPr>
      <w:r>
        <w:rPr>
          <w:rFonts w:cs="Arial"/>
          <w:noProof/>
          <w:color w:val="000000" w:themeColor="text1"/>
          <w:szCs w:val="20"/>
          <w14:ligatures w14:val="standardContextual"/>
        </w:rPr>
        <w:drawing>
          <wp:inline distT="0" distB="0" distL="0" distR="0" wp14:anchorId="37C82131" wp14:editId="7B2F3395">
            <wp:extent cx="4503843" cy="3020143"/>
            <wp:effectExtent l="0" t="0" r="5080" b="2540"/>
            <wp:docPr id="1138341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41723" name="Picture 1138341723"/>
                    <pic:cNvPicPr/>
                  </pic:nvPicPr>
                  <pic:blipFill rotWithShape="1">
                    <a:blip r:embed="rId8" cstate="print">
                      <a:extLst>
                        <a:ext uri="{28A0092B-C50C-407E-A947-70E740481C1C}">
                          <a14:useLocalDpi xmlns:a14="http://schemas.microsoft.com/office/drawing/2010/main" val="0"/>
                        </a:ext>
                      </a:extLst>
                    </a:blip>
                    <a:srcRect t="4954"/>
                    <a:stretch>
                      <a:fillRect/>
                    </a:stretch>
                  </pic:blipFill>
                  <pic:spPr bwMode="auto">
                    <a:xfrm>
                      <a:off x="0" y="0"/>
                      <a:ext cx="4512070" cy="3025660"/>
                    </a:xfrm>
                    <a:prstGeom prst="rect">
                      <a:avLst/>
                    </a:prstGeom>
                    <a:ln>
                      <a:noFill/>
                    </a:ln>
                    <a:extLst>
                      <a:ext uri="{53640926-AAD7-44D8-BBD7-CCE9431645EC}">
                        <a14:shadowObscured xmlns:a14="http://schemas.microsoft.com/office/drawing/2010/main"/>
                      </a:ext>
                    </a:extLst>
                  </pic:spPr>
                </pic:pic>
              </a:graphicData>
            </a:graphic>
          </wp:inline>
        </w:drawing>
      </w:r>
    </w:p>
    <w:p w14:paraId="5E2963B6" w14:textId="146CEA63" w:rsidR="005E07F6" w:rsidRPr="00AF335B" w:rsidRDefault="005E07F6" w:rsidP="00F33822">
      <w:pPr>
        <w:rPr>
          <w:rFonts w:cs="Arial"/>
          <w:i/>
          <w:color w:val="000000" w:themeColor="text1"/>
          <w:szCs w:val="20"/>
        </w:rPr>
      </w:pPr>
      <w:r w:rsidRPr="00F33822">
        <w:rPr>
          <w:rFonts w:cs="Arial"/>
          <w:bCs/>
          <w:i/>
          <w:color w:val="000000" w:themeColor="text1"/>
          <w:szCs w:val="20"/>
        </w:rPr>
        <w:t>Abbreviations:</w:t>
      </w:r>
      <w:r w:rsidRPr="005E07F6">
        <w:rPr>
          <w:rFonts w:cs="Arial"/>
          <w:bCs/>
          <w:i/>
          <w:szCs w:val="20"/>
        </w:rPr>
        <w:t xml:space="preserve"> </w:t>
      </w:r>
      <w:r w:rsidRPr="005E07F6">
        <w:rPr>
          <w:rFonts w:cs="Arial"/>
          <w:bCs/>
          <w:i/>
          <w:color w:val="000000" w:themeColor="text1"/>
          <w:szCs w:val="20"/>
        </w:rPr>
        <w:t>ICG-PDR, indocyanine green plasma disappearance rate</w:t>
      </w:r>
    </w:p>
    <w:p w14:paraId="0C3D27BE" w14:textId="77777777" w:rsidR="00CA6006" w:rsidRDefault="00CA6006" w:rsidP="00AF335B">
      <w:pPr>
        <w:rPr>
          <w:b/>
          <w:bCs/>
        </w:rPr>
      </w:pPr>
    </w:p>
    <w:p w14:paraId="1B29A5C1" w14:textId="47C2838A" w:rsidR="00A724FA" w:rsidRPr="00AF335B" w:rsidRDefault="00AF335B" w:rsidP="00AF335B">
      <w:pPr>
        <w:rPr>
          <w:b/>
          <w:bCs/>
        </w:rPr>
      </w:pPr>
      <w:r w:rsidRPr="00AF335B">
        <w:rPr>
          <w:b/>
          <w:bCs/>
        </w:rPr>
        <w:t>3. Discussion</w:t>
      </w:r>
    </w:p>
    <w:p w14:paraId="27C8A040" w14:textId="566D13AE" w:rsidR="00A724FA" w:rsidRPr="00137AAA" w:rsidRDefault="00A724FA" w:rsidP="00AF335B">
      <w:r w:rsidRPr="00137AAA">
        <w:rPr>
          <w:rFonts w:cs="Arial"/>
        </w:rPr>
        <w:t xml:space="preserve">A downward trend in ICG-PDR, indicative of reduced hepatic clearance capacity </w:t>
      </w:r>
      <w:r w:rsidRPr="00137AAA">
        <w:rPr>
          <w:rFonts w:cs="Arial"/>
        </w:rPr>
        <w:fldChar w:fldCharType="begin"/>
      </w:r>
      <w:r w:rsidR="00CA6006">
        <w:rPr>
          <w:rFonts w:cs="Arial"/>
        </w:rPr>
        <w:instrText xml:space="preserve"> ADDIN EN.CITE &lt;EndNote&gt;&lt;Cite&gt;&lt;Author&gt;Sakka&lt;/Author&gt;&lt;Year&gt;2007&lt;/Year&gt;&lt;RecNum&gt;55&lt;/RecNum&gt;&lt;DisplayText&gt;[3]&lt;/DisplayText&gt;&lt;record&gt;&lt;rec-number&gt;55&lt;/rec-number&gt;&lt;foreign-keys&gt;&lt;key app="EN" db-id="pdf29aw0w2tv0yedw5yv2ram0pt0fzta5sxs" timestamp="1724847766"&gt;55&lt;/key&gt;&lt;/foreign-keys&gt;&lt;ref-type name="Journal Article"&gt;17&lt;/ref-type&gt;&lt;contributors&gt;&lt;authors&gt;&lt;author&gt;Sakka, S. G.&lt;/author&gt;&lt;/authors&gt;&lt;/contributors&gt;&lt;auth-address&gt;Department of Anaesthesiology and Intensive Care Medicine, Friedrich-Schiller-University of Jena, Germany. samir.sakka@med.uni-jena.de&lt;/auth-address&gt;&lt;titles&gt;&lt;title&gt;Assessing liver function&lt;/title&gt;&lt;secondary-title&gt;Curr Opin Crit Care&lt;/secondary-title&gt;&lt;/titles&gt;&lt;pages&gt;207-14&lt;/pages&gt;&lt;volume&gt;13&lt;/volume&gt;&lt;number&gt;2&lt;/number&gt;&lt;edition&gt;2007/03/01&lt;/edition&gt;&lt;keywords&gt;&lt;keyword&gt;Aminopyrine&lt;/keyword&gt;&lt;keyword&gt;Caffeine&lt;/keyword&gt;&lt;keyword&gt;Critical Care&lt;/keyword&gt;&lt;keyword&gt;Humans&lt;/keyword&gt;&lt;keyword&gt;Liver/enzymology/physiology/*physiopathology&lt;/keyword&gt;&lt;keyword&gt;Liver Diseases/*diagnosis&lt;/keyword&gt;&lt;keyword&gt;*Liver Function Tests&lt;/keyword&gt;&lt;keyword&gt;Sulfobromophthalein&lt;/keyword&gt;&lt;/keywords&gt;&lt;dates&gt;&lt;year&gt;2007&lt;/year&gt;&lt;pub-dates&gt;&lt;date&gt;Apr&lt;/date&gt;&lt;/pub-dates&gt;&lt;/dates&gt;&lt;isbn&gt;1070-5295 (Print)&amp;#xD;1070-5295 (Linking)&lt;/isbn&gt;&lt;accession-num&gt;17327744&lt;/accession-num&gt;&lt;urls&gt;&lt;related-urls&gt;&lt;url&gt;https://www.ncbi.nlm.nih.gov/pubmed/17327744&lt;/url&gt;&lt;/related-urls&gt;&lt;/urls&gt;&lt;electronic-resource-num&gt;00075198-200704000-00016 [pii]&amp;#xD;10.1097/MCC.0b013e328012b268&lt;/electronic-resource-num&gt;&lt;language&gt;eng&lt;/language&gt;&lt;/record&gt;&lt;/Cite&gt;&lt;/EndNote&gt;</w:instrText>
      </w:r>
      <w:r w:rsidRPr="00137AAA">
        <w:rPr>
          <w:rFonts w:cs="Arial"/>
        </w:rPr>
        <w:fldChar w:fldCharType="separate"/>
      </w:r>
      <w:r w:rsidR="00CA6006">
        <w:rPr>
          <w:rFonts w:cs="Arial"/>
          <w:noProof/>
        </w:rPr>
        <w:t>[3]</w:t>
      </w:r>
      <w:r w:rsidRPr="00137AAA">
        <w:rPr>
          <w:rFonts w:cs="Arial"/>
        </w:rPr>
        <w:fldChar w:fldCharType="end"/>
      </w:r>
      <w:r w:rsidRPr="00137AAA">
        <w:rPr>
          <w:rFonts w:cs="Arial"/>
        </w:rPr>
        <w:t xml:space="preserve">, was observed across all groups, with a more pronounced decline in the LPS-treated animals. The reduction in the control group likely reflects the physiological impact of anesthesia and major surgery, whereas endotoxemia appeared to exacerbate this decline in both LPS groups. In parallel, arterial lactate concentrations increased, particularly in the LPS groups. Although hyperlactatemia is often interpreted as a marker of anaerobic metabolism, the significant negative correlation between ICG-PDR and lactate suggests that impaired hepatic clearance </w:t>
      </w:r>
      <w:r w:rsidR="001A6623">
        <w:rPr>
          <w:rFonts w:cs="Arial"/>
        </w:rPr>
        <w:t xml:space="preserve">may have </w:t>
      </w:r>
      <w:r w:rsidRPr="00137AAA">
        <w:rPr>
          <w:rFonts w:cs="Arial"/>
        </w:rPr>
        <w:t xml:space="preserve">contributed to lactate accumulation, rather than </w:t>
      </w:r>
      <w:r w:rsidRPr="00137AAA">
        <w:rPr>
          <w:rFonts w:cs="Arial"/>
        </w:rPr>
        <w:lastRenderedPageBreak/>
        <w:t xml:space="preserve">lactate production being driven solely </w:t>
      </w:r>
      <w:r w:rsidR="001A6623">
        <w:rPr>
          <w:rFonts w:cs="Arial"/>
        </w:rPr>
        <w:t xml:space="preserve">driven </w:t>
      </w:r>
      <w:r w:rsidRPr="00137AAA">
        <w:rPr>
          <w:rFonts w:cs="Arial"/>
        </w:rPr>
        <w:t xml:space="preserve">by tissue hypoxia. This interpretation is supported by the absence of increased HIF-1α immunostaining in hepatic tissue, indicating no histological evidence of cellular hypoxia during the observation period </w:t>
      </w:r>
      <w:r w:rsidRPr="00137AAA">
        <w:fldChar w:fldCharType="begin"/>
      </w:r>
      <w:r w:rsidR="00CA6006">
        <w:instrText xml:space="preserve"> ADDIN EN.CITE &lt;EndNote&gt;&lt;Cite&gt;&lt;Author&gt;Weidemann&lt;/Author&gt;&lt;Year&gt;2008&lt;/Year&gt;&lt;RecNum&gt;28&lt;/RecNum&gt;&lt;DisplayText&gt;[4]&lt;/DisplayText&gt;&lt;record&gt;&lt;rec-number&gt;28&lt;/rec-number&gt;&lt;foreign-keys&gt;&lt;key app="EN" db-id="pdf29aw0w2tv0yedw5yv2ram0pt0fzta5sxs" timestamp="1724748694"&gt;28&lt;/key&gt;&lt;/foreign-keys&gt;&lt;ref-type name="Journal Article"&gt;17&lt;/ref-type&gt;&lt;contributors&gt;&lt;authors&gt;&lt;author&gt;Weidemann, A.&lt;/author&gt;&lt;author&gt;Johnson, R. S.&lt;/author&gt;&lt;/authors&gt;&lt;/contributors&gt;&lt;auth-address&gt;Division of Biological Sciences, Molecular Biology Section, University of California, San Diego, La Jolla, CA 92093, USA.&lt;/auth-address&gt;&lt;titles&gt;&lt;title&gt;Biology of HIF-1alpha&lt;/title&gt;&lt;secondary-title&gt;Cell Death Differ&lt;/secondary-title&gt;&lt;/titles&gt;&lt;pages&gt;621-7&lt;/pages&gt;&lt;volume&gt;15&lt;/volume&gt;&lt;number&gt;4&lt;/number&gt;&lt;edition&gt;2008/02/09&lt;/edition&gt;&lt;keywords&gt;&lt;keyword&gt;Adaptation, Physiological&lt;/keyword&gt;&lt;keyword&gt;Animals&lt;/keyword&gt;&lt;keyword&gt;Cell Hypoxia&lt;/keyword&gt;&lt;keyword&gt;Humans&lt;/keyword&gt;&lt;keyword&gt;Hydroxylation&lt;/keyword&gt;&lt;keyword&gt;Hypoxia/*metabolism/physiopathology&lt;/keyword&gt;&lt;keyword&gt;Hypoxia-Inducible Factor 1, alpha Subunit/drug effects/genetics/*metabolism&lt;/keyword&gt;&lt;keyword&gt;Mice&lt;/keyword&gt;&lt;keyword&gt;Mice, Knockout&lt;/keyword&gt;&lt;keyword&gt;Neoplasms/metabolism/physiopathology&lt;/keyword&gt;&lt;keyword&gt;Neovascularization, Physiologic&lt;/keyword&gt;&lt;keyword&gt;Protein Isoforms/metabolism&lt;/keyword&gt;&lt;keyword&gt;*Protein Processing, Post-Translational&lt;/keyword&gt;&lt;keyword&gt;*Signal Transduction/drug effects&lt;/keyword&gt;&lt;/keywords&gt;&lt;dates&gt;&lt;year&gt;2008&lt;/year&gt;&lt;pub-dates&gt;&lt;date&gt;Apr&lt;/date&gt;&lt;/pub-dates&gt;&lt;/dates&gt;&lt;isbn&gt;1350-9047 (Print)&amp;#xD;1350-9047 (Linking)&lt;/isbn&gt;&lt;accession-num&gt;18259201&lt;/accession-num&gt;&lt;urls&gt;&lt;related-urls&gt;&lt;url&gt;https://www.ncbi.nlm.nih.gov/pubmed/18259201&lt;/url&gt;&lt;/related-urls&gt;&lt;/urls&gt;&lt;electronic-resource-num&gt;cdd200812 [pii]&amp;#xD;10.1038/cdd.2008.12&lt;/electronic-resource-num&gt;&lt;language&gt;eng&lt;/language&gt;&lt;/record&gt;&lt;/Cite&gt;&lt;/EndNote&gt;</w:instrText>
      </w:r>
      <w:r w:rsidRPr="00137AAA">
        <w:fldChar w:fldCharType="separate"/>
      </w:r>
      <w:r w:rsidR="00CA6006">
        <w:rPr>
          <w:noProof/>
        </w:rPr>
        <w:t>[4]</w:t>
      </w:r>
      <w:r w:rsidRPr="00137AAA">
        <w:fldChar w:fldCharType="end"/>
      </w:r>
      <w:r w:rsidRPr="00137AAA">
        <w:rPr>
          <w:rFonts w:cs="Arial"/>
        </w:rPr>
        <w:t>.</w:t>
      </w:r>
    </w:p>
    <w:p w14:paraId="56B8877F" w14:textId="77777777" w:rsidR="00A724FA" w:rsidRPr="00137AAA" w:rsidRDefault="00A724FA" w:rsidP="00AF335B">
      <w:pPr>
        <w:rPr>
          <w:rFonts w:cs="Arial"/>
        </w:rPr>
      </w:pPr>
    </w:p>
    <w:p w14:paraId="00330196" w14:textId="6C2D0A46" w:rsidR="00A724FA" w:rsidRPr="00137AAA" w:rsidRDefault="00A724FA" w:rsidP="00AF335B">
      <w:pPr>
        <w:rPr>
          <w:rFonts w:cs="Arial"/>
        </w:rPr>
      </w:pPr>
      <w:r w:rsidRPr="00137AAA">
        <w:rPr>
          <w:rFonts w:cs="Arial"/>
        </w:rPr>
        <w:t>At the mitochondrial level, liver mitoPO</w:t>
      </w:r>
      <w:r w:rsidRPr="00137AAA">
        <w:rPr>
          <w:rFonts w:cs="Arial"/>
          <w:vertAlign w:val="subscript"/>
        </w:rPr>
        <w:t>2</w:t>
      </w:r>
      <w:r w:rsidRPr="00137AAA">
        <w:rPr>
          <w:rFonts w:cs="Arial"/>
        </w:rPr>
        <w:t xml:space="preserve"> remained largely preserved in LPS-</w:t>
      </w:r>
      <w:r w:rsidR="00452A8A">
        <w:rPr>
          <w:rFonts w:cs="Arial"/>
        </w:rPr>
        <w:t>1</w:t>
      </w:r>
      <w:r w:rsidRPr="00137AAA">
        <w:rPr>
          <w:rFonts w:cs="Arial"/>
        </w:rPr>
        <w:t>, while liver mitoVO</w:t>
      </w:r>
      <w:r w:rsidRPr="00137AAA">
        <w:rPr>
          <w:rFonts w:cs="Arial"/>
          <w:vertAlign w:val="subscript"/>
        </w:rPr>
        <w:t>2</w:t>
      </w:r>
      <w:r w:rsidRPr="00137AAA">
        <w:rPr>
          <w:rFonts w:cs="Arial"/>
        </w:rPr>
        <w:t xml:space="preserve"> was lower at later time points compared with controls, reflecting a blunted increase rather than an absolute decline. Together, these findings suggest that hepatic mitochondrial oxygen utilization may be altered during early endotoxemia even in the absence of overt hypoperfusion or cellular hypoxia. This is consistent with prior observations by Tapia et al., who reported impaired lactate clearance during endotoxic shock despite preserved hepatic blood flow </w:t>
      </w:r>
      <w:r w:rsidRPr="00137AAA">
        <w:rPr>
          <w:rFonts w:cs="Arial"/>
        </w:rPr>
        <w:fldChar w:fldCharType="begin">
          <w:fldData xml:space="preserve">PEVuZE5vdGU+PENpdGU+PEF1dGhvcj5UYXBpYTwvQXV0aG9yPjxZZWFyPjIwMTU8L1llYXI+PFJl
Y051bT42MDwvUmVjTnVtPjxEaXNwbGF5VGV4dD5bNV08L0Rpc3BsYXlUZXh0PjxyZWNvcmQ+PHJl
Yy1udW1iZXI+NjA8L3JlYy1udW1iZXI+PGZvcmVpZ24ta2V5cz48a2V5IGFwcD0iRU4iIGRiLWlk
PSJwZGYyOWF3MHcydHYweWVkdzV5djJyYW0wcHQwZnp0YTVzeHMiIHRpbWVzdGFtcD0iMTcyNDg0
Nzc2NyI+NjA8L2tleT48L2ZvcmVpZ24ta2V5cz48cmVmLXR5cGUgbmFtZT0iSm91cm5hbCBBcnRp
Y2xlIj4xNzwvcmVmLXR5cGU+PGNvbnRyaWJ1dG9ycz48YXV0aG9ycz48YXV0aG9yPlRhcGlhLCBQ
LjwvYXV0aG9yPjxhdXRob3I+U290bywgRC48L2F1dGhvcj48YXV0aG9yPkJydWhuLCBBLjwvYXV0
aG9yPjxhdXRob3I+QWxlZ3JpYSwgTC48L2F1dGhvcj48YXV0aG9yPkphcnVmZSwgTi48L2F1dGhv
cj48YXV0aG9yPkx1ZW5nbywgQy48L2F1dGhvcj48YXV0aG9yPkthdHRhbiwgRS48L2F1dGhvcj48
YXV0aG9yPlJlZ3VlaXJhLCBULjwvYXV0aG9yPjxhdXRob3I+TWVpc3NuZXIsIEEuPC9hdXRob3I+
PGF1dGhvcj5NZW5jaGFjYSwgUi48L2F1dGhvcj48YXV0aG9yPlZpdmVzLCBNLiBJLjwvYXV0aG9y
PjxhdXRob3I+RWNoZXZlcnJpYSwgTi48L2F1dGhvcj48YXV0aG9yPk9zcGluYS1UYXNjb24sIEcu
PC9hdXRob3I+PGF1dGhvcj5CYWtrZXIsIEouPC9hdXRob3I+PGF1dGhvcj5IZXJuYW5kZXosIEcu
PC9hdXRob3I+PC9hdXRob3JzPjwvY29udHJpYnV0b3JzPjxhdXRoLWFkZHJlc3M+RGVwYXJ0YW1l
bnRvIGRlIE1lZGljaW5hIEludGVuc2l2YSwgRmFjdWx0YWQgZGUgTWVkaWNpbmEsIFBvbnRpZmlj
aWEgVW5pdmVyc2lkYWQgQ2F0b2xpY2EgZGUgQ2hpbGUsIE1hcmNvbGV0YSAzNjcsIFNhbnRpYWdv
LCA4MzIwMDAwLCBDaGlsZS4gcGF0YXBpYWJAZ21haWwuY29tLiYjeEQ7RGVwYXJ0YW1lbnRvIGRl
IE1lZGljaW5hIEludGVuc2l2YSwgRmFjdWx0YWQgZGUgTWVkaWNpbmEsIFBvbnRpZmljaWEgVW5p
dmVyc2lkYWQgQ2F0b2xpY2EgZGUgQ2hpbGUsIE1hcmNvbGV0YSAzNjcsIFNhbnRpYWdvLCA4MzIw
MDAwLCBDaGlsZS4gZGFzb3RvQGlsbGlub2lzLmVkdS4mI3hEO0RlcGFydGFtZW50byBkZSBNZWRp
Y2luYSBJbnRlbnNpdmEsIEZhY3VsdGFkIGRlIE1lZGljaW5hLCBQb250aWZpY2lhIFVuaXZlcnNp
ZGFkIENhdG9saWNhIGRlIENoaWxlLCBNYXJjb2xldGEgMzY3LCBTYW50aWFnbywgODMyMDAwMCwg
Q2hpbGUuIGFicnVobkBtZWQucHVjLmNsLiYjeEQ7RGVwYXJ0YW1lbnRvIGRlIE1lZGljaW5hIElu
dGVuc2l2YSwgRmFjdWx0YWQgZGUgTWVkaWNpbmEsIFBvbnRpZmljaWEgVW5pdmVyc2lkYWQgQ2F0
b2xpY2EgZGUgQ2hpbGUsIE1hcmNvbGV0YSAzNjcsIFNhbnRpYWdvLCA4MzIwMDAwLCBDaGlsZS4g
bG1hbGVncmlAZ21haWwuY29tLiYjeEQ7RGVwYXJ0YW1lbnRvIGRlIENpcnVnaWEgRGlnZXN0aXZh
LCBGYWN1bHRhZCBkZSBNZWRpY2luYSwgUG9udGlmaWNpYSBVbml2ZXJzaWRhZCBDYXRvbGljYSBk
ZSBDaGlsZSwgTWFyY29sZXRhIDM2NywgU2FudGlhZ28sIDgzMjAwMDAsIENoaWxlLiBuamFydWZl
QG1lZC5wdWMuY2wuJiN4RDtVbmlkYWQgZGUgUGFjaWVudGVzIENyaXRpY29zLCBIb3NwaXRhbCBD
bGluaWNvIFVuaXZlcnNpZGFkIGRlIENoaWxlLCBTYW50b3MgRHVtb250IDk5OSwgU2FudGlhZ28s
IDgzODAwMDAsIENoaWxlLiBjZWx1ZW5nb21lZEBnbWFpbC5jb20uJiN4RDtEZXBhcnRhbWVudG8g
ZGUgTWVkaWNpbmEgSW50ZW5zaXZhLCBGYWN1bHRhZCBkZSBNZWRpY2luYSwgUG9udGlmaWNpYSBV
bml2ZXJzaWRhZCBDYXRvbGljYSBkZSBDaGlsZSwgTWFyY29sZXRhIDM2NywgU2FudGlhZ28sIDgz
MjAwMDAsIENoaWxlLiBlLmthdHRhbkBnbWFpbC5jb20uJiN4RDtEZXBhcnRhbWVudG8gZGUgTWVk
aWNpbmEgSW50ZW5zaXZhLCBGYWN1bHRhZCBkZSBNZWRpY2luYSwgUG9udGlmaWNpYSBVbml2ZXJz
aWRhZCBDYXRvbGljYSBkZSBDaGlsZSwgTWFyY29sZXRhIDM2NywgU2FudGlhZ28sIDgzMjAwMDAs
IENoaWxlLiB0cmVndWVpcmFAZ21haWwuY29tLiYjeEQ7RGVwYXJ0YW1lbnRvIGRlIE1lZGljaW5h
IEludGVuc2l2YSwgRmFjdWx0YWQgZGUgTWVkaWNpbmEsIFBvbnRpZmljaWEgVW5pdmVyc2lkYWQg
Q2F0b2xpY2EgZGUgQ2hpbGUsIE1hcmNvbGV0YSAzNjcsIFNhbnRpYWdvLCA4MzIwMDAwLCBDaGls
ZS4gYWFtZWlzc25lckB1Yy5jbC4mI3hEO0RlcGFydGFtZW50byBkZSBNZWRpY2luYSBJbnRlbnNp
dmEsIEZhY3VsdGFkIGRlIE1lZGljaW5hLCBQb250aWZpY2lhIFVuaXZlcnNpZGFkIENhdG9saWNh
IGRlIENoaWxlLCBNYXJjb2xldGEgMzY3LCBTYW50aWFnbywgODMyMDAwMCwgQ2hpbGUuIHJhbWVu
Y2hhY2FAdWMuY2wuJiN4RDtEZXBhcnRhbWVudG8gZGUgTWVkaWNpbmEgSW50ZW5zaXZhLCBGYWN1
bHRhZCBkZSBNZWRpY2luYSwgUG9udGlmaWNpYSBVbml2ZXJzaWRhZCBDYXRvbGljYSBkZSBDaGls
ZSwgTWFyY29sZXRhIDM2NywgU2FudGlhZ28sIDgzMjAwMDAsIENoaWxlLiBtaXZpdmVzQHVjLmNs
LiYjeEQ7RGVwYXJ0YW1lbnRvIGRlIE1lZGljaW5hIEludGVuc2l2YSwgRmFjdWx0YWQgZGUgTWVk
aWNpbmEsIFBvbnRpZmljaWEgVW5pdmVyc2lkYWQgQ2F0b2xpY2EgZGUgQ2hpbGUsIE1hcmNvbGV0
YSAzNjcsIFNhbnRpYWdvLCA4MzIwMDAwLCBDaGlsZS4gbmljb2xhc2VjaGV2ZXJyaWExOTc5QGdt
YWlsLmNvbS4mI3hEO0ludGVuc2l2ZSBDYXJlIE1lZGljaW5lIERlcGFydG1lbnQsIEZ1bmRhY2lv
biBWYWxsZSBkZWwgTGlsaSAtIFVuaXZlcnNpZGFkIElDRVNJLCBBdmVuaWRhIFNpbW9uIEJvbGl2
YXIgQ2FycmVyYSA5OCwgQ2FsaSwgNzYwMDEwMDAsIENvbG9tYmlhLiBndXNvc3BpbkBnbWFpbC5j
b20uJiN4RDtEZXBhcnRhbWVudG8gZGUgTWVkaWNpbmEgSW50ZW5zaXZhLCBGYWN1bHRhZCBkZSBN
ZWRpY2luYSwgUG9udGlmaWNpYSBVbml2ZXJzaWRhZCBDYXRvbGljYSBkZSBDaGlsZSwgTWFyY29s
ZXRhIDM2NywgU2FudGlhZ28sIDgzMjAwMDAsIENoaWxlLiBqYW4uYmFra2VyQGVyYXNtdXNtYy5u
bC4mI3hEO0RlcGFydG1lbnQgb2YgSW50ZW5zaXZlIENhcmUgQWR1bHRzLCBFcmFzbXVzIE1DIFVu
aXZlcnNpdHkgTWVkaWNhbCBDZW50cmUsIFBPIEJveCAyMDQwLCBSb29tIEg2MjUsIFJvdHRlcmRh
bSwgQ0EsIDMwMDAsIFRoZSBOZXRoZXJsYW5kcy4gamFuLmJha2tlckBlcmFzbXVzbWMubmwuJiN4
RDtEZXBhcnRhbWVudG8gZGUgTWVkaWNpbmEgSW50ZW5zaXZhLCBGYWN1bHRhZCBkZSBNZWRpY2lu
YSwgUG9udGlmaWNpYSBVbml2ZXJzaWRhZCBDYXRvbGljYSBkZSBDaGlsZSwgTWFyY29sZXRhIDM2
NywgU2FudGlhZ28sIDgzMjAwMDAsIENoaWxlLiBnbGVubmd1cnVAZ21haWwuY29tLjwvYXV0aC1h
ZGRyZXNzPjx0aXRsZXM+PHRpdGxlPkltcGFpcm1lbnQgb2YgZXhvZ2Vub3VzIGxhY3RhdGUgY2xl
YXJhbmNlIGluIGV4cGVyaW1lbnRhbCBoeXBlcmR5bmFtaWMgc2VwdGljIHNob2NrIGlzIG5vdCBy
ZWxhdGVkIHRvIHRvdGFsIGxpdmVyIGh5cG9wZXJmdXNpb248L3RpdGxlPjxzZWNvbmRhcnktdGl0
bGU+Q3JpdCBDYXJlPC9zZWNvbmRhcnktdGl0bGU+PC90aXRsZXM+PHBhZ2VzPjE4ODwvcGFnZXM+
PHZvbHVtZT4xOTwvdm9sdW1lPjxudW1iZXI+MTwvbnVtYmVyPjxlZGl0aW9uPjIwMTUvMDQvMjI8
L2VkaXRpb24+PGtleXdvcmRzPjxrZXl3b3JkPkFuaW1hbHM8L2tleXdvcmQ+PGtleXdvcmQ+SGVt
b2R5bmFtaWNzLypwaHlzaW9sb2d5PC9rZXl3b3JkPjxrZXl3b3JkPkh5cGVybGFjdGF0ZW1pYS8q
Ymxvb2QvcGF0aG9sb2d5PC9rZXl3b3JkPjxrZXl3b3JkPkxhY3RpYyBBY2lkLypibG9vZC9waGFy
bWFjb2xvZ3k8L2tleXdvcmQ+PGtleXdvcmQ+TGl2ZXIvYmxvb2Qgc3VwcGx5L2RydWcgZWZmZWN0
czwva2V5d29yZD48a2V5d29yZD5MaXZlciBEaXNlYXNlcy8qYmxvb2QvcGF0aG9sb2d5PC9rZXl3
b3JkPjxrZXl3b3JkPk1ldGFib2xpYyBDbGVhcmFuY2UgUmF0ZS9kcnVnIGVmZmVjdHMvKnBoeXNp
b2xvZ3k8L2tleXdvcmQ+PGtleXdvcmQ+U2hlZXA8L2tleXdvcmQ+PGtleXdvcmQ+U2hvY2ssIFNl
cHRpYy8qYmxvb2QvcGF0aG9sb2d5PC9rZXl3b3JkPjwva2V5d29yZHM+PGRhdGVzPjx5ZWFyPjIw
MTU8L3llYXI+PHB1Yi1kYXRlcz48ZGF0ZT5BcHIgMjI8L2RhdGU+PC9wdWItZGF0ZXM+PC9kYXRl
cz48aXNibj4xNDY2LTYwOVggKEVsZWN0cm9uaWMpJiN4RDsxMzY0LTg1MzUgKFByaW50KSYjeEQ7
MTM2NC04NTM1IChMaW5raW5nKTwvaXNibj48YWNjZXNzaW9uLW51bT4yNTg5ODI0NDwvYWNjZXNz
aW9uLW51bT48dXJscz48cmVsYXRlZC11cmxzPjx1cmw+aHR0cHM6Ly93d3cubmNiaS5ubG0ubmlo
Lmdvdi9wdWJtZWQvMjU4OTgyNDQ8L3VybD48L3JlbGF0ZWQtdXJscz48L3VybHM+PGN1c3RvbTI+
NDQzMjk1NjwvY3VzdG9tMj48ZWxlY3Ryb25pYy1yZXNvdXJjZS1udW0+MTAuMTE4Ni9zMTMwNTQt
MDE1LTA5MjgtMyBbcGlpXSYjeEQ7OTI4IFtwaWldJiN4RDsxMC4xMTg2L3MxMzA1NC0wMTUtMDky
OC0zPC9lbGVjdHJvbmljLXJlc291cmNlLW51bT48bGFuZ3VhZ2U+ZW5nPC9sYW5ndWFnZT48L3Jl
Y29yZD48L0NpdGU+PC9FbmROb3RlPgB=
</w:fldData>
        </w:fldChar>
      </w:r>
      <w:r w:rsidR="00CA6006">
        <w:rPr>
          <w:rFonts w:cs="Arial"/>
        </w:rPr>
        <w:instrText xml:space="preserve"> ADDIN EN.CITE </w:instrText>
      </w:r>
      <w:r w:rsidR="00CA6006">
        <w:rPr>
          <w:rFonts w:cs="Arial"/>
        </w:rPr>
        <w:fldChar w:fldCharType="begin">
          <w:fldData xml:space="preserve">PEVuZE5vdGU+PENpdGU+PEF1dGhvcj5UYXBpYTwvQXV0aG9yPjxZZWFyPjIwMTU8L1llYXI+PFJl
Y051bT42MDwvUmVjTnVtPjxEaXNwbGF5VGV4dD5bNV08L0Rpc3BsYXlUZXh0PjxyZWNvcmQ+PHJl
Yy1udW1iZXI+NjA8L3JlYy1udW1iZXI+PGZvcmVpZ24ta2V5cz48a2V5IGFwcD0iRU4iIGRiLWlk
PSJwZGYyOWF3MHcydHYweWVkdzV5djJyYW0wcHQwZnp0YTVzeHMiIHRpbWVzdGFtcD0iMTcyNDg0
Nzc2NyI+NjA8L2tleT48L2ZvcmVpZ24ta2V5cz48cmVmLXR5cGUgbmFtZT0iSm91cm5hbCBBcnRp
Y2xlIj4xNzwvcmVmLXR5cGU+PGNvbnRyaWJ1dG9ycz48YXV0aG9ycz48YXV0aG9yPlRhcGlhLCBQ
LjwvYXV0aG9yPjxhdXRob3I+U290bywgRC48L2F1dGhvcj48YXV0aG9yPkJydWhuLCBBLjwvYXV0
aG9yPjxhdXRob3I+QWxlZ3JpYSwgTC48L2F1dGhvcj48YXV0aG9yPkphcnVmZSwgTi48L2F1dGhv
cj48YXV0aG9yPkx1ZW5nbywgQy48L2F1dGhvcj48YXV0aG9yPkthdHRhbiwgRS48L2F1dGhvcj48
YXV0aG9yPlJlZ3VlaXJhLCBULjwvYXV0aG9yPjxhdXRob3I+TWVpc3NuZXIsIEEuPC9hdXRob3I+
PGF1dGhvcj5NZW5jaGFjYSwgUi48L2F1dGhvcj48YXV0aG9yPlZpdmVzLCBNLiBJLjwvYXV0aG9y
PjxhdXRob3I+RWNoZXZlcnJpYSwgTi48L2F1dGhvcj48YXV0aG9yPk9zcGluYS1UYXNjb24sIEcu
PC9hdXRob3I+PGF1dGhvcj5CYWtrZXIsIEouPC9hdXRob3I+PGF1dGhvcj5IZXJuYW5kZXosIEcu
PC9hdXRob3I+PC9hdXRob3JzPjwvY29udHJpYnV0b3JzPjxhdXRoLWFkZHJlc3M+RGVwYXJ0YW1l
bnRvIGRlIE1lZGljaW5hIEludGVuc2l2YSwgRmFjdWx0YWQgZGUgTWVkaWNpbmEsIFBvbnRpZmlj
aWEgVW5pdmVyc2lkYWQgQ2F0b2xpY2EgZGUgQ2hpbGUsIE1hcmNvbGV0YSAzNjcsIFNhbnRpYWdv
LCA4MzIwMDAwLCBDaGlsZS4gcGF0YXBpYWJAZ21haWwuY29tLiYjeEQ7RGVwYXJ0YW1lbnRvIGRl
IE1lZGljaW5hIEludGVuc2l2YSwgRmFjdWx0YWQgZGUgTWVkaWNpbmEsIFBvbnRpZmljaWEgVW5p
dmVyc2lkYWQgQ2F0b2xpY2EgZGUgQ2hpbGUsIE1hcmNvbGV0YSAzNjcsIFNhbnRpYWdvLCA4MzIw
MDAwLCBDaGlsZS4gZGFzb3RvQGlsbGlub2lzLmVkdS4mI3hEO0RlcGFydGFtZW50byBkZSBNZWRp
Y2luYSBJbnRlbnNpdmEsIEZhY3VsdGFkIGRlIE1lZGljaW5hLCBQb250aWZpY2lhIFVuaXZlcnNp
ZGFkIENhdG9saWNhIGRlIENoaWxlLCBNYXJjb2xldGEgMzY3LCBTYW50aWFnbywgODMyMDAwMCwg
Q2hpbGUuIGFicnVobkBtZWQucHVjLmNsLiYjeEQ7RGVwYXJ0YW1lbnRvIGRlIE1lZGljaW5hIElu
dGVuc2l2YSwgRmFjdWx0YWQgZGUgTWVkaWNpbmEsIFBvbnRpZmljaWEgVW5pdmVyc2lkYWQgQ2F0
b2xpY2EgZGUgQ2hpbGUsIE1hcmNvbGV0YSAzNjcsIFNhbnRpYWdvLCA4MzIwMDAwLCBDaGlsZS4g
bG1hbGVncmlAZ21haWwuY29tLiYjeEQ7RGVwYXJ0YW1lbnRvIGRlIENpcnVnaWEgRGlnZXN0aXZh
LCBGYWN1bHRhZCBkZSBNZWRpY2luYSwgUG9udGlmaWNpYSBVbml2ZXJzaWRhZCBDYXRvbGljYSBk
ZSBDaGlsZSwgTWFyY29sZXRhIDM2NywgU2FudGlhZ28sIDgzMjAwMDAsIENoaWxlLiBuamFydWZl
QG1lZC5wdWMuY2wuJiN4RDtVbmlkYWQgZGUgUGFjaWVudGVzIENyaXRpY29zLCBIb3NwaXRhbCBD
bGluaWNvIFVuaXZlcnNpZGFkIGRlIENoaWxlLCBTYW50b3MgRHVtb250IDk5OSwgU2FudGlhZ28s
IDgzODAwMDAsIENoaWxlLiBjZWx1ZW5nb21lZEBnbWFpbC5jb20uJiN4RDtEZXBhcnRhbWVudG8g
ZGUgTWVkaWNpbmEgSW50ZW5zaXZhLCBGYWN1bHRhZCBkZSBNZWRpY2luYSwgUG9udGlmaWNpYSBV
bml2ZXJzaWRhZCBDYXRvbGljYSBkZSBDaGlsZSwgTWFyY29sZXRhIDM2NywgU2FudGlhZ28sIDgz
MjAwMDAsIENoaWxlLiBlLmthdHRhbkBnbWFpbC5jb20uJiN4RDtEZXBhcnRhbWVudG8gZGUgTWVk
aWNpbmEgSW50ZW5zaXZhLCBGYWN1bHRhZCBkZSBNZWRpY2luYSwgUG9udGlmaWNpYSBVbml2ZXJz
aWRhZCBDYXRvbGljYSBkZSBDaGlsZSwgTWFyY29sZXRhIDM2NywgU2FudGlhZ28sIDgzMjAwMDAs
IENoaWxlLiB0cmVndWVpcmFAZ21haWwuY29tLiYjeEQ7RGVwYXJ0YW1lbnRvIGRlIE1lZGljaW5h
IEludGVuc2l2YSwgRmFjdWx0YWQgZGUgTWVkaWNpbmEsIFBvbnRpZmljaWEgVW5pdmVyc2lkYWQg
Q2F0b2xpY2EgZGUgQ2hpbGUsIE1hcmNvbGV0YSAzNjcsIFNhbnRpYWdvLCA4MzIwMDAwLCBDaGls
ZS4gYWFtZWlzc25lckB1Yy5jbC4mI3hEO0RlcGFydGFtZW50byBkZSBNZWRpY2luYSBJbnRlbnNp
dmEsIEZhY3VsdGFkIGRlIE1lZGljaW5hLCBQb250aWZpY2lhIFVuaXZlcnNpZGFkIENhdG9saWNh
IGRlIENoaWxlLCBNYXJjb2xldGEgMzY3LCBTYW50aWFnbywgODMyMDAwMCwgQ2hpbGUuIHJhbWVu
Y2hhY2FAdWMuY2wuJiN4RDtEZXBhcnRhbWVudG8gZGUgTWVkaWNpbmEgSW50ZW5zaXZhLCBGYWN1
bHRhZCBkZSBNZWRpY2luYSwgUG9udGlmaWNpYSBVbml2ZXJzaWRhZCBDYXRvbGljYSBkZSBDaGls
ZSwgTWFyY29sZXRhIDM2NywgU2FudGlhZ28sIDgzMjAwMDAsIENoaWxlLiBtaXZpdmVzQHVjLmNs
LiYjeEQ7RGVwYXJ0YW1lbnRvIGRlIE1lZGljaW5hIEludGVuc2l2YSwgRmFjdWx0YWQgZGUgTWVk
aWNpbmEsIFBvbnRpZmljaWEgVW5pdmVyc2lkYWQgQ2F0b2xpY2EgZGUgQ2hpbGUsIE1hcmNvbGV0
YSAzNjcsIFNhbnRpYWdvLCA4MzIwMDAwLCBDaGlsZS4gbmljb2xhc2VjaGV2ZXJyaWExOTc5QGdt
YWlsLmNvbS4mI3hEO0ludGVuc2l2ZSBDYXJlIE1lZGljaW5lIERlcGFydG1lbnQsIEZ1bmRhY2lv
biBWYWxsZSBkZWwgTGlsaSAtIFVuaXZlcnNpZGFkIElDRVNJLCBBdmVuaWRhIFNpbW9uIEJvbGl2
YXIgQ2FycmVyYSA5OCwgQ2FsaSwgNzYwMDEwMDAsIENvbG9tYmlhLiBndXNvc3BpbkBnbWFpbC5j
b20uJiN4RDtEZXBhcnRhbWVudG8gZGUgTWVkaWNpbmEgSW50ZW5zaXZhLCBGYWN1bHRhZCBkZSBN
ZWRpY2luYSwgUG9udGlmaWNpYSBVbml2ZXJzaWRhZCBDYXRvbGljYSBkZSBDaGlsZSwgTWFyY29s
ZXRhIDM2NywgU2FudGlhZ28sIDgzMjAwMDAsIENoaWxlLiBqYW4uYmFra2VyQGVyYXNtdXNtYy5u
bC4mI3hEO0RlcGFydG1lbnQgb2YgSW50ZW5zaXZlIENhcmUgQWR1bHRzLCBFcmFzbXVzIE1DIFVu
aXZlcnNpdHkgTWVkaWNhbCBDZW50cmUsIFBPIEJveCAyMDQwLCBSb29tIEg2MjUsIFJvdHRlcmRh
bSwgQ0EsIDMwMDAsIFRoZSBOZXRoZXJsYW5kcy4gamFuLmJha2tlckBlcmFzbXVzbWMubmwuJiN4
RDtEZXBhcnRhbWVudG8gZGUgTWVkaWNpbmEgSW50ZW5zaXZhLCBGYWN1bHRhZCBkZSBNZWRpY2lu
YSwgUG9udGlmaWNpYSBVbml2ZXJzaWRhZCBDYXRvbGljYSBkZSBDaGlsZSwgTWFyY29sZXRhIDM2
NywgU2FudGlhZ28sIDgzMjAwMDAsIENoaWxlLiBnbGVubmd1cnVAZ21haWwuY29tLjwvYXV0aC1h
ZGRyZXNzPjx0aXRsZXM+PHRpdGxlPkltcGFpcm1lbnQgb2YgZXhvZ2Vub3VzIGxhY3RhdGUgY2xl
YXJhbmNlIGluIGV4cGVyaW1lbnRhbCBoeXBlcmR5bmFtaWMgc2VwdGljIHNob2NrIGlzIG5vdCBy
ZWxhdGVkIHRvIHRvdGFsIGxpdmVyIGh5cG9wZXJmdXNpb248L3RpdGxlPjxzZWNvbmRhcnktdGl0
bGU+Q3JpdCBDYXJlPC9zZWNvbmRhcnktdGl0bGU+PC90aXRsZXM+PHBhZ2VzPjE4ODwvcGFnZXM+
PHZvbHVtZT4xOTwvdm9sdW1lPjxudW1iZXI+MTwvbnVtYmVyPjxlZGl0aW9uPjIwMTUvMDQvMjI8
L2VkaXRpb24+PGtleXdvcmRzPjxrZXl3b3JkPkFuaW1hbHM8L2tleXdvcmQ+PGtleXdvcmQ+SGVt
b2R5bmFtaWNzLypwaHlzaW9sb2d5PC9rZXl3b3JkPjxrZXl3b3JkPkh5cGVybGFjdGF0ZW1pYS8q
Ymxvb2QvcGF0aG9sb2d5PC9rZXl3b3JkPjxrZXl3b3JkPkxhY3RpYyBBY2lkLypibG9vZC9waGFy
bWFjb2xvZ3k8L2tleXdvcmQ+PGtleXdvcmQ+TGl2ZXIvYmxvb2Qgc3VwcGx5L2RydWcgZWZmZWN0
czwva2V5d29yZD48a2V5d29yZD5MaXZlciBEaXNlYXNlcy8qYmxvb2QvcGF0aG9sb2d5PC9rZXl3
b3JkPjxrZXl3b3JkPk1ldGFib2xpYyBDbGVhcmFuY2UgUmF0ZS9kcnVnIGVmZmVjdHMvKnBoeXNp
b2xvZ3k8L2tleXdvcmQ+PGtleXdvcmQ+U2hlZXA8L2tleXdvcmQ+PGtleXdvcmQ+U2hvY2ssIFNl
cHRpYy8qYmxvb2QvcGF0aG9sb2d5PC9rZXl3b3JkPjwva2V5d29yZHM+PGRhdGVzPjx5ZWFyPjIw
MTU8L3llYXI+PHB1Yi1kYXRlcz48ZGF0ZT5BcHIgMjI8L2RhdGU+PC9wdWItZGF0ZXM+PC9kYXRl
cz48aXNibj4xNDY2LTYwOVggKEVsZWN0cm9uaWMpJiN4RDsxMzY0LTg1MzUgKFByaW50KSYjeEQ7
MTM2NC04NTM1IChMaW5raW5nKTwvaXNibj48YWNjZXNzaW9uLW51bT4yNTg5ODI0NDwvYWNjZXNz
aW9uLW51bT48dXJscz48cmVsYXRlZC11cmxzPjx1cmw+aHR0cHM6Ly93d3cubmNiaS5ubG0ubmlo
Lmdvdi9wdWJtZWQvMjU4OTgyNDQ8L3VybD48L3JlbGF0ZWQtdXJscz48L3VybHM+PGN1c3RvbTI+
NDQzMjk1NjwvY3VzdG9tMj48ZWxlY3Ryb25pYy1yZXNvdXJjZS1udW0+MTAuMTE4Ni9zMTMwNTQt
MDE1LTA5MjgtMyBbcGlpXSYjeEQ7OTI4IFtwaWldJiN4RDsxMC4xMTg2L3MxMzA1NC0wMTUtMDky
OC0zPC9lbGVjdHJvbmljLXJlc291cmNlLW51bT48bGFuZ3VhZ2U+ZW5nPC9sYW5ndWFnZT48L3Jl
Y29yZD48L0NpdGU+PC9FbmROb3RlPgB=
</w:fldData>
        </w:fldChar>
      </w:r>
      <w:r w:rsidR="00CA6006">
        <w:rPr>
          <w:rFonts w:cs="Arial"/>
        </w:rPr>
        <w:instrText xml:space="preserve"> ADDIN EN.CITE.DATA </w:instrText>
      </w:r>
      <w:r w:rsidR="00CA6006">
        <w:rPr>
          <w:rFonts w:cs="Arial"/>
        </w:rPr>
      </w:r>
      <w:r w:rsidR="00CA6006">
        <w:rPr>
          <w:rFonts w:cs="Arial"/>
        </w:rPr>
        <w:fldChar w:fldCharType="end"/>
      </w:r>
      <w:r w:rsidRPr="00137AAA">
        <w:rPr>
          <w:rFonts w:cs="Arial"/>
        </w:rPr>
      </w:r>
      <w:r w:rsidRPr="00137AAA">
        <w:rPr>
          <w:rFonts w:cs="Arial"/>
        </w:rPr>
        <w:fldChar w:fldCharType="separate"/>
      </w:r>
      <w:r w:rsidR="00CA6006">
        <w:rPr>
          <w:rFonts w:cs="Arial"/>
          <w:noProof/>
        </w:rPr>
        <w:t>[5]</w:t>
      </w:r>
      <w:r w:rsidRPr="00137AAA">
        <w:rPr>
          <w:rFonts w:cs="Arial"/>
        </w:rPr>
        <w:fldChar w:fldCharType="end"/>
      </w:r>
      <w:r w:rsidRPr="00137AAA">
        <w:rPr>
          <w:rFonts w:cs="Arial"/>
        </w:rPr>
        <w:t xml:space="preserve">, and by Bakker et al., who emphasized the importance of distinguishing impaired lactate clearance from increased lactate production when interpreting hyperlactatemia in critically ill patients </w:t>
      </w:r>
      <w:r w:rsidRPr="00137AAA">
        <w:rPr>
          <w:rFonts w:cs="Arial"/>
        </w:rPr>
        <w:fldChar w:fldCharType="begin"/>
      </w:r>
      <w:r w:rsidR="00CA6006">
        <w:rPr>
          <w:rFonts w:cs="Arial"/>
        </w:rPr>
        <w:instrText xml:space="preserve"> ADDIN EN.CITE &lt;EndNote&gt;&lt;Cite&gt;&lt;Author&gt;Bakker&lt;/Author&gt;&lt;Year&gt;2016&lt;/Year&gt;&lt;RecNum&gt;43&lt;/RecNum&gt;&lt;DisplayText&gt;[6]&lt;/DisplayText&gt;&lt;record&gt;&lt;rec-number&gt;43&lt;/rec-number&gt;&lt;foreign-keys&gt;&lt;key app="EN" db-id="pdf29aw0w2tv0yedw5yv2ram0pt0fzta5sxs" timestamp="1724847765"&gt;43&lt;/key&gt;&lt;/foreign-keys&gt;&lt;ref-type name="Journal Article"&gt;17&lt;/ref-type&gt;&lt;contributors&gt;&lt;authors&gt;&lt;author&gt;Bakker, J.&lt;/author&gt;&lt;author&gt;de Backer, D.&lt;/author&gt;&lt;author&gt;Hernandez, G.&lt;/author&gt;&lt;/authors&gt;&lt;/contributors&gt;&lt;auth-address&gt;Department Intensive Care Adults, Erasmus MC University Medical Center, Room H625, P.O. Box 2040, 3000 CA, Rotterdam, The Netherlands. jan.bakker@erasmusmc.nl.&amp;#xD;Departamento de Medicina Intensiva, Facultad de Medicina, Pontificia Universidad Catolica de Chile, Santiago, Chile. jan.bakker@erasmusmc.nl.&amp;#xD;Division of Pulmonary, Allergy, and Critical Care Medicine, Department of Medicine, Columbia University Medical Center, New York, USA. jan.bakker@erasmusmc.nl.&amp;#xD;Universite Libre de Bruxelles, Brussels, Belgium.&amp;#xD;Department of Intensive Care, CHIREC Hospitals, Brussels, Belgium.&amp;#xD;Departamento de Medicina Intensiva, Facultad de Medicina, Pontificia Universidad Catolica de Chile, Santiago, Chile.&lt;/auth-address&gt;&lt;titles&gt;&lt;title&gt;Lactate-guided resuscitation saves lives: we are not sure&lt;/title&gt;&lt;secondary-title&gt;Intensive Care Med&lt;/secondary-title&gt;&lt;/titles&gt;&lt;pages&gt;472-474&lt;/pages&gt;&lt;volume&gt;42&lt;/volume&gt;&lt;number&gt;3&lt;/number&gt;&lt;edition&gt;2016/02/03&lt;/edition&gt;&lt;keywords&gt;&lt;keyword&gt;Biomarkers/*blood&lt;/keyword&gt;&lt;keyword&gt;Humans&lt;/keyword&gt;&lt;keyword&gt;Lactic Acid/*blood&lt;/keyword&gt;&lt;keyword&gt;Resuscitation/*methods&lt;/keyword&gt;&lt;keyword&gt;Shock/*therapy&lt;/keyword&gt;&lt;/keywords&gt;&lt;dates&gt;&lt;year&gt;2016&lt;/year&gt;&lt;pub-dates&gt;&lt;date&gt;Mar&lt;/date&gt;&lt;/pub-dates&gt;&lt;/dates&gt;&lt;isbn&gt;1432-1238 (Electronic)&amp;#xD;0342-4642 (Linking)&lt;/isbn&gt;&lt;accession-num&gt;26831675&lt;/accession-num&gt;&lt;urls&gt;&lt;related-urls&gt;&lt;url&gt;https://www.ncbi.nlm.nih.gov/pubmed/26831675&lt;/url&gt;&lt;/related-urls&gt;&lt;/urls&gt;&lt;electronic-resource-num&gt;10.1007/s00134-016-4220-z [pii]&amp;#xD;10.1007/s00134-016-4220-z&lt;/electronic-resource-num&gt;&lt;language&gt;eng&lt;/language&gt;&lt;/record&gt;&lt;/Cite&gt;&lt;/EndNote&gt;</w:instrText>
      </w:r>
      <w:r w:rsidRPr="00137AAA">
        <w:rPr>
          <w:rFonts w:cs="Arial"/>
        </w:rPr>
        <w:fldChar w:fldCharType="separate"/>
      </w:r>
      <w:r w:rsidR="00CA6006">
        <w:rPr>
          <w:rFonts w:cs="Arial"/>
          <w:noProof/>
        </w:rPr>
        <w:t>[6]</w:t>
      </w:r>
      <w:r w:rsidRPr="00137AAA">
        <w:rPr>
          <w:rFonts w:cs="Arial"/>
        </w:rPr>
        <w:fldChar w:fldCharType="end"/>
      </w:r>
      <w:r w:rsidRPr="00137AAA">
        <w:rPr>
          <w:rFonts w:cs="Arial"/>
        </w:rPr>
        <w:t xml:space="preserve">. Collectively, these data support the </w:t>
      </w:r>
      <w:r w:rsidR="00452A8A">
        <w:rPr>
          <w:rFonts w:cs="Arial"/>
        </w:rPr>
        <w:t>interpretation</w:t>
      </w:r>
      <w:r w:rsidRPr="00137AAA">
        <w:rPr>
          <w:rFonts w:cs="Arial"/>
        </w:rPr>
        <w:t xml:space="preserve"> that lactate elevation during early endotoxemia reflects </w:t>
      </w:r>
      <w:r w:rsidR="00CA6006">
        <w:rPr>
          <w:rFonts w:cs="Arial"/>
        </w:rPr>
        <w:t>both</w:t>
      </w:r>
      <w:r w:rsidRPr="00137AAA">
        <w:rPr>
          <w:rFonts w:cs="Arial"/>
        </w:rPr>
        <w:t xml:space="preserve"> metabolic responses and reduced hepatic clearance capacity</w:t>
      </w:r>
      <w:r w:rsidR="00CA6006">
        <w:rPr>
          <w:rFonts w:cs="Arial"/>
        </w:rPr>
        <w:t>.</w:t>
      </w:r>
    </w:p>
    <w:p w14:paraId="3FD080EE" w14:textId="77777777" w:rsidR="00A724FA" w:rsidRPr="00137AAA" w:rsidRDefault="00A724FA" w:rsidP="00AF335B">
      <w:pPr>
        <w:rPr>
          <w:rFonts w:cs="Arial"/>
        </w:rPr>
      </w:pPr>
    </w:p>
    <w:p w14:paraId="3CEEEF19" w14:textId="497EC872" w:rsidR="00A724FA" w:rsidRPr="00137AAA" w:rsidRDefault="00A724FA" w:rsidP="00AF335B">
      <w:pPr>
        <w:rPr>
          <w:rFonts w:cs="Arial"/>
        </w:rPr>
      </w:pPr>
      <w:r w:rsidRPr="00137AAA">
        <w:rPr>
          <w:rFonts w:cs="Arial"/>
        </w:rPr>
        <w:t xml:space="preserve">Renal function exhibited a distinct and time-dependent pattern. Right kidney clearance was </w:t>
      </w:r>
      <w:r w:rsidR="00CA6006">
        <w:rPr>
          <w:rFonts w:cs="Arial"/>
        </w:rPr>
        <w:t>lower in LPS-2</w:t>
      </w:r>
      <w:r w:rsidRPr="00137AAA">
        <w:rPr>
          <w:rFonts w:cs="Arial"/>
        </w:rPr>
        <w:t xml:space="preserve"> at 120 minutes, coinciding with a greater hypotension burden as reflected by increased time-weighted average MAP </w:t>
      </w:r>
      <w:r w:rsidR="00CA6006">
        <w:rPr>
          <w:rFonts w:cs="Arial"/>
        </w:rPr>
        <w:t>&lt;</w:t>
      </w:r>
      <w:r w:rsidRPr="00137AAA">
        <w:rPr>
          <w:rFonts w:cs="Arial"/>
        </w:rPr>
        <w:t xml:space="preserve">60 mmHg. This association is consistent with clinical observations linking cumulative hypotension exposure to acute kidney injury, as reported by Maheshwari et al., although causality cannot be inferred in the present model </w:t>
      </w:r>
      <w:r w:rsidRPr="00137AAA">
        <w:rPr>
          <w:rFonts w:cs="Arial"/>
        </w:rPr>
        <w:fldChar w:fldCharType="begin">
          <w:fldData xml:space="preserve">PEVuZE5vdGU+PENpdGU+PEF1dGhvcj5NYWhlc2h3YXJpPC9BdXRob3I+PFllYXI+MjAxODwvWWVh
cj48UmVjTnVtPjUyPC9SZWNOdW0+PERpc3BsYXlUZXh0Pls3XTwvRGlzcGxheVRleHQ+PHJlY29y
ZD48cmVjLW51bWJlcj41MjwvcmVjLW51bWJlcj48Zm9yZWlnbi1rZXlzPjxrZXkgYXBwPSJFTiIg
ZGItaWQ9InBkZjI5YXcwdzJ0djB5ZWR3NXl2MnJhbTBwdDBmenRhNXN4cyIgdGltZXN0YW1wPSIx
NzI0ODQ3NzY2Ij41Mjwva2V5PjwvZm9yZWlnbi1rZXlzPjxyZWYtdHlwZSBuYW1lPSJKb3VybmFs
IEFydGljbGUiPjE3PC9yZWYtdHlwZT48Y29udHJpYnV0b3JzPjxhdXRob3JzPjxhdXRob3I+TWFo
ZXNod2FyaSwgSy48L2F1dGhvcj48YXV0aG9yPk5hdGhhbnNvbiwgQi4gSC48L2F1dGhvcj48YXV0
aG9yPk11bnNvbiwgUy4gSC48L2F1dGhvcj48YXV0aG9yPktoYW5ndWxvdiwgVi48L2F1dGhvcj48
YXV0aG9yPlN0ZXZlbnMsIE0uPC9hdXRob3I+PGF1dGhvcj5CYWRhbmksIEguPC9hdXRob3I+PGF1
dGhvcj5LaGFubmEsIEEuIEsuPC9hdXRob3I+PGF1dGhvcj5TZXNzbGVyLCBELiBJLjwvYXV0aG9y
PjwvYXV0aG9ycz48L2NvbnRyaWJ1dG9ycz48YXV0aC1hZGRyZXNzPkRlcGFydG1lbnQgb2YgT3V0
Y29tZXMgUmVzZWFyY2gsIENlbnRlciBmb3IgUGVyaW9wZXJhdGl2ZSBJbnRlbGxpZ2VuY2UsIEFu
ZXN0aGVzaW9sb2d5IEluc3RpdHV0ZSwgQ2xldmVsYW5kIENsaW5pYywgQ2xldmVsYW5kLCBPSCwg
VVNBLiBtYWhlc2hrQGNjZi5vcmcuJiN4RDtEZXBhcnRtZW50IG9mIEdlbmVyYWwgQW5lc3RoZXNp
b2xvZ3ksIEFuZXN0aGVzaW9sb2d5IEluc3RpdHV0ZSwgQ2xldmVsYW5kIENsaW5pYywgOTUwMCBF
dWNsaWQgQXZlbnVlLCBFLTMxLCBDbGV2ZWxhbmQsIE9ILCA0NDE5NSwgVVNBLiBtYWhlc2hrQGNj
Zi5vcmcuJiN4RDtPcHRpU3RhdGltLCBMTEMsIExvbmdtZWFkb3csIE1BLCBVU0EuJiN4RDtEZXBh
cnRtZW50IG9mIEhlYWx0aCBFY29ub21pY3MgYW5kIE91dGNvbWVzIFJlc2VhcmNoLCBCb3N0b24g
U3RyYXRlZ2ljIFBhcnRuZXJzLCBJbmMuLCBCb3N0b24sIE1BLCBVU0EuJiN4RDtFZHdhcmRzIExp
ZmVzY2llbmNlcywgSXJ2aW5lLCBDQSwgVVNBLiYjeEQ7RGVwYXJ0bWVudCBvZiBPdXRjb21lcyBS
ZXNlYXJjaCwgQ2VudGVyIGZvciBDcml0aWNhbCBDYXJlLCBBbmVzdGhlc2lvbG9neSBJbnN0aXR1
dGUsIENsZXZlbGFuZCBDbGluaWMsIENsZXZlbGFuZCwgT0gsIFVTQS4mI3hEO0RlcGFydG1lbnQg
b2YgT3V0Y29tZXMgUmVzZWFyY2gsIEFuZXN0aGVzaW9sb2d5IEluc3RpdHV0ZSwgQ2xldmVsYW5k
IENsaW5pYywgQ2xldmVsYW5kLCBPSCwgVVNBLjwvYXV0aC1hZGRyZXNzPjx0aXRsZXM+PHRpdGxl
PlRoZSByZWxhdGlvbnNoaXAgYmV0d2VlbiBJQ1UgaHlwb3RlbnNpb24gYW5kIGluLWhvc3BpdGFs
IG1vcnRhbGl0eSBhbmQgbW9yYmlkaXR5IGluIHNlcHRpYyBwYXRpZW50czwvdGl0bGU+PHNlY29u
ZGFyeS10aXRsZT5JbnRlbnNpdmUgQ2FyZSBNZWQ8L3NlY29uZGFyeS10aXRsZT48L3RpdGxlcz48
cGFnZXM+ODU3LTg2NzwvcGFnZXM+PHZvbHVtZT40NDwvdm9sdW1lPjxudW1iZXI+NjwvbnVtYmVy
PjxlZGl0aW9uPjIwMTgvMDYvMDc8L2VkaXRpb24+PGtleXdvcmRzPjxrZXl3b3JkPkFjdXRlIEtp
ZG5leSBJbmp1cnkvZXRpb2xvZ3kvcGh5c2lvcGF0aG9sb2d5Lyp0aGVyYXB5PC9rZXl3b3JkPjxr
ZXl3b3JkPkFkdWx0PC9rZXl3b3JkPjxrZXl3b3JkPkFnZWQ8L2tleXdvcmQ+PGtleXdvcmQ+QWdl
ZCwgODAgYW5kIG92ZXI8L2tleXdvcmQ+PGtleXdvcmQ+RmVtYWxlPC9rZXl3b3JkPjxrZXl3b3Jk
PkhlYXJ0IEluanVyaWVzL2V0aW9sb2d5L3BoeXNpb3BhdGhvbG9neS8qdGhlcmFweTwva2V5d29y
ZD48a2V5d29yZD4qSG9zcGl0YWwgTW9ydGFsaXR5PC9rZXl3b3JkPjxrZXl3b3JkPkh1bWFuczwv
a2V5d29yZD48a2V5d29yZD5IeXBvdGVuc2lvbi9ldGlvbG9neS9waHlzaW9wYXRob2xvZ3kvKnRo
ZXJhcHk8L2tleXdvcmQ+PGtleXdvcmQ+SW50ZW5zaXZlIENhcmUgVW5pdHMvKnN0YXRpc3RpY3Mg
JmFtcDsgbnVtZXJpY2FsIGRhdGE8L2tleXdvcmQ+PGtleXdvcmQ+TWFsZTwva2V5d29yZD48a2V5
d29yZD5NaWRkbGUgQWdlZDwva2V5d29yZD48a2V5d29yZD5Nb3JiaWRpdHk8L2tleXdvcmQ+PGtl
eXdvcmQ+T2RkcyBSYXRpbzwva2V5d29yZD48a2V5d29yZD5SZXRyb3NwZWN0aXZlIFN0dWRpZXM8
L2tleXdvcmQ+PGtleXdvcmQ+UmlzayBGYWN0b3JzPC9rZXl3b3JkPjxrZXl3b3JkPlNlcHNpcy8q
Y29tcGxpY2F0aW9ucy8qbW9ydGFsaXR5PC9rZXl3b3JkPjxrZXl3b3JkPlVuaXRlZCBTdGF0ZXM8
L2tleXdvcmQ+PC9rZXl3b3Jkcz48ZGF0ZXM+PHllYXI+MjAxODwveWVhcj48cHViLWRhdGVzPjxk
YXRlPkp1bjwvZGF0ZT48L3B1Yi1kYXRlcz48L2RhdGVzPjxpc2JuPjE0MzItMTIzOCAoRWxlY3Ry
b25pYykmI3hEOzAzNDItNDY0MiAoUHJpbnQpJiN4RDswMzQyLTQ2NDIgKExpbmtpbmcpPC9pc2Ju
PjxhY2Nlc3Npb24tbnVtPjI5ODcyODgyPC9hY2Nlc3Npb24tbnVtPjx1cmxzPjxyZWxhdGVkLXVy
bHM+PHVybD5odHRwczovL3d3dy5uY2JpLm5sbS5uaWguZ292L3B1Ym1lZC8yOTg3Mjg4MjwvdXJs
PjwvcmVsYXRlZC11cmxzPjwvdXJscz48Y3VzdG9tMj42MDEzNTA4PC9jdXN0b20yPjxlbGVjdHJv
bmljLXJlc291cmNlLW51bT4xMC4xMDA3L3MwMDEzNC0wMTgtNTIxOC01IFtwaWldJiN4RDs1MjE4
IFtwaWldJiN4RDsxMC4xMDA3L3MwMDEzNC0wMTgtNTIxOC01PC9lbGVjdHJvbmljLXJlc291cmNl
LW51bT48bGFuZ3VhZ2U+ZW5nPC9sYW5ndWFnZT48L3JlY29yZD48L0NpdGU+PC9FbmROb3RlPn==
</w:fldData>
        </w:fldChar>
      </w:r>
      <w:r w:rsidR="00CA6006">
        <w:rPr>
          <w:rFonts w:cs="Arial"/>
        </w:rPr>
        <w:instrText xml:space="preserve"> ADDIN EN.CITE </w:instrText>
      </w:r>
      <w:r w:rsidR="00CA6006">
        <w:rPr>
          <w:rFonts w:cs="Arial"/>
        </w:rPr>
        <w:fldChar w:fldCharType="begin">
          <w:fldData xml:space="preserve">PEVuZE5vdGU+PENpdGU+PEF1dGhvcj5NYWhlc2h3YXJpPC9BdXRob3I+PFllYXI+MjAxODwvWWVh
cj48UmVjTnVtPjUyPC9SZWNOdW0+PERpc3BsYXlUZXh0Pls3XTwvRGlzcGxheVRleHQ+PHJlY29y
ZD48cmVjLW51bWJlcj41MjwvcmVjLW51bWJlcj48Zm9yZWlnbi1rZXlzPjxrZXkgYXBwPSJFTiIg
ZGItaWQ9InBkZjI5YXcwdzJ0djB5ZWR3NXl2MnJhbTBwdDBmenRhNXN4cyIgdGltZXN0YW1wPSIx
NzI0ODQ3NzY2Ij41Mjwva2V5PjwvZm9yZWlnbi1rZXlzPjxyZWYtdHlwZSBuYW1lPSJKb3VybmFs
IEFydGljbGUiPjE3PC9yZWYtdHlwZT48Y29udHJpYnV0b3JzPjxhdXRob3JzPjxhdXRob3I+TWFo
ZXNod2FyaSwgSy48L2F1dGhvcj48YXV0aG9yPk5hdGhhbnNvbiwgQi4gSC48L2F1dGhvcj48YXV0
aG9yPk11bnNvbiwgUy4gSC48L2F1dGhvcj48YXV0aG9yPktoYW5ndWxvdiwgVi48L2F1dGhvcj48
YXV0aG9yPlN0ZXZlbnMsIE0uPC9hdXRob3I+PGF1dGhvcj5CYWRhbmksIEguPC9hdXRob3I+PGF1
dGhvcj5LaGFubmEsIEEuIEsuPC9hdXRob3I+PGF1dGhvcj5TZXNzbGVyLCBELiBJLjwvYXV0aG9y
PjwvYXV0aG9ycz48L2NvbnRyaWJ1dG9ycz48YXV0aC1hZGRyZXNzPkRlcGFydG1lbnQgb2YgT3V0
Y29tZXMgUmVzZWFyY2gsIENlbnRlciBmb3IgUGVyaW9wZXJhdGl2ZSBJbnRlbGxpZ2VuY2UsIEFu
ZXN0aGVzaW9sb2d5IEluc3RpdHV0ZSwgQ2xldmVsYW5kIENsaW5pYywgQ2xldmVsYW5kLCBPSCwg
VVNBLiBtYWhlc2hrQGNjZi5vcmcuJiN4RDtEZXBhcnRtZW50IG9mIEdlbmVyYWwgQW5lc3RoZXNp
b2xvZ3ksIEFuZXN0aGVzaW9sb2d5IEluc3RpdHV0ZSwgQ2xldmVsYW5kIENsaW5pYywgOTUwMCBF
dWNsaWQgQXZlbnVlLCBFLTMxLCBDbGV2ZWxhbmQsIE9ILCA0NDE5NSwgVVNBLiBtYWhlc2hrQGNj
Zi5vcmcuJiN4RDtPcHRpU3RhdGltLCBMTEMsIExvbmdtZWFkb3csIE1BLCBVU0EuJiN4RDtEZXBh
cnRtZW50IG9mIEhlYWx0aCBFY29ub21pY3MgYW5kIE91dGNvbWVzIFJlc2VhcmNoLCBCb3N0b24g
U3RyYXRlZ2ljIFBhcnRuZXJzLCBJbmMuLCBCb3N0b24sIE1BLCBVU0EuJiN4RDtFZHdhcmRzIExp
ZmVzY2llbmNlcywgSXJ2aW5lLCBDQSwgVVNBLiYjeEQ7RGVwYXJ0bWVudCBvZiBPdXRjb21lcyBS
ZXNlYXJjaCwgQ2VudGVyIGZvciBDcml0aWNhbCBDYXJlLCBBbmVzdGhlc2lvbG9neSBJbnN0aXR1
dGUsIENsZXZlbGFuZCBDbGluaWMsIENsZXZlbGFuZCwgT0gsIFVTQS4mI3hEO0RlcGFydG1lbnQg
b2YgT3V0Y29tZXMgUmVzZWFyY2gsIEFuZXN0aGVzaW9sb2d5IEluc3RpdHV0ZSwgQ2xldmVsYW5k
IENsaW5pYywgQ2xldmVsYW5kLCBPSCwgVVNBLjwvYXV0aC1hZGRyZXNzPjx0aXRsZXM+PHRpdGxl
PlRoZSByZWxhdGlvbnNoaXAgYmV0d2VlbiBJQ1UgaHlwb3RlbnNpb24gYW5kIGluLWhvc3BpdGFs
IG1vcnRhbGl0eSBhbmQgbW9yYmlkaXR5IGluIHNlcHRpYyBwYXRpZW50czwvdGl0bGU+PHNlY29u
ZGFyeS10aXRsZT5JbnRlbnNpdmUgQ2FyZSBNZWQ8L3NlY29uZGFyeS10aXRsZT48L3RpdGxlcz48
cGFnZXM+ODU3LTg2NzwvcGFnZXM+PHZvbHVtZT40NDwvdm9sdW1lPjxudW1iZXI+NjwvbnVtYmVy
PjxlZGl0aW9uPjIwMTgvMDYvMDc8L2VkaXRpb24+PGtleXdvcmRzPjxrZXl3b3JkPkFjdXRlIEtp
ZG5leSBJbmp1cnkvZXRpb2xvZ3kvcGh5c2lvcGF0aG9sb2d5Lyp0aGVyYXB5PC9rZXl3b3JkPjxr
ZXl3b3JkPkFkdWx0PC9rZXl3b3JkPjxrZXl3b3JkPkFnZWQ8L2tleXdvcmQ+PGtleXdvcmQ+QWdl
ZCwgODAgYW5kIG92ZXI8L2tleXdvcmQ+PGtleXdvcmQ+RmVtYWxlPC9rZXl3b3JkPjxrZXl3b3Jk
PkhlYXJ0IEluanVyaWVzL2V0aW9sb2d5L3BoeXNpb3BhdGhvbG9neS8qdGhlcmFweTwva2V5d29y
ZD48a2V5d29yZD4qSG9zcGl0YWwgTW9ydGFsaXR5PC9rZXl3b3JkPjxrZXl3b3JkPkh1bWFuczwv
a2V5d29yZD48a2V5d29yZD5IeXBvdGVuc2lvbi9ldGlvbG9neS9waHlzaW9wYXRob2xvZ3kvKnRo
ZXJhcHk8L2tleXdvcmQ+PGtleXdvcmQ+SW50ZW5zaXZlIENhcmUgVW5pdHMvKnN0YXRpc3RpY3Mg
JmFtcDsgbnVtZXJpY2FsIGRhdGE8L2tleXdvcmQ+PGtleXdvcmQ+TWFsZTwva2V5d29yZD48a2V5
d29yZD5NaWRkbGUgQWdlZDwva2V5d29yZD48a2V5d29yZD5Nb3JiaWRpdHk8L2tleXdvcmQ+PGtl
eXdvcmQ+T2RkcyBSYXRpbzwva2V5d29yZD48a2V5d29yZD5SZXRyb3NwZWN0aXZlIFN0dWRpZXM8
L2tleXdvcmQ+PGtleXdvcmQ+UmlzayBGYWN0b3JzPC9rZXl3b3JkPjxrZXl3b3JkPlNlcHNpcy8q
Y29tcGxpY2F0aW9ucy8qbW9ydGFsaXR5PC9rZXl3b3JkPjxrZXl3b3JkPlVuaXRlZCBTdGF0ZXM8
L2tleXdvcmQ+PC9rZXl3b3Jkcz48ZGF0ZXM+PHllYXI+MjAxODwveWVhcj48cHViLWRhdGVzPjxk
YXRlPkp1bjwvZGF0ZT48L3B1Yi1kYXRlcz48L2RhdGVzPjxpc2JuPjE0MzItMTIzOCAoRWxlY3Ry
b25pYykmI3hEOzAzNDItNDY0MiAoUHJpbnQpJiN4RDswMzQyLTQ2NDIgKExpbmtpbmcpPC9pc2Ju
PjxhY2Nlc3Npb24tbnVtPjI5ODcyODgyPC9hY2Nlc3Npb24tbnVtPjx1cmxzPjxyZWxhdGVkLXVy
bHM+PHVybD5odHRwczovL3d3dy5uY2JpLm5sbS5uaWguZ292L3B1Ym1lZC8yOTg3Mjg4MjwvdXJs
PjwvcmVsYXRlZC11cmxzPjwvdXJscz48Y3VzdG9tMj42MDEzNTA4PC9jdXN0b20yPjxlbGVjdHJv
bmljLXJlc291cmNlLW51bT4xMC4xMDA3L3MwMDEzNC0wMTgtNTIxOC01IFtwaWldJiN4RDs1MjE4
IFtwaWldJiN4RDsxMC4xMDA3L3MwMDEzNC0wMTgtNTIxOC01PC9lbGVjdHJvbmljLXJlc291cmNl
LW51bT48bGFuZ3VhZ2U+ZW5nPC9sYW5ndWFnZT48L3JlY29yZD48L0NpdGU+PC9FbmROb3RlPn==
</w:fldData>
        </w:fldChar>
      </w:r>
      <w:r w:rsidR="00CA6006">
        <w:rPr>
          <w:rFonts w:cs="Arial"/>
        </w:rPr>
        <w:instrText xml:space="preserve"> ADDIN EN.CITE.DATA </w:instrText>
      </w:r>
      <w:r w:rsidR="00CA6006">
        <w:rPr>
          <w:rFonts w:cs="Arial"/>
        </w:rPr>
      </w:r>
      <w:r w:rsidR="00CA6006">
        <w:rPr>
          <w:rFonts w:cs="Arial"/>
        </w:rPr>
        <w:fldChar w:fldCharType="end"/>
      </w:r>
      <w:r w:rsidRPr="00137AAA">
        <w:rPr>
          <w:rFonts w:cs="Arial"/>
        </w:rPr>
      </w:r>
      <w:r w:rsidRPr="00137AAA">
        <w:rPr>
          <w:rFonts w:cs="Arial"/>
        </w:rPr>
        <w:fldChar w:fldCharType="separate"/>
      </w:r>
      <w:r w:rsidR="00CA6006">
        <w:rPr>
          <w:rFonts w:cs="Arial"/>
          <w:noProof/>
        </w:rPr>
        <w:t>[7]</w:t>
      </w:r>
      <w:r w:rsidRPr="00137AAA">
        <w:rPr>
          <w:rFonts w:cs="Arial"/>
        </w:rPr>
        <w:fldChar w:fldCharType="end"/>
      </w:r>
      <w:r w:rsidRPr="00137AAA">
        <w:rPr>
          <w:rFonts w:cs="Arial"/>
        </w:rPr>
        <w:t xml:space="preserve">. At 180 minutes, both LPS groups demonstrated increased urinary NGAL concentrations, with substantially higher levels in </w:t>
      </w:r>
      <w:r w:rsidR="00CA6006">
        <w:rPr>
          <w:rFonts w:cs="Arial"/>
        </w:rPr>
        <w:t>LPS-2</w:t>
      </w:r>
      <w:r w:rsidRPr="00137AAA">
        <w:rPr>
          <w:rFonts w:cs="Arial"/>
        </w:rPr>
        <w:t xml:space="preserve">, suggesting a greater degree of renal injury under more permissive hypotension </w:t>
      </w:r>
      <w:r w:rsidRPr="00137AAA">
        <w:rPr>
          <w:rFonts w:cs="Arial"/>
        </w:rPr>
        <w:fldChar w:fldCharType="begin"/>
      </w:r>
      <w:r w:rsidR="00CA6006">
        <w:rPr>
          <w:rFonts w:cs="Arial"/>
        </w:rPr>
        <w:instrText xml:space="preserve"> ADDIN EN.CITE &lt;EndNote&gt;&lt;Cite&gt;&lt;Author&gt;Soni&lt;/Author&gt;&lt;Year&gt;2010&lt;/Year&gt;&lt;RecNum&gt;58&lt;/RecNum&gt;&lt;DisplayText&gt;[8]&lt;/DisplayText&gt;&lt;record&gt;&lt;rec-number&gt;58&lt;/rec-number&gt;&lt;foreign-keys&gt;&lt;key app="EN" db-id="pdf29aw0w2tv0yedw5yv2ram0pt0fzta5sxs" timestamp="1724847766"&gt;58&lt;/key&gt;&lt;/foreign-keys&gt;&lt;ref-type name="Journal Article"&gt;17&lt;/ref-type&gt;&lt;contributors&gt;&lt;authors&gt;&lt;author&gt;Soni, S. S.&lt;/author&gt;&lt;author&gt;Cruz, D.&lt;/author&gt;&lt;author&gt;Bobek, I.&lt;/author&gt;&lt;author&gt;Chionh, C. Y.&lt;/author&gt;&lt;author&gt;Nalesso, F.&lt;/author&gt;&lt;author&gt;Lentini, P.&lt;/author&gt;&lt;author&gt;de Cal, M.&lt;/author&gt;&lt;author&gt;Corradi, V.&lt;/author&gt;&lt;author&gt;Virzi, G.&lt;/author&gt;&lt;author&gt;Ronco, C.&lt;/author&gt;&lt;/authors&gt;&lt;/contributors&gt;&lt;auth-address&gt;Nephrology Dialysis and Transplantation, San Bortolo Hospital, Via Rodolfi, 37, 36100, Vicenza, Italy. dr_sachinsoni@yahoo.com&lt;/auth-address&gt;&lt;titles&gt;&lt;title&gt;NGAL: a biomarker of acute kidney injury and other systemic conditions&lt;/title&gt;&lt;secondary-title&gt;Int Urol Nephrol&lt;/secondary-title&gt;&lt;/titles&gt;&lt;pages&gt;141-50&lt;/pages&gt;&lt;volume&gt;42&lt;/volume&gt;&lt;number&gt;1&lt;/number&gt;&lt;edition&gt;2009/07/08&lt;/edition&gt;&lt;keywords&gt;&lt;keyword&gt;Acute Kidney Injury/*blood/diagnosis/*urine&lt;/keyword&gt;&lt;keyword&gt;Acute-Phase Proteins/*analysis/physiology&lt;/keyword&gt;&lt;keyword&gt;Animals&lt;/keyword&gt;&lt;keyword&gt;Biomarkers/analysis&lt;/keyword&gt;&lt;keyword&gt;Early Diagnosis&lt;/keyword&gt;&lt;keyword&gt;Humans&lt;/keyword&gt;&lt;keyword&gt;Lipocalin-2&lt;/keyword&gt;&lt;keyword&gt;Lipocalins/*analysis/physiology&lt;/keyword&gt;&lt;keyword&gt;Proto-Oncogene Proteins/*analysis/physiology&lt;/keyword&gt;&lt;/keywords&gt;&lt;dates&gt;&lt;year&gt;2010&lt;/year&gt;&lt;pub-dates&gt;&lt;date&gt;Mar&lt;/date&gt;&lt;/pub-dates&gt;&lt;/dates&gt;&lt;isbn&gt;1573-2584 (Electronic)&amp;#xD;0301-1623 (Linking)&lt;/isbn&gt;&lt;accession-num&gt;19582588&lt;/accession-num&gt;&lt;urls&gt;&lt;related-urls&gt;&lt;url&gt;https://www.ncbi.nlm.nih.gov/pubmed/19582588&lt;/url&gt;&lt;/related-urls&gt;&lt;/urls&gt;&lt;electronic-resource-num&gt;10.1007/s11255-009-9608-z&lt;/electronic-resource-num&gt;&lt;language&gt;eng&lt;/language&gt;&lt;/record&gt;&lt;/Cite&gt;&lt;/EndNote&gt;</w:instrText>
      </w:r>
      <w:r w:rsidRPr="00137AAA">
        <w:rPr>
          <w:rFonts w:cs="Arial"/>
        </w:rPr>
        <w:fldChar w:fldCharType="separate"/>
      </w:r>
      <w:r w:rsidR="00CA6006">
        <w:rPr>
          <w:rFonts w:cs="Arial"/>
          <w:noProof/>
        </w:rPr>
        <w:t>[8]</w:t>
      </w:r>
      <w:r w:rsidRPr="00137AAA">
        <w:rPr>
          <w:rFonts w:cs="Arial"/>
        </w:rPr>
        <w:fldChar w:fldCharType="end"/>
      </w:r>
      <w:r w:rsidRPr="00137AAA">
        <w:rPr>
          <w:rFonts w:cs="Arial"/>
        </w:rPr>
        <w:t>.</w:t>
      </w:r>
    </w:p>
    <w:p w14:paraId="355762A2" w14:textId="77777777" w:rsidR="00A724FA" w:rsidRPr="00137AAA" w:rsidRDefault="00A724FA" w:rsidP="00AF335B">
      <w:pPr>
        <w:rPr>
          <w:rFonts w:cs="Arial"/>
        </w:rPr>
      </w:pPr>
    </w:p>
    <w:p w14:paraId="746F9E71" w14:textId="528C5AFA" w:rsidR="00A724FA" w:rsidRPr="00137AAA" w:rsidRDefault="00CA6006" w:rsidP="00AF335B">
      <w:pPr>
        <w:rPr>
          <w:rFonts w:cs="Arial"/>
        </w:rPr>
      </w:pPr>
      <w:r>
        <w:rPr>
          <w:rFonts w:cs="Arial"/>
        </w:rPr>
        <w:t>These</w:t>
      </w:r>
      <w:r w:rsidR="00A724FA" w:rsidRPr="00137AAA">
        <w:rPr>
          <w:rFonts w:cs="Arial"/>
        </w:rPr>
        <w:t xml:space="preserve"> renal injury signals occurred alongside transient increases in renal cortex mitoPO</w:t>
      </w:r>
      <w:r w:rsidR="00A724FA" w:rsidRPr="00137AAA">
        <w:rPr>
          <w:rFonts w:cs="Arial"/>
          <w:vertAlign w:val="subscript"/>
        </w:rPr>
        <w:t>2</w:t>
      </w:r>
      <w:r w:rsidR="00A724FA" w:rsidRPr="00137AAA">
        <w:rPr>
          <w:rFonts w:cs="Arial"/>
        </w:rPr>
        <w:t xml:space="preserve"> and mitoVO</w:t>
      </w:r>
      <w:r w:rsidR="00A724FA" w:rsidRPr="00137AAA">
        <w:rPr>
          <w:rFonts w:cs="Arial"/>
          <w:vertAlign w:val="subscript"/>
        </w:rPr>
        <w:t>2</w:t>
      </w:r>
      <w:r w:rsidR="00A724FA" w:rsidRPr="00137AAA">
        <w:rPr>
          <w:rFonts w:cs="Arial"/>
        </w:rPr>
        <w:t xml:space="preserve"> early after LPS administration, particularly in </w:t>
      </w:r>
      <w:r>
        <w:rPr>
          <w:rFonts w:cs="Arial"/>
        </w:rPr>
        <w:t>LPS-2</w:t>
      </w:r>
      <w:r w:rsidR="00A724FA" w:rsidRPr="00137AAA">
        <w:rPr>
          <w:rFonts w:cs="Arial"/>
        </w:rPr>
        <w:t xml:space="preserve">. </w:t>
      </w:r>
      <w:r w:rsidR="001A6623">
        <w:rPr>
          <w:rFonts w:cs="Arial"/>
        </w:rPr>
        <w:t>This</w:t>
      </w:r>
      <w:r w:rsidR="00A724FA" w:rsidRPr="00137AAA">
        <w:rPr>
          <w:rFonts w:cs="Arial"/>
        </w:rPr>
        <w:t xml:space="preserve"> pattern may reflect regional heterogeneity in renal oxygenation rather than improved tissue oxygen delivery. Experimental and computational models have highlighted the vulnerability of the renal medulla to hypoxia due to its high metabolic demand, relatively low blood flow, and susceptibility to oxygen shunting from the cortex </w:t>
      </w:r>
      <w:r w:rsidR="00A724FA" w:rsidRPr="00137AAA">
        <w:rPr>
          <w:rFonts w:cs="Arial"/>
          <w:color w:val="1F1F1F"/>
          <w:shd w:val="clear" w:color="auto" w:fill="FFFFFF"/>
        </w:rPr>
        <w:fldChar w:fldCharType="begin">
          <w:fldData xml:space="preserve">PEVuZE5vdGU+PENpdGU+PEF1dGhvcj5MZWU8L0F1dGhvcj48WWVhcj4yMDE4PC9ZZWFyPjxSZWNO
dW0+Mjk8L1JlY051bT48RGlzcGxheVRleHQ+WzldPC9EaXNwbGF5VGV4dD48cmVjb3JkPjxyZWMt
bnVtYmVyPjI5PC9yZWMtbnVtYmVyPjxmb3JlaWduLWtleXM+PGtleSBhcHA9IkVOIiBkYi1pZD0i
cGRmMjlhdzB3MnR2MHllZHc1eXYycmFtMHB0MGZ6dGE1c3hzIiB0aW1lc3RhbXA9IjE3MjQ3NDk4
NzYiPjI5PC9rZXk+PC9mb3JlaWduLWtleXM+PHJlZi10eXBlIG5hbWU9IkpvdXJuYWwgQXJ0aWNs
ZSI+MTc8L3JlZi10eXBlPjxjb250cmlidXRvcnM+PGF1dGhvcnM+PGF1dGhvcj5MZWUsIEMuIEou
PC9hdXRob3I+PGF1dGhvcj5HYXJkaW5lciwgQi4gUy48L2F1dGhvcj48YXV0aG9yPkV2YW5zLCBS
LiBHLjwvYXV0aG9yPjxhdXRob3I+U21pdGgsIEQuIFcuPC9hdXRob3I+PC9hdXRob3JzPjwvY29u
dHJpYnV0b3JzPjxhdXRoLWFkZHJlc3M+U2Nob29sIG9mIEVuZ2luZWVyaW5nIGFuZCBJbmZvcm1h
dGlvbiBUZWNobm9sb2d5LCBNdXJkb2NoIFVuaXZlcnNpdHkgLCBQZXJ0aCAsIFdlc3Rlcm4gQXVz
dHJhbGlhLCBBdXN0cmFsaWEuJiN4RDtGYWN1bHR5IG9mIEVuZ2luZWVyaW5nIGFuZCBNYXRoZW1h
dGljYWwgU2NpZW5jZXMsIFRoZSBVbml2ZXJzaXR5IG9mIFdlc3Rlcm4gQXVzdHJhbGlhICwgUGVy
dGggLCBXZXN0ZXJuIEF1c3RyYWxpYSwgQXVzdHJhbGlhLiYjeEQ7Q2FyZGlvdmFzY3VsYXIgRGlz
ZWFzZSBQcm9ncmFtLCBCaW9tZWRpY2luZSBEaXNjb3ZlcnkgSW5zdGl0dXRlLCBhbmQgRGVwYXJ0
bWVudCBvZiBQaHlzaW9sb2d5LCBNb25hc2ggVW5pdmVyc2l0eSAsIE1lbGJvdXJuZSAsIFZpY3Rv
cmlhLCBBdXN0cmFsaWEuPC9hdXRoLWFkZHJlc3M+PHRpdGxlcz48dGl0bGU+QSBtb2RlbCBvZiBv
eHlnZW4gdHJhbnNwb3J0IGluIHRoZSByYXQgcmVuYWwgbWVkdWxsYTwvdGl0bGU+PHNlY29uZGFy
eS10aXRsZT5BbSBKIFBoeXNpb2wgUmVuYWwgUGh5c2lvbDwvc2Vjb25kYXJ5LXRpdGxlPjwvdGl0
bGVzPjxwYWdlcz5GMTc4Ny1GMTgxMTwvcGFnZXM+PHZvbHVtZT4zMTU8L3ZvbHVtZT48bnVtYmVy
PjY8L251bWJlcj48ZWRpdGlvbj4yMDE4LzA5LzI3PC9lZGl0aW9uPjxrZXl3b3Jkcz48a2V5d29y
ZD5BY3V0ZSBLaWRuZXkgSW5qdXJ5L2Jsb29kLyptZXRhYm9saXNtL3BoeXNpb3BhdGhvbG9neTwv
a2V5d29yZD48a2V5d29yZD5BbmltYWxzPC9rZXl3b3JkPjxrZXl3b3JkPkJpb2xvZ2ljYWwgVHJh
bnNwb3J0PC9rZXl3b3JkPjxrZXl3b3JkPkNlbGwgSHlwb3hpYTwva2V5d29yZD48a2V5d29yZD5D
ZWxsdWxhciBNaWNyb2Vudmlyb25tZW50PC9rZXl3b3JkPjxrZXl3b3JkPipDb21wdXRlciBTaW11
bGF0aW9uPC9rZXl3b3JkPjxrZXl3b3JkPkRpZmZ1c2lvbjwva2V5d29yZD48a2V5d29yZD5LaWRu
ZXkgTWVkdWxsYS8qYmxvb2Qgc3VwcGx5PC9rZXl3b3JkPjxrZXl3b3JkPipNb2RlbHMsIEJpb2xv
Z2ljYWw8L2tleXdvcmQ+PGtleXdvcmQ+T3h5Z2VuL2Jsb29kLyptZXRhYm9saXNtPC9rZXl3b3Jk
PjxrZXl3b3JkPlJhdHM8L2tleXdvcmQ+PGtleXdvcmQ+KlJlbmFsIENpcmN1bGF0aW9uPC9rZXl3
b3JkPjxrZXl3b3JkPlJlcHJvZHVjaWJpbGl0eSBvZiBSZXN1bHRzPC9rZXl3b3JkPjwva2V5d29y
ZHM+PGRhdGVzPjx5ZWFyPjIwMTg8L3llYXI+PHB1Yi1kYXRlcz48ZGF0ZT5EZWMgMTwvZGF0ZT48
L3B1Yi1kYXRlcz48L2RhdGVzPjxpc2JuPjE1MjItMTQ2NiAoRWxlY3Ryb25pYykmI3hEOzE1MjIt
MTQ2NiAoTGlua2luZyk8L2lzYm4+PGFjY2Vzc2lvbi1udW0+MzAyNTYxMjk8L2FjY2Vzc2lvbi1u
dW0+PHVybHM+PHJlbGF0ZWQtdXJscz48dXJsPmh0dHBzOi8vd3d3Lm5jYmkubmxtLm5paC5nb3Yv
cHVibWVkLzMwMjU2MTI5PC91cmw+PC9yZWxhdGVkLXVybHM+PC91cmxzPjxlbGVjdHJvbmljLXJl
c291cmNlLW51bT4xMC4xMTUyL2FqcHJlbmFsLjAwMzYzLjIwMTg8L2VsZWN0cm9uaWMtcmVzb3Vy
Y2UtbnVtPjxsYW5ndWFnZT5lbmc8L2xhbmd1YWdlPjwvcmVjb3JkPjwvQ2l0ZT48L0VuZE5vdGU+
</w:fldData>
        </w:fldChar>
      </w:r>
      <w:r>
        <w:rPr>
          <w:rFonts w:cs="Arial"/>
          <w:color w:val="1F1F1F"/>
          <w:shd w:val="clear" w:color="auto" w:fill="FFFFFF"/>
        </w:rPr>
        <w:instrText xml:space="preserve"> ADDIN EN.CITE </w:instrText>
      </w:r>
      <w:r>
        <w:rPr>
          <w:rFonts w:cs="Arial"/>
          <w:color w:val="1F1F1F"/>
          <w:shd w:val="clear" w:color="auto" w:fill="FFFFFF"/>
        </w:rPr>
        <w:fldChar w:fldCharType="begin">
          <w:fldData xml:space="preserve">PEVuZE5vdGU+PENpdGU+PEF1dGhvcj5MZWU8L0F1dGhvcj48WWVhcj4yMDE4PC9ZZWFyPjxSZWNO
dW0+Mjk8L1JlY051bT48RGlzcGxheVRleHQ+WzldPC9EaXNwbGF5VGV4dD48cmVjb3JkPjxyZWMt
bnVtYmVyPjI5PC9yZWMtbnVtYmVyPjxmb3JlaWduLWtleXM+PGtleSBhcHA9IkVOIiBkYi1pZD0i
cGRmMjlhdzB3MnR2MHllZHc1eXYycmFtMHB0MGZ6dGE1c3hzIiB0aW1lc3RhbXA9IjE3MjQ3NDk4
NzYiPjI5PC9rZXk+PC9mb3JlaWduLWtleXM+PHJlZi10eXBlIG5hbWU9IkpvdXJuYWwgQXJ0aWNs
ZSI+MTc8L3JlZi10eXBlPjxjb250cmlidXRvcnM+PGF1dGhvcnM+PGF1dGhvcj5MZWUsIEMuIEou
PC9hdXRob3I+PGF1dGhvcj5HYXJkaW5lciwgQi4gUy48L2F1dGhvcj48YXV0aG9yPkV2YW5zLCBS
LiBHLjwvYXV0aG9yPjxhdXRob3I+U21pdGgsIEQuIFcuPC9hdXRob3I+PC9hdXRob3JzPjwvY29u
dHJpYnV0b3JzPjxhdXRoLWFkZHJlc3M+U2Nob29sIG9mIEVuZ2luZWVyaW5nIGFuZCBJbmZvcm1h
dGlvbiBUZWNobm9sb2d5LCBNdXJkb2NoIFVuaXZlcnNpdHkgLCBQZXJ0aCAsIFdlc3Rlcm4gQXVz
dHJhbGlhLCBBdXN0cmFsaWEuJiN4RDtGYWN1bHR5IG9mIEVuZ2luZWVyaW5nIGFuZCBNYXRoZW1h
dGljYWwgU2NpZW5jZXMsIFRoZSBVbml2ZXJzaXR5IG9mIFdlc3Rlcm4gQXVzdHJhbGlhICwgUGVy
dGggLCBXZXN0ZXJuIEF1c3RyYWxpYSwgQXVzdHJhbGlhLiYjeEQ7Q2FyZGlvdmFzY3VsYXIgRGlz
ZWFzZSBQcm9ncmFtLCBCaW9tZWRpY2luZSBEaXNjb3ZlcnkgSW5zdGl0dXRlLCBhbmQgRGVwYXJ0
bWVudCBvZiBQaHlzaW9sb2d5LCBNb25hc2ggVW5pdmVyc2l0eSAsIE1lbGJvdXJuZSAsIFZpY3Rv
cmlhLCBBdXN0cmFsaWEuPC9hdXRoLWFkZHJlc3M+PHRpdGxlcz48dGl0bGU+QSBtb2RlbCBvZiBv
eHlnZW4gdHJhbnNwb3J0IGluIHRoZSByYXQgcmVuYWwgbWVkdWxsYTwvdGl0bGU+PHNlY29uZGFy
eS10aXRsZT5BbSBKIFBoeXNpb2wgUmVuYWwgUGh5c2lvbDwvc2Vjb25kYXJ5LXRpdGxlPjwvdGl0
bGVzPjxwYWdlcz5GMTc4Ny1GMTgxMTwvcGFnZXM+PHZvbHVtZT4zMTU8L3ZvbHVtZT48bnVtYmVy
PjY8L251bWJlcj48ZWRpdGlvbj4yMDE4LzA5LzI3PC9lZGl0aW9uPjxrZXl3b3Jkcz48a2V5d29y
ZD5BY3V0ZSBLaWRuZXkgSW5qdXJ5L2Jsb29kLyptZXRhYm9saXNtL3BoeXNpb3BhdGhvbG9neTwv
a2V5d29yZD48a2V5d29yZD5BbmltYWxzPC9rZXl3b3JkPjxrZXl3b3JkPkJpb2xvZ2ljYWwgVHJh
bnNwb3J0PC9rZXl3b3JkPjxrZXl3b3JkPkNlbGwgSHlwb3hpYTwva2V5d29yZD48a2V5d29yZD5D
ZWxsdWxhciBNaWNyb2Vudmlyb25tZW50PC9rZXl3b3JkPjxrZXl3b3JkPipDb21wdXRlciBTaW11
bGF0aW9uPC9rZXl3b3JkPjxrZXl3b3JkPkRpZmZ1c2lvbjwva2V5d29yZD48a2V5d29yZD5LaWRu
ZXkgTWVkdWxsYS8qYmxvb2Qgc3VwcGx5PC9rZXl3b3JkPjxrZXl3b3JkPipNb2RlbHMsIEJpb2xv
Z2ljYWw8L2tleXdvcmQ+PGtleXdvcmQ+T3h5Z2VuL2Jsb29kLyptZXRhYm9saXNtPC9rZXl3b3Jk
PjxrZXl3b3JkPlJhdHM8L2tleXdvcmQ+PGtleXdvcmQ+KlJlbmFsIENpcmN1bGF0aW9uPC9rZXl3
b3JkPjxrZXl3b3JkPlJlcHJvZHVjaWJpbGl0eSBvZiBSZXN1bHRzPC9rZXl3b3JkPjwva2V5d29y
ZHM+PGRhdGVzPjx5ZWFyPjIwMTg8L3llYXI+PHB1Yi1kYXRlcz48ZGF0ZT5EZWMgMTwvZGF0ZT48
L3B1Yi1kYXRlcz48L2RhdGVzPjxpc2JuPjE1MjItMTQ2NiAoRWxlY3Ryb25pYykmI3hEOzE1MjIt
MTQ2NiAoTGlua2luZyk8L2lzYm4+PGFjY2Vzc2lvbi1udW0+MzAyNTYxMjk8L2FjY2Vzc2lvbi1u
dW0+PHVybHM+PHJlbGF0ZWQtdXJscz48dXJsPmh0dHBzOi8vd3d3Lm5jYmkubmxtLm5paC5nb3Yv
cHVibWVkLzMwMjU2MTI5PC91cmw+PC9yZWxhdGVkLXVybHM+PC91cmxzPjxlbGVjdHJvbmljLXJl
c291cmNlLW51bT4xMC4xMTUyL2FqcHJlbmFsLjAwMzYzLjIwMTg8L2VsZWN0cm9uaWMtcmVzb3Vy
Y2UtbnVtPjxsYW5ndWFnZT5lbmc8L2xhbmd1YWdlPjwvcmVjb3JkPjwvQ2l0ZT48L0VuZE5vdGU+
</w:fldData>
        </w:fldChar>
      </w:r>
      <w:r>
        <w:rPr>
          <w:rFonts w:cs="Arial"/>
          <w:color w:val="1F1F1F"/>
          <w:shd w:val="clear" w:color="auto" w:fill="FFFFFF"/>
        </w:rPr>
        <w:instrText xml:space="preserve"> ADDIN EN.CITE.DATA </w:instrText>
      </w:r>
      <w:r>
        <w:rPr>
          <w:rFonts w:cs="Arial"/>
          <w:color w:val="1F1F1F"/>
          <w:shd w:val="clear" w:color="auto" w:fill="FFFFFF"/>
        </w:rPr>
      </w:r>
      <w:r>
        <w:rPr>
          <w:rFonts w:cs="Arial"/>
          <w:color w:val="1F1F1F"/>
          <w:shd w:val="clear" w:color="auto" w:fill="FFFFFF"/>
        </w:rPr>
        <w:fldChar w:fldCharType="end"/>
      </w:r>
      <w:r w:rsidR="00A724FA" w:rsidRPr="00137AAA">
        <w:rPr>
          <w:rFonts w:cs="Arial"/>
          <w:color w:val="1F1F1F"/>
          <w:shd w:val="clear" w:color="auto" w:fill="FFFFFF"/>
        </w:rPr>
      </w:r>
      <w:r w:rsidR="00A724FA" w:rsidRPr="00137AAA">
        <w:rPr>
          <w:rFonts w:cs="Arial"/>
          <w:color w:val="1F1F1F"/>
          <w:shd w:val="clear" w:color="auto" w:fill="FFFFFF"/>
        </w:rPr>
        <w:fldChar w:fldCharType="separate"/>
      </w:r>
      <w:r>
        <w:rPr>
          <w:rFonts w:cs="Arial"/>
          <w:noProof/>
          <w:color w:val="1F1F1F"/>
          <w:shd w:val="clear" w:color="auto" w:fill="FFFFFF"/>
        </w:rPr>
        <w:t>[9]</w:t>
      </w:r>
      <w:r w:rsidR="00A724FA" w:rsidRPr="00137AAA">
        <w:rPr>
          <w:rFonts w:cs="Arial"/>
          <w:color w:val="1F1F1F"/>
          <w:shd w:val="clear" w:color="auto" w:fill="FFFFFF"/>
        </w:rPr>
        <w:fldChar w:fldCharType="end"/>
      </w:r>
      <w:r w:rsidR="00A724FA" w:rsidRPr="00137AAA">
        <w:rPr>
          <w:rFonts w:cs="Arial"/>
        </w:rPr>
        <w:t>. Thus, elevated cortical oxygenation does not preclude concurrent medullary hypoxia, which may contribute to early renal injury despite preserved or increased cortical mitoPO</w:t>
      </w:r>
      <w:r w:rsidR="00A724FA" w:rsidRPr="00137AAA">
        <w:rPr>
          <w:rFonts w:cs="Arial"/>
          <w:vertAlign w:val="subscript"/>
        </w:rPr>
        <w:t xml:space="preserve">2 </w:t>
      </w:r>
      <w:r w:rsidR="00A724FA" w:rsidRPr="00137AAA">
        <w:rPr>
          <w:rFonts w:cs="Arial"/>
          <w:color w:val="1F1F1F"/>
          <w:shd w:val="clear" w:color="auto" w:fill="FFFFFF"/>
        </w:rPr>
        <w:fldChar w:fldCharType="begin"/>
      </w:r>
      <w:r>
        <w:rPr>
          <w:rFonts w:cs="Arial"/>
          <w:color w:val="1F1F1F"/>
          <w:shd w:val="clear" w:color="auto" w:fill="FFFFFF"/>
        </w:rPr>
        <w:instrText xml:space="preserve"> ADDIN EN.CITE &lt;EndNote&gt;&lt;Cite&gt;&lt;Author&gt;Brezis&lt;/Author&gt;&lt;Year&gt;1995&lt;/Year&gt;&lt;RecNum&gt;30&lt;/RecNum&gt;&lt;DisplayText&gt;[10]&lt;/DisplayText&gt;&lt;record&gt;&lt;rec-number&gt;30&lt;/rec-number&gt;&lt;foreign-keys&gt;&lt;key app="EN" db-id="pdf29aw0w2tv0yedw5yv2ram0pt0fzta5sxs" timestamp="1724750165"&gt;30&lt;/key&gt;&lt;/foreign-keys&gt;&lt;ref-type name="Journal Article"&gt;17&lt;/ref-type&gt;&lt;contributors&gt;&lt;authors&gt;&lt;author&gt;Brezis, M.&lt;/author&gt;&lt;author&gt;Rosen, S.&lt;/author&gt;&lt;/authors&gt;&lt;/contributors&gt;&lt;auth-address&gt;Department of Medicine, Hadassah University Hospital, Mount Scopus, Jerusalem, Israel.&lt;/auth-address&gt;&lt;titles&gt;&lt;title&gt;Hypoxia of the renal medulla--its implications for disease&lt;/title&gt;&lt;secondary-title&gt;N Engl J Med&lt;/secondary-title&gt;&lt;/titles&gt;&lt;pages&gt;647-55&lt;/pages&gt;&lt;volume&gt;332&lt;/volume&gt;&lt;number&gt;10&lt;/number&gt;&lt;edition&gt;1995/03/09&lt;/edition&gt;&lt;keywords&gt;&lt;keyword&gt;Acute Disease&lt;/keyword&gt;&lt;keyword&gt;Adaptation, Physiological&lt;/keyword&gt;&lt;keyword&gt;Animals&lt;/keyword&gt;&lt;keyword&gt;Cell Hypoxia&lt;/keyword&gt;&lt;keyword&gt;Chronic Disease&lt;/keyword&gt;&lt;keyword&gt;Disease Susceptibility&lt;/keyword&gt;&lt;keyword&gt;Humans&lt;/keyword&gt;&lt;keyword&gt;Kidney Diseases/*etiology/physiopathology&lt;/keyword&gt;&lt;keyword&gt;Kidney Medulla/*metabolism/pathology/physiopathology&lt;/keyword&gt;&lt;keyword&gt;Oxygen/*metabolism&lt;/keyword&gt;&lt;/keywords&gt;&lt;dates&gt;&lt;year&gt;1995&lt;/year&gt;&lt;pub-dates&gt;&lt;date&gt;Mar 9&lt;/date&gt;&lt;/pub-dates&gt;&lt;/dates&gt;&lt;isbn&gt;0028-4793 (Print)&amp;#xD;0028-4793 (Linking)&lt;/isbn&gt;&lt;accession-num&gt;7845430&lt;/accession-num&gt;&lt;urls&gt;&lt;related-urls&gt;&lt;url&gt;https://www.ncbi.nlm.nih.gov/pubmed/7845430&lt;/url&gt;&lt;/related-urls&gt;&lt;/urls&gt;&lt;electronic-resource-num&gt;10.1056/NEJM199503093321006&lt;/electronic-resource-num&gt;&lt;language&gt;eng&lt;/language&gt;&lt;/record&gt;&lt;/Cite&gt;&lt;/EndNote&gt;</w:instrText>
      </w:r>
      <w:r w:rsidR="00A724FA" w:rsidRPr="00137AAA">
        <w:rPr>
          <w:rFonts w:cs="Arial"/>
          <w:color w:val="1F1F1F"/>
          <w:shd w:val="clear" w:color="auto" w:fill="FFFFFF"/>
        </w:rPr>
        <w:fldChar w:fldCharType="separate"/>
      </w:r>
      <w:r>
        <w:rPr>
          <w:rFonts w:cs="Arial"/>
          <w:noProof/>
          <w:color w:val="1F1F1F"/>
          <w:shd w:val="clear" w:color="auto" w:fill="FFFFFF"/>
        </w:rPr>
        <w:t>[10]</w:t>
      </w:r>
      <w:r w:rsidR="00A724FA" w:rsidRPr="00137AAA">
        <w:rPr>
          <w:rFonts w:cs="Arial"/>
          <w:color w:val="1F1F1F"/>
          <w:shd w:val="clear" w:color="auto" w:fill="FFFFFF"/>
        </w:rPr>
        <w:fldChar w:fldCharType="end"/>
      </w:r>
      <w:r w:rsidR="00A724FA" w:rsidRPr="00137AAA">
        <w:rPr>
          <w:rFonts w:cs="Arial"/>
          <w:color w:val="1F1F1F"/>
          <w:shd w:val="clear" w:color="auto" w:fill="FFFFFF"/>
        </w:rPr>
        <w:t>.</w:t>
      </w:r>
      <w:r w:rsidR="00A724FA" w:rsidRPr="00137AAA">
        <w:rPr>
          <w:rFonts w:cs="Arial"/>
        </w:rPr>
        <w:t xml:space="preserve"> These findings </w:t>
      </w:r>
      <w:r w:rsidR="001A6623">
        <w:rPr>
          <w:rFonts w:cs="Arial"/>
        </w:rPr>
        <w:t>highlight</w:t>
      </w:r>
      <w:r w:rsidR="00A724FA" w:rsidRPr="00137AAA">
        <w:rPr>
          <w:rFonts w:cs="Arial"/>
        </w:rPr>
        <w:t xml:space="preserve"> the complexity </w:t>
      </w:r>
      <w:r w:rsidR="00A724FA" w:rsidRPr="00137AAA">
        <w:rPr>
          <w:rFonts w:cs="Arial"/>
        </w:rPr>
        <w:lastRenderedPageBreak/>
        <w:t>of renal oxygen handling during endotoxemia and caution against interpreting cortical oxygenation measurements as representative of whole-organ oxygen balance.</w:t>
      </w:r>
    </w:p>
    <w:p w14:paraId="6A0AB0E5" w14:textId="77777777" w:rsidR="00CA6006" w:rsidRDefault="00CA6006" w:rsidP="000C044E">
      <w:pPr>
        <w:pStyle w:val="p1"/>
        <w:spacing w:line="480" w:lineRule="auto"/>
        <w:jc w:val="both"/>
        <w:rPr>
          <w:rFonts w:ascii="Arial" w:hAnsi="Arial" w:cs="Arial"/>
          <w:sz w:val="20"/>
          <w:szCs w:val="20"/>
        </w:rPr>
      </w:pPr>
    </w:p>
    <w:p w14:paraId="70A51895" w14:textId="77777777" w:rsidR="00CA6006" w:rsidRDefault="00CA6006" w:rsidP="000C044E">
      <w:pPr>
        <w:pStyle w:val="p1"/>
        <w:spacing w:line="480" w:lineRule="auto"/>
        <w:jc w:val="both"/>
        <w:rPr>
          <w:rFonts w:ascii="Arial" w:hAnsi="Arial" w:cs="Arial"/>
          <w:sz w:val="20"/>
          <w:szCs w:val="20"/>
        </w:rPr>
      </w:pPr>
    </w:p>
    <w:p w14:paraId="70D3353A" w14:textId="77777777" w:rsidR="00CA6006" w:rsidRDefault="00CA6006" w:rsidP="000C044E">
      <w:pPr>
        <w:pStyle w:val="p1"/>
        <w:spacing w:line="480" w:lineRule="auto"/>
        <w:jc w:val="both"/>
        <w:rPr>
          <w:rFonts w:ascii="Arial" w:hAnsi="Arial" w:cs="Arial"/>
          <w:sz w:val="20"/>
          <w:szCs w:val="20"/>
        </w:rPr>
      </w:pPr>
    </w:p>
    <w:p w14:paraId="6FE40024" w14:textId="77777777" w:rsidR="00CA6006" w:rsidRDefault="00CA6006">
      <w:pPr>
        <w:spacing w:line="240" w:lineRule="auto"/>
        <w:jc w:val="left"/>
        <w:rPr>
          <w:rFonts w:eastAsia="Times New Roman" w:cs="Arial"/>
          <w:szCs w:val="20"/>
          <w:lang w:val="en-NL" w:eastAsia="en-GB"/>
        </w:rPr>
      </w:pPr>
      <w:r>
        <w:rPr>
          <w:rFonts w:cs="Arial"/>
          <w:szCs w:val="20"/>
        </w:rPr>
        <w:br w:type="page"/>
      </w:r>
    </w:p>
    <w:p w14:paraId="768CDE09" w14:textId="2D033A65" w:rsidR="00CA6006" w:rsidRPr="00CA6006" w:rsidRDefault="00CA6006" w:rsidP="00CA6006">
      <w:pPr>
        <w:rPr>
          <w:b/>
          <w:bCs/>
        </w:rPr>
      </w:pPr>
      <w:r w:rsidRPr="00CA6006">
        <w:rPr>
          <w:b/>
          <w:bCs/>
        </w:rPr>
        <w:lastRenderedPageBreak/>
        <w:t>References:</w:t>
      </w:r>
    </w:p>
    <w:p w14:paraId="32C80587" w14:textId="77777777" w:rsidR="00CA6006" w:rsidRPr="00CA6006" w:rsidRDefault="00CA6006" w:rsidP="00CA6006">
      <w:pPr>
        <w:rPr>
          <w:noProof/>
        </w:rPr>
      </w:pPr>
      <w:r>
        <w:fldChar w:fldCharType="begin"/>
      </w:r>
      <w:r>
        <w:instrText xml:space="preserve"> ADDIN EN.REFLIST </w:instrText>
      </w:r>
      <w:r>
        <w:fldChar w:fldCharType="separate"/>
      </w:r>
      <w:r w:rsidRPr="00CA6006">
        <w:rPr>
          <w:noProof/>
        </w:rPr>
        <w:t>1.</w:t>
      </w:r>
      <w:r w:rsidRPr="00CA6006">
        <w:rPr>
          <w:noProof/>
        </w:rPr>
        <w:tab/>
        <w:t>De Gasperi A, Mazza E, Prosperi M. Indocyanine green kinetics to assess liver function: Ready for a clinical dynamic assessment in major liver surgery? World J Hepatol. 2016;8(7):355-67.</w:t>
      </w:r>
    </w:p>
    <w:p w14:paraId="5EF35061" w14:textId="77777777" w:rsidR="00CA6006" w:rsidRPr="00CA6006" w:rsidRDefault="00CA6006" w:rsidP="00CA6006">
      <w:pPr>
        <w:rPr>
          <w:noProof/>
        </w:rPr>
      </w:pPr>
      <w:r w:rsidRPr="00CA6006">
        <w:rPr>
          <w:noProof/>
        </w:rPr>
        <w:t>2.</w:t>
      </w:r>
      <w:r w:rsidRPr="00CA6006">
        <w:rPr>
          <w:noProof/>
        </w:rPr>
        <w:tab/>
        <w:t>Leevy CM, Smith F, Longueville J, Paumgartner G, Howard MM. Indocyanine green clearance as a test for hepatic function. Evaluation by dichromatic ear densitometry. JAMA. 1967;200(3):236-40.</w:t>
      </w:r>
    </w:p>
    <w:p w14:paraId="663E5BDF" w14:textId="77777777" w:rsidR="00CA6006" w:rsidRPr="00CA6006" w:rsidRDefault="00CA6006" w:rsidP="00CA6006">
      <w:pPr>
        <w:rPr>
          <w:noProof/>
        </w:rPr>
      </w:pPr>
      <w:r w:rsidRPr="00CA6006">
        <w:rPr>
          <w:noProof/>
        </w:rPr>
        <w:t>3.</w:t>
      </w:r>
      <w:r w:rsidRPr="00CA6006">
        <w:rPr>
          <w:noProof/>
        </w:rPr>
        <w:tab/>
        <w:t>Sakka SG. Assessing liver function. Curr Opin Crit Care. 2007;13(2):207-14.</w:t>
      </w:r>
    </w:p>
    <w:p w14:paraId="2764DD1A" w14:textId="77777777" w:rsidR="00CA6006" w:rsidRPr="00CA6006" w:rsidRDefault="00CA6006" w:rsidP="00CA6006">
      <w:pPr>
        <w:rPr>
          <w:noProof/>
        </w:rPr>
      </w:pPr>
      <w:r w:rsidRPr="00CA6006">
        <w:rPr>
          <w:noProof/>
        </w:rPr>
        <w:t>4.</w:t>
      </w:r>
      <w:r w:rsidRPr="00CA6006">
        <w:rPr>
          <w:noProof/>
        </w:rPr>
        <w:tab/>
        <w:t>Weidemann A, Johnson RS. Biology of HIF-1alpha. Cell Death Differ. 2008;15(4):621-7.</w:t>
      </w:r>
    </w:p>
    <w:p w14:paraId="56C9DC9D" w14:textId="77777777" w:rsidR="00CA6006" w:rsidRPr="00CA6006" w:rsidRDefault="00CA6006" w:rsidP="00CA6006">
      <w:pPr>
        <w:rPr>
          <w:noProof/>
        </w:rPr>
      </w:pPr>
      <w:r w:rsidRPr="00CA6006">
        <w:rPr>
          <w:noProof/>
        </w:rPr>
        <w:t>5.</w:t>
      </w:r>
      <w:r w:rsidRPr="00CA6006">
        <w:rPr>
          <w:noProof/>
        </w:rPr>
        <w:tab/>
        <w:t>Tapia P, Soto D, Bruhn A, Alegria L, Jarufe N, Luengo C, et al. Impairment of exogenous lactate clearance in experimental hyperdynamic septic shock is not related to total liver hypoperfusion. Crit Care. 2015;19(1):188.</w:t>
      </w:r>
    </w:p>
    <w:p w14:paraId="2ECE10B1" w14:textId="77777777" w:rsidR="00CA6006" w:rsidRPr="00CA6006" w:rsidRDefault="00CA6006" w:rsidP="00CA6006">
      <w:pPr>
        <w:rPr>
          <w:noProof/>
        </w:rPr>
      </w:pPr>
      <w:r w:rsidRPr="00CA6006">
        <w:rPr>
          <w:noProof/>
        </w:rPr>
        <w:t>6.</w:t>
      </w:r>
      <w:r w:rsidRPr="00CA6006">
        <w:rPr>
          <w:noProof/>
        </w:rPr>
        <w:tab/>
        <w:t>Bakker J, de Backer D, Hernandez G. Lactate-guided resuscitation saves lives: we are not sure. Intensive Care Med. 2016;42(3):472-4.</w:t>
      </w:r>
    </w:p>
    <w:p w14:paraId="762F9387" w14:textId="77777777" w:rsidR="00CA6006" w:rsidRPr="00CA6006" w:rsidRDefault="00CA6006" w:rsidP="00CA6006">
      <w:pPr>
        <w:rPr>
          <w:noProof/>
        </w:rPr>
      </w:pPr>
      <w:r w:rsidRPr="00CA6006">
        <w:rPr>
          <w:noProof/>
        </w:rPr>
        <w:t>7.</w:t>
      </w:r>
      <w:r w:rsidRPr="00CA6006">
        <w:rPr>
          <w:noProof/>
        </w:rPr>
        <w:tab/>
        <w:t>Maheshwari K, Nathanson BH, Munson SH, Khangulov V, Stevens M, Badani H, et al. The relationship between ICU hypotension and in-hospital mortality and morbidity in septic patients. Intensive Care Med. 2018;44(6):857-67.</w:t>
      </w:r>
    </w:p>
    <w:p w14:paraId="0C33761F" w14:textId="77777777" w:rsidR="00CA6006" w:rsidRPr="00CA6006" w:rsidRDefault="00CA6006" w:rsidP="00CA6006">
      <w:pPr>
        <w:rPr>
          <w:noProof/>
        </w:rPr>
      </w:pPr>
      <w:r w:rsidRPr="00CA6006">
        <w:rPr>
          <w:noProof/>
        </w:rPr>
        <w:t>8.</w:t>
      </w:r>
      <w:r w:rsidRPr="00CA6006">
        <w:rPr>
          <w:noProof/>
        </w:rPr>
        <w:tab/>
        <w:t>Soni SS, Cruz D, Bobek I, Chionh CY, Nalesso F, Lentini P, et al. NGAL: a biomarker of acute kidney injury and other systemic conditions. Int Urol Nephrol. 2010;42(1):141-50.</w:t>
      </w:r>
    </w:p>
    <w:p w14:paraId="1E3FD707" w14:textId="77777777" w:rsidR="00CA6006" w:rsidRPr="00CA6006" w:rsidRDefault="00CA6006" w:rsidP="00CA6006">
      <w:pPr>
        <w:rPr>
          <w:noProof/>
        </w:rPr>
      </w:pPr>
      <w:r w:rsidRPr="00CA6006">
        <w:rPr>
          <w:noProof/>
        </w:rPr>
        <w:t>9.</w:t>
      </w:r>
      <w:r w:rsidRPr="00CA6006">
        <w:rPr>
          <w:noProof/>
        </w:rPr>
        <w:tab/>
        <w:t>Lee CJ, Gardiner BS, Evans RG, Smith DW. A model of oxygen transport in the rat renal medulla. Am J Physiol Renal Physiol. 2018;315(6):F1787-F811.</w:t>
      </w:r>
    </w:p>
    <w:p w14:paraId="08176EF7" w14:textId="77777777" w:rsidR="00CA6006" w:rsidRPr="00CA6006" w:rsidRDefault="00CA6006" w:rsidP="00CA6006">
      <w:pPr>
        <w:rPr>
          <w:noProof/>
        </w:rPr>
      </w:pPr>
      <w:r w:rsidRPr="00CA6006">
        <w:rPr>
          <w:noProof/>
        </w:rPr>
        <w:t>10.</w:t>
      </w:r>
      <w:r w:rsidRPr="00CA6006">
        <w:rPr>
          <w:noProof/>
        </w:rPr>
        <w:tab/>
        <w:t>Brezis M, Rosen S. Hypoxia of the renal medulla--its implications for disease. N Engl J Med. 1995;332(10):647-55.</w:t>
      </w:r>
    </w:p>
    <w:p w14:paraId="02D884EB" w14:textId="4569D4D9" w:rsidR="000C044E" w:rsidRPr="000C044E" w:rsidRDefault="00CA6006" w:rsidP="00CA6006">
      <w:r>
        <w:fldChar w:fldCharType="end"/>
      </w:r>
    </w:p>
    <w:sectPr w:rsidR="000C044E" w:rsidRPr="000C044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CE7E7" w14:textId="77777777" w:rsidR="00196706" w:rsidRDefault="00196706" w:rsidP="0054544B">
      <w:pPr>
        <w:spacing w:line="240" w:lineRule="auto"/>
      </w:pPr>
      <w:r>
        <w:separator/>
      </w:r>
    </w:p>
  </w:endnote>
  <w:endnote w:type="continuationSeparator" w:id="0">
    <w:p w14:paraId="26A0D73D" w14:textId="77777777" w:rsidR="00196706" w:rsidRDefault="00196706" w:rsidP="005454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D348" w14:textId="77777777" w:rsidR="0054544B" w:rsidRDefault="00545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1D9D1" w14:textId="77777777" w:rsidR="0054544B" w:rsidRDefault="00545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A8FE" w14:textId="77777777" w:rsidR="0054544B" w:rsidRDefault="00545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63807" w14:textId="77777777" w:rsidR="00196706" w:rsidRDefault="00196706" w:rsidP="0054544B">
      <w:pPr>
        <w:spacing w:line="240" w:lineRule="auto"/>
      </w:pPr>
      <w:r>
        <w:separator/>
      </w:r>
    </w:p>
  </w:footnote>
  <w:footnote w:type="continuationSeparator" w:id="0">
    <w:p w14:paraId="2C28ED4C" w14:textId="77777777" w:rsidR="00196706" w:rsidRDefault="00196706" w:rsidP="005454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092781"/>
      <w:docPartObj>
        <w:docPartGallery w:val="Page Numbers (Top of Page)"/>
        <w:docPartUnique/>
      </w:docPartObj>
    </w:sdtPr>
    <w:sdtContent>
      <w:p w14:paraId="67020C20" w14:textId="69A1DFB0" w:rsidR="0054544B" w:rsidRDefault="0054544B" w:rsidP="005173A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F64000" w14:textId="77777777" w:rsidR="0054544B" w:rsidRDefault="0054544B" w:rsidP="0054544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806A" w14:textId="30E2BBF1" w:rsidR="0054544B" w:rsidRDefault="0054544B" w:rsidP="005173A7">
    <w:pPr>
      <w:pStyle w:val="Header"/>
      <w:framePr w:wrap="none" w:vAnchor="text" w:hAnchor="margin" w:xAlign="right" w:y="1"/>
      <w:rPr>
        <w:rStyle w:val="PageNumber"/>
      </w:rPr>
    </w:pPr>
    <w:sdt>
      <w:sdtPr>
        <w:rPr>
          <w:rStyle w:val="PageNumber"/>
        </w:rPr>
        <w:id w:val="565835173"/>
        <w:docPartObj>
          <w:docPartGallery w:val="Page Numbers (Top of Page)"/>
          <w:docPartUnique/>
        </w:docPartObj>
      </w:sdtPr>
      <w:sdtContent>
        <w:r>
          <w:rPr>
            <w:rStyle w:val="PageNumber"/>
          </w:rPr>
          <w:t xml:space="preserve">Page </w:t>
        </w:r>
        <w:r w:rsidRPr="0054544B">
          <w:rPr>
            <w:rStyle w:val="PageNumber"/>
            <w:b/>
            <w:bCs/>
          </w:rPr>
          <w:fldChar w:fldCharType="begin"/>
        </w:r>
        <w:r w:rsidRPr="0054544B">
          <w:rPr>
            <w:rStyle w:val="PageNumber"/>
            <w:b/>
            <w:bCs/>
          </w:rPr>
          <w:instrText xml:space="preserve"> PAGE </w:instrText>
        </w:r>
        <w:r w:rsidRPr="0054544B">
          <w:rPr>
            <w:rStyle w:val="PageNumber"/>
            <w:b/>
            <w:bCs/>
          </w:rPr>
          <w:fldChar w:fldCharType="separate"/>
        </w:r>
        <w:r w:rsidRPr="0054544B">
          <w:rPr>
            <w:rStyle w:val="PageNumber"/>
            <w:b/>
            <w:bCs/>
            <w:noProof/>
          </w:rPr>
          <w:t>1</w:t>
        </w:r>
        <w:r w:rsidRPr="0054544B">
          <w:rPr>
            <w:rStyle w:val="PageNumber"/>
            <w:b/>
            <w:bCs/>
          </w:rPr>
          <w:fldChar w:fldCharType="end"/>
        </w:r>
      </w:sdtContent>
    </w:sdt>
    <w:r>
      <w:rPr>
        <w:rStyle w:val="PageNumber"/>
      </w:rPr>
      <w:t xml:space="preserve"> of </w:t>
    </w:r>
    <w:r w:rsidRPr="0054544B">
      <w:rPr>
        <w:rStyle w:val="PageNumber"/>
        <w:b/>
        <w:bCs/>
      </w:rPr>
      <w:t>7</w:t>
    </w:r>
  </w:p>
  <w:p w14:paraId="34E3F8FB" w14:textId="77777777" w:rsidR="0054544B" w:rsidRDefault="0054544B" w:rsidP="0054544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669F" w14:textId="77777777" w:rsidR="0054544B" w:rsidRDefault="00545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E71DE"/>
    <w:multiLevelType w:val="hybridMultilevel"/>
    <w:tmpl w:val="2794A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9570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f29aw0w2tv0yedw5yv2ram0pt0fzta5sxs&quot;&gt;End Note Porcine Sepsis&lt;record-ids&gt;&lt;item&gt;4&lt;/item&gt;&lt;item&gt;5&lt;/item&gt;&lt;item&gt;28&lt;/item&gt;&lt;item&gt;29&lt;/item&gt;&lt;item&gt;30&lt;/item&gt;&lt;item&gt;43&lt;/item&gt;&lt;item&gt;52&lt;/item&gt;&lt;item&gt;55&lt;/item&gt;&lt;item&gt;58&lt;/item&gt;&lt;item&gt;60&lt;/item&gt;&lt;/record-ids&gt;&lt;/item&gt;&lt;/Libraries&gt;"/>
  </w:docVars>
  <w:rsids>
    <w:rsidRoot w:val="00F33822"/>
    <w:rsid w:val="00022457"/>
    <w:rsid w:val="00054DCF"/>
    <w:rsid w:val="0007063C"/>
    <w:rsid w:val="000C044E"/>
    <w:rsid w:val="000C38AB"/>
    <w:rsid w:val="001107EE"/>
    <w:rsid w:val="00174000"/>
    <w:rsid w:val="00177816"/>
    <w:rsid w:val="00182328"/>
    <w:rsid w:val="0018333D"/>
    <w:rsid w:val="00183FE4"/>
    <w:rsid w:val="001863EE"/>
    <w:rsid w:val="00196706"/>
    <w:rsid w:val="001A6623"/>
    <w:rsid w:val="001D14D3"/>
    <w:rsid w:val="001D49DE"/>
    <w:rsid w:val="001E5875"/>
    <w:rsid w:val="002541FD"/>
    <w:rsid w:val="00286B9C"/>
    <w:rsid w:val="002C3631"/>
    <w:rsid w:val="002D495D"/>
    <w:rsid w:val="002E7D61"/>
    <w:rsid w:val="00334E22"/>
    <w:rsid w:val="00336DD2"/>
    <w:rsid w:val="00336DE1"/>
    <w:rsid w:val="00362B63"/>
    <w:rsid w:val="003665D1"/>
    <w:rsid w:val="00386454"/>
    <w:rsid w:val="003A7235"/>
    <w:rsid w:val="003E7D15"/>
    <w:rsid w:val="00421A60"/>
    <w:rsid w:val="00452A8A"/>
    <w:rsid w:val="00464C90"/>
    <w:rsid w:val="00485891"/>
    <w:rsid w:val="00497738"/>
    <w:rsid w:val="004B70AB"/>
    <w:rsid w:val="004C3BA2"/>
    <w:rsid w:val="004F357D"/>
    <w:rsid w:val="00516D95"/>
    <w:rsid w:val="00522BCA"/>
    <w:rsid w:val="0054544B"/>
    <w:rsid w:val="005A4D3D"/>
    <w:rsid w:val="005B14C7"/>
    <w:rsid w:val="005B268B"/>
    <w:rsid w:val="005B5E3E"/>
    <w:rsid w:val="005B7CDB"/>
    <w:rsid w:val="005E07F6"/>
    <w:rsid w:val="005E6BE9"/>
    <w:rsid w:val="005F1A49"/>
    <w:rsid w:val="00653A48"/>
    <w:rsid w:val="00664E3A"/>
    <w:rsid w:val="006B1F58"/>
    <w:rsid w:val="006B3282"/>
    <w:rsid w:val="006D2248"/>
    <w:rsid w:val="00726B82"/>
    <w:rsid w:val="00734233"/>
    <w:rsid w:val="0075384D"/>
    <w:rsid w:val="00762260"/>
    <w:rsid w:val="00786605"/>
    <w:rsid w:val="007B5D39"/>
    <w:rsid w:val="007F7F6C"/>
    <w:rsid w:val="0084376E"/>
    <w:rsid w:val="0084439D"/>
    <w:rsid w:val="00894321"/>
    <w:rsid w:val="008E4A77"/>
    <w:rsid w:val="009025D8"/>
    <w:rsid w:val="00903D38"/>
    <w:rsid w:val="0090455C"/>
    <w:rsid w:val="009804BB"/>
    <w:rsid w:val="00983B1F"/>
    <w:rsid w:val="009B413A"/>
    <w:rsid w:val="009B5BA5"/>
    <w:rsid w:val="009B602A"/>
    <w:rsid w:val="009C2865"/>
    <w:rsid w:val="009F33FA"/>
    <w:rsid w:val="00A21B90"/>
    <w:rsid w:val="00A54738"/>
    <w:rsid w:val="00A633D3"/>
    <w:rsid w:val="00A65F1A"/>
    <w:rsid w:val="00A724FA"/>
    <w:rsid w:val="00A81225"/>
    <w:rsid w:val="00A83FFD"/>
    <w:rsid w:val="00AA32F7"/>
    <w:rsid w:val="00AD2E13"/>
    <w:rsid w:val="00AF335B"/>
    <w:rsid w:val="00B15EA3"/>
    <w:rsid w:val="00B54909"/>
    <w:rsid w:val="00BB1E57"/>
    <w:rsid w:val="00BB4509"/>
    <w:rsid w:val="00BD1B71"/>
    <w:rsid w:val="00BD2E30"/>
    <w:rsid w:val="00BE1C48"/>
    <w:rsid w:val="00C82E84"/>
    <w:rsid w:val="00CA6006"/>
    <w:rsid w:val="00D01881"/>
    <w:rsid w:val="00DD7E8B"/>
    <w:rsid w:val="00DE3A2A"/>
    <w:rsid w:val="00E5034F"/>
    <w:rsid w:val="00E85C9C"/>
    <w:rsid w:val="00E941B3"/>
    <w:rsid w:val="00EB1868"/>
    <w:rsid w:val="00EB46A3"/>
    <w:rsid w:val="00F157F9"/>
    <w:rsid w:val="00F33822"/>
    <w:rsid w:val="00F473E8"/>
    <w:rsid w:val="00F637FE"/>
    <w:rsid w:val="00F7744A"/>
    <w:rsid w:val="00FA1226"/>
    <w:rsid w:val="00FA5046"/>
    <w:rsid w:val="00FB0523"/>
    <w:rsid w:val="00FD6AF3"/>
    <w:rsid w:val="00FE5D9D"/>
    <w:rsid w:val="00FF044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1A0D23A0"/>
  <w15:chartTrackingRefBased/>
  <w15:docId w15:val="{D6DD730D-51F0-6245-ACB0-D91F6285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822"/>
    <w:pPr>
      <w:spacing w:line="480" w:lineRule="auto"/>
      <w:jc w:val="both"/>
    </w:pPr>
    <w:rPr>
      <w:rFonts w:ascii="Arial" w:hAnsi="Arial"/>
      <w:kern w:val="0"/>
      <w:sz w:val="20"/>
      <w:lang w:val="en-US"/>
      <w14:ligatures w14:val="none"/>
    </w:rPr>
  </w:style>
  <w:style w:type="paragraph" w:styleId="Heading1">
    <w:name w:val="heading 1"/>
    <w:basedOn w:val="Normal"/>
    <w:next w:val="Normal"/>
    <w:link w:val="Heading1Char"/>
    <w:uiPriority w:val="9"/>
    <w:qFormat/>
    <w:rsid w:val="00F33822"/>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33822"/>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3822"/>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3822"/>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33822"/>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33822"/>
    <w:pPr>
      <w:keepNext/>
      <w:keepLines/>
      <w:spacing w:before="40" w:line="240" w:lineRule="auto"/>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33822"/>
    <w:pPr>
      <w:keepNext/>
      <w:keepLines/>
      <w:spacing w:before="40" w:line="240" w:lineRule="auto"/>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33822"/>
    <w:pPr>
      <w:keepNext/>
      <w:keepLines/>
      <w:spacing w:line="240" w:lineRule="auto"/>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33822"/>
    <w:pPr>
      <w:keepNext/>
      <w:keepLines/>
      <w:spacing w:line="240" w:lineRule="auto"/>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822"/>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F33822"/>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F33822"/>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F33822"/>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F33822"/>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F33822"/>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F33822"/>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F33822"/>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F33822"/>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F33822"/>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382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33822"/>
    <w:pPr>
      <w:numPr>
        <w:ilvl w:val="1"/>
      </w:numPr>
      <w:spacing w:after="160" w:line="240"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3822"/>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F33822"/>
    <w:pPr>
      <w:spacing w:before="160" w:after="160" w:line="240" w:lineRule="auto"/>
      <w:jc w:val="center"/>
    </w:pPr>
    <w:rPr>
      <w:rFonts w:asciiTheme="minorHAnsi" w:hAnsiTheme="minorHAns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33822"/>
    <w:rPr>
      <w:i/>
      <w:iCs/>
      <w:color w:val="404040" w:themeColor="text1" w:themeTint="BF"/>
      <w:lang w:val="en-US"/>
    </w:rPr>
  </w:style>
  <w:style w:type="paragraph" w:styleId="ListParagraph">
    <w:name w:val="List Paragraph"/>
    <w:basedOn w:val="Normal"/>
    <w:uiPriority w:val="34"/>
    <w:qFormat/>
    <w:rsid w:val="00F33822"/>
    <w:pPr>
      <w:spacing w:line="240" w:lineRule="auto"/>
      <w:ind w:left="720"/>
      <w:contextualSpacing/>
      <w:jc w:val="left"/>
    </w:pPr>
    <w:rPr>
      <w:rFonts w:asciiTheme="minorHAnsi" w:hAnsiTheme="minorHAnsi"/>
      <w:kern w:val="2"/>
      <w:sz w:val="24"/>
      <w14:ligatures w14:val="standardContextual"/>
    </w:rPr>
  </w:style>
  <w:style w:type="character" w:styleId="IntenseEmphasis">
    <w:name w:val="Intense Emphasis"/>
    <w:basedOn w:val="DefaultParagraphFont"/>
    <w:uiPriority w:val="21"/>
    <w:qFormat/>
    <w:rsid w:val="00F33822"/>
    <w:rPr>
      <w:i/>
      <w:iCs/>
      <w:color w:val="0F4761" w:themeColor="accent1" w:themeShade="BF"/>
    </w:rPr>
  </w:style>
  <w:style w:type="paragraph" w:styleId="IntenseQuote">
    <w:name w:val="Intense Quote"/>
    <w:basedOn w:val="Normal"/>
    <w:next w:val="Normal"/>
    <w:link w:val="IntenseQuoteChar"/>
    <w:uiPriority w:val="30"/>
    <w:qFormat/>
    <w:rsid w:val="00F33822"/>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33822"/>
    <w:rPr>
      <w:i/>
      <w:iCs/>
      <w:color w:val="0F4761" w:themeColor="accent1" w:themeShade="BF"/>
      <w:lang w:val="en-US"/>
    </w:rPr>
  </w:style>
  <w:style w:type="character" w:styleId="IntenseReference">
    <w:name w:val="Intense Reference"/>
    <w:basedOn w:val="DefaultParagraphFont"/>
    <w:uiPriority w:val="32"/>
    <w:qFormat/>
    <w:rsid w:val="00F33822"/>
    <w:rPr>
      <w:b/>
      <w:bCs/>
      <w:smallCaps/>
      <w:color w:val="0F4761" w:themeColor="accent1" w:themeShade="BF"/>
      <w:spacing w:val="5"/>
    </w:rPr>
  </w:style>
  <w:style w:type="table" w:styleId="PlainTable2">
    <w:name w:val="Plain Table 2"/>
    <w:basedOn w:val="TableNormal"/>
    <w:uiPriority w:val="42"/>
    <w:rsid w:val="00F33822"/>
    <w:rPr>
      <w:kern w:val="0"/>
      <w:sz w:val="22"/>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485891"/>
    <w:rPr>
      <w:rFonts w:ascii="Calibri" w:hAnsi="Calibri" w:cs="Calibri"/>
      <w:kern w:val="0"/>
      <w:sz w:val="22"/>
      <w:szCs w:val="22"/>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1">
    <w:name w:val="p1"/>
    <w:basedOn w:val="Normal"/>
    <w:rsid w:val="000C044E"/>
    <w:pPr>
      <w:spacing w:before="100" w:beforeAutospacing="1" w:after="100" w:afterAutospacing="1" w:line="240" w:lineRule="auto"/>
      <w:jc w:val="left"/>
    </w:pPr>
    <w:rPr>
      <w:rFonts w:ascii="Times New Roman" w:eastAsia="Times New Roman" w:hAnsi="Times New Roman" w:cs="Times New Roman"/>
      <w:sz w:val="24"/>
      <w:lang w:val="en-NL" w:eastAsia="en-GB"/>
    </w:rPr>
  </w:style>
  <w:style w:type="character" w:customStyle="1" w:styleId="s1">
    <w:name w:val="s1"/>
    <w:basedOn w:val="DefaultParagraphFont"/>
    <w:rsid w:val="000C044E"/>
  </w:style>
  <w:style w:type="paragraph" w:customStyle="1" w:styleId="p2">
    <w:name w:val="p2"/>
    <w:basedOn w:val="Normal"/>
    <w:rsid w:val="00664E3A"/>
    <w:pPr>
      <w:spacing w:before="100" w:beforeAutospacing="1" w:after="100" w:afterAutospacing="1" w:line="240" w:lineRule="auto"/>
      <w:jc w:val="left"/>
    </w:pPr>
    <w:rPr>
      <w:rFonts w:ascii="Times New Roman" w:eastAsia="Times New Roman" w:hAnsi="Times New Roman" w:cs="Times New Roman"/>
      <w:sz w:val="24"/>
      <w:lang w:val="en-NL" w:eastAsia="en-GB"/>
    </w:rPr>
  </w:style>
  <w:style w:type="paragraph" w:customStyle="1" w:styleId="p3">
    <w:name w:val="p3"/>
    <w:basedOn w:val="Normal"/>
    <w:rsid w:val="00664E3A"/>
    <w:pPr>
      <w:spacing w:before="100" w:beforeAutospacing="1" w:after="100" w:afterAutospacing="1" w:line="240" w:lineRule="auto"/>
      <w:jc w:val="left"/>
    </w:pPr>
    <w:rPr>
      <w:rFonts w:ascii="Times New Roman" w:eastAsia="Times New Roman" w:hAnsi="Times New Roman" w:cs="Times New Roman"/>
      <w:sz w:val="24"/>
      <w:lang w:val="en-NL" w:eastAsia="en-GB"/>
    </w:rPr>
  </w:style>
  <w:style w:type="paragraph" w:customStyle="1" w:styleId="EndNoteBibliographyTitle">
    <w:name w:val="EndNote Bibliography Title"/>
    <w:basedOn w:val="Normal"/>
    <w:link w:val="EndNoteBibliographyTitleChar"/>
    <w:rsid w:val="00CA6006"/>
    <w:pPr>
      <w:jc w:val="center"/>
    </w:pPr>
    <w:rPr>
      <w:rFonts w:ascii="Times New Roman" w:hAnsi="Times New Roman" w:cs="Times New Roman"/>
      <w:sz w:val="24"/>
    </w:rPr>
  </w:style>
  <w:style w:type="character" w:customStyle="1" w:styleId="EndNoteBibliographyTitleChar">
    <w:name w:val="EndNote Bibliography Title Char"/>
    <w:basedOn w:val="DefaultParagraphFont"/>
    <w:link w:val="EndNoteBibliographyTitle"/>
    <w:rsid w:val="00CA6006"/>
    <w:rPr>
      <w:rFonts w:ascii="Times New Roman" w:hAnsi="Times New Roman" w:cs="Times New Roman"/>
      <w:kern w:val="0"/>
      <w:lang w:val="en-US"/>
      <w14:ligatures w14:val="none"/>
    </w:rPr>
  </w:style>
  <w:style w:type="paragraph" w:customStyle="1" w:styleId="EndNoteBibliography">
    <w:name w:val="EndNote Bibliography"/>
    <w:basedOn w:val="Normal"/>
    <w:link w:val="EndNoteBibliographyChar"/>
    <w:rsid w:val="00CA6006"/>
    <w:pPr>
      <w:spacing w:line="240" w:lineRule="auto"/>
    </w:pPr>
    <w:rPr>
      <w:rFonts w:ascii="Times New Roman" w:hAnsi="Times New Roman" w:cs="Times New Roman"/>
      <w:sz w:val="24"/>
    </w:rPr>
  </w:style>
  <w:style w:type="character" w:customStyle="1" w:styleId="EndNoteBibliographyChar">
    <w:name w:val="EndNote Bibliography Char"/>
    <w:basedOn w:val="DefaultParagraphFont"/>
    <w:link w:val="EndNoteBibliography"/>
    <w:rsid w:val="00CA6006"/>
    <w:rPr>
      <w:rFonts w:ascii="Times New Roman" w:hAnsi="Times New Roman" w:cs="Times New Roman"/>
      <w:kern w:val="0"/>
      <w:lang w:val="en-US"/>
      <w14:ligatures w14:val="none"/>
    </w:rPr>
  </w:style>
  <w:style w:type="paragraph" w:styleId="Header">
    <w:name w:val="header"/>
    <w:basedOn w:val="Normal"/>
    <w:link w:val="HeaderChar"/>
    <w:uiPriority w:val="99"/>
    <w:unhideWhenUsed/>
    <w:rsid w:val="0054544B"/>
    <w:pPr>
      <w:tabs>
        <w:tab w:val="center" w:pos="4513"/>
        <w:tab w:val="right" w:pos="9026"/>
      </w:tabs>
      <w:spacing w:line="240" w:lineRule="auto"/>
    </w:pPr>
  </w:style>
  <w:style w:type="character" w:customStyle="1" w:styleId="HeaderChar">
    <w:name w:val="Header Char"/>
    <w:basedOn w:val="DefaultParagraphFont"/>
    <w:link w:val="Header"/>
    <w:uiPriority w:val="99"/>
    <w:rsid w:val="0054544B"/>
    <w:rPr>
      <w:rFonts w:ascii="Arial" w:hAnsi="Arial"/>
      <w:kern w:val="0"/>
      <w:sz w:val="20"/>
      <w:lang w:val="en-US"/>
      <w14:ligatures w14:val="none"/>
    </w:rPr>
  </w:style>
  <w:style w:type="character" w:styleId="PageNumber">
    <w:name w:val="page number"/>
    <w:basedOn w:val="DefaultParagraphFont"/>
    <w:uiPriority w:val="99"/>
    <w:semiHidden/>
    <w:unhideWhenUsed/>
    <w:rsid w:val="0054544B"/>
  </w:style>
  <w:style w:type="paragraph" w:styleId="Footer">
    <w:name w:val="footer"/>
    <w:basedOn w:val="Normal"/>
    <w:link w:val="FooterChar"/>
    <w:uiPriority w:val="99"/>
    <w:unhideWhenUsed/>
    <w:rsid w:val="0054544B"/>
    <w:pPr>
      <w:tabs>
        <w:tab w:val="center" w:pos="4513"/>
        <w:tab w:val="right" w:pos="9026"/>
      </w:tabs>
      <w:spacing w:line="240" w:lineRule="auto"/>
    </w:pPr>
  </w:style>
  <w:style w:type="character" w:customStyle="1" w:styleId="FooterChar">
    <w:name w:val="Footer Char"/>
    <w:basedOn w:val="DefaultParagraphFont"/>
    <w:link w:val="Footer"/>
    <w:uiPriority w:val="99"/>
    <w:rsid w:val="0054544B"/>
    <w:rPr>
      <w:rFonts w:ascii="Arial"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1876</Words>
  <Characters>10582</Characters>
  <Application>Microsoft Office Word</Application>
  <DocSecurity>0</DocSecurity>
  <Lines>404</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 de Wijs</dc:creator>
  <cp:keywords/>
  <dc:description/>
  <cp:lastModifiedBy>Calvin de Wijs</cp:lastModifiedBy>
  <cp:revision>16</cp:revision>
  <dcterms:created xsi:type="dcterms:W3CDTF">2026-03-25T08:44:00Z</dcterms:created>
  <dcterms:modified xsi:type="dcterms:W3CDTF">2026-04-08T08:18:00Z</dcterms:modified>
</cp:coreProperties>
</file>