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B00C" w14:textId="77777777" w:rsidR="002C556E" w:rsidRPr="002C556E" w:rsidRDefault="002C556E" w:rsidP="002C556E">
      <w:pPr>
        <w:spacing w:before="200" w:after="12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C556E"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14:ligatures w14:val="none"/>
        </w:rPr>
        <w:t>Supporting Information</w:t>
      </w:r>
    </w:p>
    <w:p w14:paraId="3A9082CB" w14:textId="63A63B2A" w:rsidR="002C556E" w:rsidRPr="002C556E" w:rsidRDefault="002C556E" w:rsidP="002C556E">
      <w:pPr>
        <w:spacing w:before="200"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Figure</w:t>
      </w:r>
      <w:r w:rsidRPr="002C556E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</w:t>
      </w:r>
      <w:r w:rsidRPr="002C556E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1: SDS-PAGE profile of culture supernatants grown in sucrose (E7S), cellulose (E7C), xylan (E7X), and pectin (E7P).</w:t>
      </w:r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Proteins were loaded at 5 µg total protein concentration in 12% polyacrylamide gel. M stands for Precision Tricolor Broad Range </w:t>
      </w:r>
      <w:proofErr w:type="spellStart"/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Prestained</w:t>
      </w:r>
      <w:proofErr w:type="spellEnd"/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Protein Ladder (</w:t>
      </w:r>
      <w:proofErr w:type="spellStart"/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Vivantis</w:t>
      </w:r>
      <w:proofErr w:type="spellEnd"/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); protein markers are in kDa.</w:t>
      </w:r>
    </w:p>
    <w:p w14:paraId="54F675B2" w14:textId="413FAF80" w:rsidR="002C556E" w:rsidRPr="002C556E" w:rsidRDefault="00C833BB" w:rsidP="00E2667B">
      <w:pPr>
        <w:spacing w:before="200" w:line="48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833BB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33C8802" wp14:editId="068C7E63">
            <wp:extent cx="3517900" cy="4610100"/>
            <wp:effectExtent l="0" t="0" r="0" b="0"/>
            <wp:docPr id="1029870936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870936" name="Picture 1" descr="A close-up of a dna tes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C245F" w14:textId="77777777" w:rsidR="00C833BB" w:rsidRDefault="00C833BB" w:rsidP="002C556E">
      <w:pPr>
        <w:spacing w:before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19F9F0FF" w14:textId="1F329215" w:rsidR="00C833BB" w:rsidRPr="00C83810" w:rsidRDefault="00C833BB" w:rsidP="002C556E">
      <w:pPr>
        <w:spacing w:before="20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833BB">
        <w:rPr>
          <w:rFonts w:ascii="Times New Roman" w:eastAsia="Times New Roman" w:hAnsi="Times New Roman" w:cs="Times New Roman"/>
          <w:noProof/>
          <w:color w:val="000000"/>
          <w:kern w:val="0"/>
          <w:sz w:val="22"/>
          <w:szCs w:val="22"/>
          <w14:ligatures w14:val="none"/>
        </w:rPr>
        <w:lastRenderedPageBreak/>
        <w:drawing>
          <wp:anchor distT="0" distB="0" distL="114300" distR="114300" simplePos="0" relativeHeight="251658240" behindDoc="0" locked="0" layoutInCell="1" allowOverlap="1" wp14:anchorId="73788B5D" wp14:editId="0CFE5A7C">
            <wp:simplePos x="0" y="0"/>
            <wp:positionH relativeFrom="column">
              <wp:posOffset>-50800</wp:posOffset>
            </wp:positionH>
            <wp:positionV relativeFrom="page">
              <wp:posOffset>1506827</wp:posOffset>
            </wp:positionV>
            <wp:extent cx="5728335" cy="3627120"/>
            <wp:effectExtent l="0" t="0" r="0" b="5080"/>
            <wp:wrapSquare wrapText="bothSides"/>
            <wp:docPr id="221662051" name="Picture 1" descr="A close-up of a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62051" name="Picture 1" descr="A close-up of a structure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4" b="14715"/>
                    <a:stretch/>
                  </pic:blipFill>
                  <pic:spPr bwMode="auto">
                    <a:xfrm>
                      <a:off x="0" y="0"/>
                      <a:ext cx="5728335" cy="362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81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Figure S2.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E7_MBN_00801 has two distinct domains,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domA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domB</w:t>
      </w:r>
      <w:proofErr w:type="spellEnd"/>
      <w:r w:rsidR="00E2667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. </w:t>
      </w:r>
      <w:r w:rsidR="00533D2F" w:rsidRPr="00FF213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p</w:t>
      </w:r>
      <w:r w:rsidR="00E2667B" w:rsidRPr="00FF213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utative</w:t>
      </w:r>
      <w:r w:rsidR="00E2667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structure of E7_MBN_00801 was predicted </w:t>
      </w:r>
      <w:r w:rsidR="00FF213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using</w:t>
      </w:r>
      <w:r w:rsidR="00E2667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E2667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AlphaFold</w:t>
      </w:r>
      <w:proofErr w:type="spellEnd"/>
      <w:r w:rsidR="00E2667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3</w:t>
      </w:r>
      <w:r w:rsidR="00533D2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(Abramson et al., 2024).</w:t>
      </w:r>
      <w:r w:rsidR="00E2667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7B5519B0" w14:textId="77777777" w:rsidR="00FF2132" w:rsidRDefault="00FF2132" w:rsidP="002C556E">
      <w:pPr>
        <w:spacing w:before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26813FF1" w14:textId="689AA76B" w:rsidR="00FF2132" w:rsidRDefault="00FF2132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p w14:paraId="033C7EF8" w14:textId="77777777" w:rsidR="00FF2132" w:rsidRDefault="00FF2132" w:rsidP="002C556E">
      <w:pPr>
        <w:spacing w:before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sectPr w:rsidR="00FF2132" w:rsidSect="00512EAF">
          <w:pgSz w:w="11901" w:h="16817"/>
          <w:pgMar w:top="1440" w:right="1440" w:bottom="1440" w:left="1440" w:header="709" w:footer="709" w:gutter="0"/>
          <w:cols w:space="708"/>
          <w:docGrid w:linePitch="360"/>
        </w:sectPr>
      </w:pPr>
    </w:p>
    <w:p w14:paraId="0E0E003D" w14:textId="69817563" w:rsidR="002C556E" w:rsidRPr="002C556E" w:rsidRDefault="002C556E" w:rsidP="002C556E">
      <w:pPr>
        <w:spacing w:before="200"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C556E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</w:t>
      </w:r>
      <w:r w:rsidRPr="002C556E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1. Proteins identified in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the </w:t>
      </w:r>
      <w:r w:rsidRPr="002C556E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culture supernatant of </w:t>
      </w:r>
      <w:r w:rsidRPr="002C556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2"/>
          <w:szCs w:val="22"/>
          <w14:ligatures w14:val="none"/>
        </w:rPr>
        <w:t>T. turnerae</w:t>
      </w:r>
      <w:r w:rsidRPr="002C556E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E7MBN grown on rice hull biomass by LC-MS/MS. </w:t>
      </w:r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T7901 homologs were identified using the UniProt database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signal peptides were predicted via SignalPv6.0.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 n</w:t>
      </w:r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on-classical secretion mechanism was assigned to proteins lacking signal peptides and scoring above 0.5, as predicted by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the</w:t>
      </w:r>
      <w:r w:rsidRPr="002C55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Secretome 2.0 server.</w:t>
      </w:r>
    </w:p>
    <w:tbl>
      <w:tblPr>
        <w:tblStyle w:val="GridTable1Light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2"/>
        <w:gridCol w:w="4222"/>
        <w:gridCol w:w="1701"/>
        <w:gridCol w:w="1134"/>
        <w:gridCol w:w="992"/>
        <w:gridCol w:w="2410"/>
        <w:gridCol w:w="1843"/>
      </w:tblGrid>
      <w:tr w:rsidR="00FF2132" w:rsidRPr="00FF2132" w14:paraId="1AD8422B" w14:textId="13199C0E" w:rsidTr="00F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2BDE14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Accession code</w:t>
            </w:r>
          </w:p>
        </w:tc>
        <w:tc>
          <w:tcPr>
            <w:tcW w:w="4222" w:type="dxa"/>
            <w:hideMark/>
          </w:tcPr>
          <w:p w14:paraId="0FF38EC5" w14:textId="77777777" w:rsidR="002C556E" w:rsidRPr="00FF2132" w:rsidRDefault="002C556E" w:rsidP="002C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Annotation</w:t>
            </w:r>
          </w:p>
        </w:tc>
        <w:tc>
          <w:tcPr>
            <w:tcW w:w="1701" w:type="dxa"/>
            <w:hideMark/>
          </w:tcPr>
          <w:p w14:paraId="0DB8C574" w14:textId="77777777" w:rsidR="002C556E" w:rsidRPr="00FF2132" w:rsidRDefault="002C556E" w:rsidP="002C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UniProt accession</w:t>
            </w:r>
          </w:p>
        </w:tc>
        <w:tc>
          <w:tcPr>
            <w:tcW w:w="1134" w:type="dxa"/>
            <w:hideMark/>
          </w:tcPr>
          <w:p w14:paraId="047BBB3A" w14:textId="77777777" w:rsidR="002C556E" w:rsidRPr="00FF2132" w:rsidRDefault="002C556E" w:rsidP="002C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Mass (Da)</w:t>
            </w:r>
          </w:p>
        </w:tc>
        <w:tc>
          <w:tcPr>
            <w:tcW w:w="992" w:type="dxa"/>
            <w:hideMark/>
          </w:tcPr>
          <w:p w14:paraId="19CA4982" w14:textId="77777777" w:rsidR="002C556E" w:rsidRPr="00FF2132" w:rsidRDefault="002C556E" w:rsidP="002C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Signal peptide</w:t>
            </w:r>
          </w:p>
        </w:tc>
        <w:tc>
          <w:tcPr>
            <w:tcW w:w="2410" w:type="dxa"/>
            <w:hideMark/>
          </w:tcPr>
          <w:p w14:paraId="0072C4DD" w14:textId="77777777" w:rsidR="002C556E" w:rsidRPr="00FF2132" w:rsidRDefault="002C556E" w:rsidP="002C556E">
            <w:pPr>
              <w:ind w:left="-9360" w:right="-9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Predicted secretion </w:t>
            </w:r>
          </w:p>
          <w:p w14:paraId="4DF71472" w14:textId="77777777" w:rsidR="002C556E" w:rsidRPr="00FF2132" w:rsidRDefault="002C556E" w:rsidP="002C556E">
            <w:pPr>
              <w:ind w:left="-9360" w:right="-9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mechanism</w:t>
            </w:r>
          </w:p>
        </w:tc>
        <w:tc>
          <w:tcPr>
            <w:tcW w:w="1843" w:type="dxa"/>
          </w:tcPr>
          <w:p w14:paraId="2F540409" w14:textId="77777777" w:rsidR="00C83810" w:rsidRPr="00FF2132" w:rsidRDefault="002C556E" w:rsidP="002C556E">
            <w:pPr>
              <w:ind w:left="-9460" w:right="-9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Presence in </w:t>
            </w:r>
          </w:p>
          <w:p w14:paraId="58847D95" w14:textId="452B8ADC" w:rsidR="002C556E" w:rsidRPr="00FF2132" w:rsidRDefault="002C556E" w:rsidP="00C83810">
            <w:pPr>
              <w:ind w:left="-9460" w:right="-9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other substrates</w:t>
            </w:r>
          </w:p>
        </w:tc>
      </w:tr>
      <w:tr w:rsidR="00FF2132" w:rsidRPr="00FF2132" w14:paraId="3E348B70" w14:textId="6DD29551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6F2803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E7_MBN_00021</w:t>
            </w:r>
          </w:p>
        </w:tc>
        <w:tc>
          <w:tcPr>
            <w:tcW w:w="4222" w:type="dxa"/>
            <w:hideMark/>
          </w:tcPr>
          <w:p w14:paraId="445EE45D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hypothetical protein</w:t>
            </w:r>
          </w:p>
        </w:tc>
        <w:tc>
          <w:tcPr>
            <w:tcW w:w="1701" w:type="dxa"/>
            <w:hideMark/>
          </w:tcPr>
          <w:p w14:paraId="076BA592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C5BRG0</w:t>
            </w:r>
          </w:p>
        </w:tc>
        <w:tc>
          <w:tcPr>
            <w:tcW w:w="1134" w:type="dxa"/>
            <w:hideMark/>
          </w:tcPr>
          <w:p w14:paraId="47BB8717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70405</w:t>
            </w:r>
          </w:p>
        </w:tc>
        <w:tc>
          <w:tcPr>
            <w:tcW w:w="992" w:type="dxa"/>
            <w:hideMark/>
          </w:tcPr>
          <w:p w14:paraId="003A47EA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410" w:type="dxa"/>
            <w:hideMark/>
          </w:tcPr>
          <w:p w14:paraId="56E58538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Non-classical</w:t>
            </w:r>
          </w:p>
        </w:tc>
        <w:tc>
          <w:tcPr>
            <w:tcW w:w="1843" w:type="dxa"/>
            <w:vAlign w:val="center"/>
          </w:tcPr>
          <w:p w14:paraId="42B73C9C" w14:textId="7EE12E3A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</w:tr>
      <w:tr w:rsidR="00FF2132" w:rsidRPr="00FF2132" w14:paraId="62D510D4" w14:textId="0A9D1400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D6249A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E7_MBN_00238</w:t>
            </w:r>
          </w:p>
        </w:tc>
        <w:tc>
          <w:tcPr>
            <w:tcW w:w="4222" w:type="dxa"/>
            <w:hideMark/>
          </w:tcPr>
          <w:p w14:paraId="3246E46A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Ca-dependent carbohydrate-binding module xylan-binding</w:t>
            </w:r>
          </w:p>
        </w:tc>
        <w:tc>
          <w:tcPr>
            <w:tcW w:w="1701" w:type="dxa"/>
            <w:hideMark/>
          </w:tcPr>
          <w:p w14:paraId="64B58063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C5BRL9</w:t>
            </w:r>
          </w:p>
        </w:tc>
        <w:tc>
          <w:tcPr>
            <w:tcW w:w="1134" w:type="dxa"/>
            <w:hideMark/>
          </w:tcPr>
          <w:p w14:paraId="220B3F0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115377</w:t>
            </w:r>
          </w:p>
        </w:tc>
        <w:tc>
          <w:tcPr>
            <w:tcW w:w="992" w:type="dxa"/>
            <w:hideMark/>
          </w:tcPr>
          <w:p w14:paraId="247EB93B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2C94C84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471509FC" w14:textId="5A3B379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FF2132" w:rsidRPr="00FF2132" w14:paraId="1475E786" w14:textId="0D2CD50D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F39392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E7_MBN_00239</w:t>
            </w:r>
          </w:p>
        </w:tc>
        <w:tc>
          <w:tcPr>
            <w:tcW w:w="4222" w:type="dxa"/>
            <w:hideMark/>
          </w:tcPr>
          <w:p w14:paraId="757119DC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endoxylanase/acetylxylan esterase</w:t>
            </w:r>
          </w:p>
        </w:tc>
        <w:tc>
          <w:tcPr>
            <w:tcW w:w="1701" w:type="dxa"/>
            <w:hideMark/>
          </w:tcPr>
          <w:p w14:paraId="0EF9F440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C5BQU7</w:t>
            </w:r>
          </w:p>
        </w:tc>
        <w:tc>
          <w:tcPr>
            <w:tcW w:w="1134" w:type="dxa"/>
            <w:hideMark/>
          </w:tcPr>
          <w:p w14:paraId="261C014F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126570</w:t>
            </w:r>
          </w:p>
        </w:tc>
        <w:tc>
          <w:tcPr>
            <w:tcW w:w="992" w:type="dxa"/>
            <w:hideMark/>
          </w:tcPr>
          <w:p w14:paraId="1B6B072C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73FEE3CB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0BF618A9" w14:textId="1E084428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C, P</w:t>
            </w:r>
          </w:p>
        </w:tc>
      </w:tr>
      <w:tr w:rsidR="00FF2132" w:rsidRPr="00FF2132" w14:paraId="2FE3DC85" w14:textId="7B1CC310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3FAE10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E7_MBN_00260</w:t>
            </w:r>
          </w:p>
        </w:tc>
        <w:tc>
          <w:tcPr>
            <w:tcW w:w="4222" w:type="dxa"/>
            <w:hideMark/>
          </w:tcPr>
          <w:p w14:paraId="48055FFF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carbohydrate binding protein</w:t>
            </w:r>
          </w:p>
        </w:tc>
        <w:tc>
          <w:tcPr>
            <w:tcW w:w="1701" w:type="dxa"/>
            <w:hideMark/>
          </w:tcPr>
          <w:p w14:paraId="11409EB8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C5BSV8</w:t>
            </w:r>
          </w:p>
        </w:tc>
        <w:tc>
          <w:tcPr>
            <w:tcW w:w="1134" w:type="dxa"/>
            <w:hideMark/>
          </w:tcPr>
          <w:p w14:paraId="7715AD97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198086</w:t>
            </w:r>
          </w:p>
        </w:tc>
        <w:tc>
          <w:tcPr>
            <w:tcW w:w="992" w:type="dxa"/>
            <w:hideMark/>
          </w:tcPr>
          <w:p w14:paraId="15B17544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53EC6B79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19743B72" w14:textId="3E2B62A3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S, C</w:t>
            </w:r>
          </w:p>
        </w:tc>
      </w:tr>
      <w:tr w:rsidR="00FF2132" w:rsidRPr="00FF2132" w14:paraId="688E9D5F" w14:textId="1B1936D8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8FB2CE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E7_MBN_00497</w:t>
            </w:r>
          </w:p>
        </w:tc>
        <w:tc>
          <w:tcPr>
            <w:tcW w:w="4222" w:type="dxa"/>
            <w:hideMark/>
          </w:tcPr>
          <w:p w14:paraId="4ACB7688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Unknown protein</w:t>
            </w:r>
          </w:p>
        </w:tc>
        <w:tc>
          <w:tcPr>
            <w:tcW w:w="1701" w:type="dxa"/>
            <w:hideMark/>
          </w:tcPr>
          <w:p w14:paraId="7A8F163F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K7FWY9</w:t>
            </w:r>
          </w:p>
        </w:tc>
        <w:tc>
          <w:tcPr>
            <w:tcW w:w="1134" w:type="dxa"/>
            <w:hideMark/>
          </w:tcPr>
          <w:p w14:paraId="5E555CBB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22618</w:t>
            </w:r>
          </w:p>
        </w:tc>
        <w:tc>
          <w:tcPr>
            <w:tcW w:w="992" w:type="dxa"/>
            <w:hideMark/>
          </w:tcPr>
          <w:p w14:paraId="0BD356B7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410" w:type="dxa"/>
            <w:hideMark/>
          </w:tcPr>
          <w:p w14:paraId="45B269B8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843" w:type="dxa"/>
            <w:vAlign w:val="center"/>
          </w:tcPr>
          <w:p w14:paraId="3159B950" w14:textId="1EC788CE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S, X, P</w:t>
            </w:r>
          </w:p>
        </w:tc>
      </w:tr>
      <w:tr w:rsidR="00FF2132" w:rsidRPr="00FF2132" w14:paraId="08A481D8" w14:textId="5A26F86B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382412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E7_MBN_00820</w:t>
            </w:r>
          </w:p>
        </w:tc>
        <w:tc>
          <w:tcPr>
            <w:tcW w:w="4222" w:type="dxa"/>
            <w:hideMark/>
          </w:tcPr>
          <w:p w14:paraId="7ECCA937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glucanase/endoxylanase</w:t>
            </w:r>
          </w:p>
        </w:tc>
        <w:tc>
          <w:tcPr>
            <w:tcW w:w="1701" w:type="dxa"/>
            <w:hideMark/>
          </w:tcPr>
          <w:p w14:paraId="0C84ABA7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C5BMU2</w:t>
            </w:r>
          </w:p>
        </w:tc>
        <w:tc>
          <w:tcPr>
            <w:tcW w:w="1134" w:type="dxa"/>
            <w:hideMark/>
          </w:tcPr>
          <w:p w14:paraId="58B9E522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97022</w:t>
            </w:r>
          </w:p>
        </w:tc>
        <w:tc>
          <w:tcPr>
            <w:tcW w:w="992" w:type="dxa"/>
            <w:hideMark/>
          </w:tcPr>
          <w:p w14:paraId="6E981D6B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5CAD8A6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24151037" w14:textId="2A95E6E8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C, R</w:t>
            </w:r>
          </w:p>
        </w:tc>
      </w:tr>
      <w:tr w:rsidR="00FF2132" w:rsidRPr="00FF2132" w14:paraId="561AC7EB" w14:textId="571BE4AC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15F3D1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E7_MBN_01171</w:t>
            </w:r>
          </w:p>
        </w:tc>
        <w:tc>
          <w:tcPr>
            <w:tcW w:w="4222" w:type="dxa"/>
            <w:hideMark/>
          </w:tcPr>
          <w:p w14:paraId="2737632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Lytic polysaccharide monooxygenase</w:t>
            </w:r>
          </w:p>
        </w:tc>
        <w:tc>
          <w:tcPr>
            <w:tcW w:w="1701" w:type="dxa"/>
            <w:hideMark/>
          </w:tcPr>
          <w:p w14:paraId="12E4B5C7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C5BKQ9</w:t>
            </w:r>
          </w:p>
        </w:tc>
        <w:tc>
          <w:tcPr>
            <w:tcW w:w="1134" w:type="dxa"/>
            <w:hideMark/>
          </w:tcPr>
          <w:p w14:paraId="6B1E5381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35628</w:t>
            </w:r>
          </w:p>
        </w:tc>
        <w:tc>
          <w:tcPr>
            <w:tcW w:w="992" w:type="dxa"/>
            <w:hideMark/>
          </w:tcPr>
          <w:p w14:paraId="05766F42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2B96DFF7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64207A64" w14:textId="24850268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S, C</w:t>
            </w:r>
          </w:p>
        </w:tc>
      </w:tr>
      <w:tr w:rsidR="00FF2132" w:rsidRPr="00FF2132" w14:paraId="6C98BBF5" w14:textId="4D043B59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745D42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E7_MBN_01277</w:t>
            </w:r>
          </w:p>
        </w:tc>
        <w:tc>
          <w:tcPr>
            <w:tcW w:w="4222" w:type="dxa"/>
            <w:hideMark/>
          </w:tcPr>
          <w:p w14:paraId="772A937A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TonB</w:t>
            </w:r>
            <w:proofErr w:type="spellEnd"/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-dependent Receptor Plug Domain</w:t>
            </w:r>
          </w:p>
        </w:tc>
        <w:tc>
          <w:tcPr>
            <w:tcW w:w="1701" w:type="dxa"/>
            <w:hideMark/>
          </w:tcPr>
          <w:p w14:paraId="37689BB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C5BKF0</w:t>
            </w:r>
          </w:p>
        </w:tc>
        <w:tc>
          <w:tcPr>
            <w:tcW w:w="1134" w:type="dxa"/>
            <w:hideMark/>
          </w:tcPr>
          <w:p w14:paraId="432B9B92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125860</w:t>
            </w:r>
          </w:p>
        </w:tc>
        <w:tc>
          <w:tcPr>
            <w:tcW w:w="992" w:type="dxa"/>
            <w:hideMark/>
          </w:tcPr>
          <w:p w14:paraId="7AFBF7D1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2F5F0D94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3665AA30" w14:textId="4FB92990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S, C, P</w:t>
            </w:r>
          </w:p>
        </w:tc>
      </w:tr>
      <w:tr w:rsidR="00FF2132" w:rsidRPr="00FF2132" w14:paraId="5C0E0A2C" w14:textId="753EB9A4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6F9400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E7_MBN_02842</w:t>
            </w:r>
          </w:p>
        </w:tc>
        <w:tc>
          <w:tcPr>
            <w:tcW w:w="4222" w:type="dxa"/>
            <w:hideMark/>
          </w:tcPr>
          <w:p w14:paraId="658D905A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TonB</w:t>
            </w:r>
            <w:proofErr w:type="spellEnd"/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dependent receptor</w:t>
            </w:r>
          </w:p>
        </w:tc>
        <w:tc>
          <w:tcPr>
            <w:tcW w:w="1701" w:type="dxa"/>
            <w:hideMark/>
          </w:tcPr>
          <w:p w14:paraId="02E7AA0F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C5BN15</w:t>
            </w:r>
          </w:p>
        </w:tc>
        <w:tc>
          <w:tcPr>
            <w:tcW w:w="1134" w:type="dxa"/>
            <w:hideMark/>
          </w:tcPr>
          <w:p w14:paraId="0C73C15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111955</w:t>
            </w:r>
          </w:p>
        </w:tc>
        <w:tc>
          <w:tcPr>
            <w:tcW w:w="992" w:type="dxa"/>
            <w:hideMark/>
          </w:tcPr>
          <w:p w14:paraId="4FCDE44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28BC54CD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0264D05A" w14:textId="22DBB3CA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S, C, X, P</w:t>
            </w:r>
          </w:p>
        </w:tc>
      </w:tr>
      <w:tr w:rsidR="00FF2132" w:rsidRPr="00FF2132" w14:paraId="380F446D" w14:textId="7099C543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921B0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E7_MBN_03193</w:t>
            </w:r>
          </w:p>
        </w:tc>
        <w:tc>
          <w:tcPr>
            <w:tcW w:w="4222" w:type="dxa"/>
            <w:hideMark/>
          </w:tcPr>
          <w:p w14:paraId="707E1F65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Belongs to the glycosyl hydrolase family 6</w:t>
            </w:r>
          </w:p>
        </w:tc>
        <w:tc>
          <w:tcPr>
            <w:tcW w:w="1701" w:type="dxa"/>
            <w:hideMark/>
          </w:tcPr>
          <w:p w14:paraId="31876A51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C5BNB1</w:t>
            </w:r>
          </w:p>
        </w:tc>
        <w:tc>
          <w:tcPr>
            <w:tcW w:w="1134" w:type="dxa"/>
            <w:hideMark/>
          </w:tcPr>
          <w:p w14:paraId="33066C3C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40736</w:t>
            </w:r>
          </w:p>
        </w:tc>
        <w:tc>
          <w:tcPr>
            <w:tcW w:w="992" w:type="dxa"/>
            <w:hideMark/>
          </w:tcPr>
          <w:p w14:paraId="1873063A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410" w:type="dxa"/>
            <w:hideMark/>
          </w:tcPr>
          <w:p w14:paraId="0FC29D0A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Non-classical</w:t>
            </w:r>
          </w:p>
        </w:tc>
        <w:tc>
          <w:tcPr>
            <w:tcW w:w="1843" w:type="dxa"/>
            <w:vAlign w:val="center"/>
          </w:tcPr>
          <w:p w14:paraId="5631A0DD" w14:textId="618D076D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C, P</w:t>
            </w:r>
          </w:p>
        </w:tc>
      </w:tr>
      <w:tr w:rsidR="00FF2132" w:rsidRPr="00FF2132" w14:paraId="3C88BA2B" w14:textId="48F522EA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C0E17D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E7_MBN_03304</w:t>
            </w:r>
          </w:p>
        </w:tc>
        <w:tc>
          <w:tcPr>
            <w:tcW w:w="4222" w:type="dxa"/>
            <w:hideMark/>
          </w:tcPr>
          <w:p w14:paraId="4E9754B9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Iron/manganese superoxide </w:t>
            </w:r>
            <w:proofErr w:type="spellStart"/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dismutases</w:t>
            </w:r>
            <w:proofErr w:type="spellEnd"/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alpha-hairpin domain</w:t>
            </w:r>
          </w:p>
        </w:tc>
        <w:tc>
          <w:tcPr>
            <w:tcW w:w="1701" w:type="dxa"/>
            <w:hideMark/>
          </w:tcPr>
          <w:p w14:paraId="1E9A0EA8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C5BP07</w:t>
            </w:r>
          </w:p>
        </w:tc>
        <w:tc>
          <w:tcPr>
            <w:tcW w:w="1134" w:type="dxa"/>
            <w:hideMark/>
          </w:tcPr>
          <w:p w14:paraId="17310785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21574</w:t>
            </w:r>
          </w:p>
        </w:tc>
        <w:tc>
          <w:tcPr>
            <w:tcW w:w="992" w:type="dxa"/>
            <w:hideMark/>
          </w:tcPr>
          <w:p w14:paraId="4EFA2D8A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410" w:type="dxa"/>
            <w:hideMark/>
          </w:tcPr>
          <w:p w14:paraId="6EB1F81F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Non-classical</w:t>
            </w:r>
          </w:p>
        </w:tc>
        <w:tc>
          <w:tcPr>
            <w:tcW w:w="1843" w:type="dxa"/>
            <w:vAlign w:val="center"/>
          </w:tcPr>
          <w:p w14:paraId="7F4942AC" w14:textId="1C524723" w:rsidR="002C556E" w:rsidRPr="00FF2132" w:rsidRDefault="004D3A17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 xml:space="preserve">S, </w:t>
            </w:r>
            <w:r w:rsidR="002C556E" w:rsidRPr="00FF2132">
              <w:rPr>
                <w:rFonts w:ascii="Times New Roman" w:hAnsi="Times New Roman" w:cs="Times New Roman"/>
                <w:sz w:val="22"/>
                <w:szCs w:val="22"/>
              </w:rPr>
              <w:t>C, X, P</w:t>
            </w:r>
          </w:p>
        </w:tc>
      </w:tr>
      <w:tr w:rsidR="00FF2132" w:rsidRPr="00FF2132" w14:paraId="62828FB5" w14:textId="388FAE41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5AD5AA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E7_MBN_03305</w:t>
            </w:r>
          </w:p>
        </w:tc>
        <w:tc>
          <w:tcPr>
            <w:tcW w:w="4222" w:type="dxa"/>
            <w:hideMark/>
          </w:tcPr>
          <w:p w14:paraId="0BC3D6F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TCP-1/cpn60 chaperonin family</w:t>
            </w:r>
          </w:p>
        </w:tc>
        <w:tc>
          <w:tcPr>
            <w:tcW w:w="1701" w:type="dxa"/>
            <w:hideMark/>
          </w:tcPr>
          <w:p w14:paraId="731B87E4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C5BP08</w:t>
            </w:r>
          </w:p>
        </w:tc>
        <w:tc>
          <w:tcPr>
            <w:tcW w:w="1134" w:type="dxa"/>
            <w:hideMark/>
          </w:tcPr>
          <w:p w14:paraId="023929D2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57033</w:t>
            </w:r>
          </w:p>
        </w:tc>
        <w:tc>
          <w:tcPr>
            <w:tcW w:w="992" w:type="dxa"/>
            <w:hideMark/>
          </w:tcPr>
          <w:p w14:paraId="660617A8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410" w:type="dxa"/>
            <w:hideMark/>
          </w:tcPr>
          <w:p w14:paraId="12C674FB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843" w:type="dxa"/>
            <w:vAlign w:val="center"/>
          </w:tcPr>
          <w:p w14:paraId="7B1CD17F" w14:textId="6541BF60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FF2132" w:rsidRPr="00FF2132" w14:paraId="6F3EBF82" w14:textId="1B9DE5D5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CFFA61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E7_MBN_04122</w:t>
            </w:r>
          </w:p>
        </w:tc>
        <w:tc>
          <w:tcPr>
            <w:tcW w:w="4222" w:type="dxa"/>
            <w:hideMark/>
          </w:tcPr>
          <w:p w14:paraId="56C53D18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Repeats in polycystic kidney disease 1 (PKD1) and other proteins</w:t>
            </w:r>
          </w:p>
        </w:tc>
        <w:tc>
          <w:tcPr>
            <w:tcW w:w="1701" w:type="dxa"/>
            <w:hideMark/>
          </w:tcPr>
          <w:p w14:paraId="67C5A419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C5BHW7</w:t>
            </w:r>
          </w:p>
        </w:tc>
        <w:tc>
          <w:tcPr>
            <w:tcW w:w="1134" w:type="dxa"/>
            <w:hideMark/>
          </w:tcPr>
          <w:p w14:paraId="24353FE1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129837</w:t>
            </w:r>
          </w:p>
        </w:tc>
        <w:tc>
          <w:tcPr>
            <w:tcW w:w="992" w:type="dxa"/>
            <w:hideMark/>
          </w:tcPr>
          <w:p w14:paraId="29E06AB0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410" w:type="dxa"/>
            <w:hideMark/>
          </w:tcPr>
          <w:p w14:paraId="2169B483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Classical</w:t>
            </w:r>
          </w:p>
        </w:tc>
        <w:tc>
          <w:tcPr>
            <w:tcW w:w="1843" w:type="dxa"/>
            <w:vAlign w:val="center"/>
          </w:tcPr>
          <w:p w14:paraId="1386D70D" w14:textId="0CAAC93B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FF2132" w:rsidRPr="00FF2132" w14:paraId="3C3C1C14" w14:textId="36F4C9D1" w:rsidTr="00FF213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5C7BA" w14:textId="77777777" w:rsidR="002C556E" w:rsidRPr="00FF2132" w:rsidRDefault="002C556E" w:rsidP="002C556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E7_MBN_04207</w:t>
            </w:r>
          </w:p>
        </w:tc>
        <w:tc>
          <w:tcPr>
            <w:tcW w:w="4222" w:type="dxa"/>
            <w:hideMark/>
          </w:tcPr>
          <w:p w14:paraId="710BFAD1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Glutamine synthetase, catalytic domain</w:t>
            </w:r>
          </w:p>
        </w:tc>
        <w:tc>
          <w:tcPr>
            <w:tcW w:w="1701" w:type="dxa"/>
            <w:hideMark/>
          </w:tcPr>
          <w:p w14:paraId="73A2125E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C5BJ19</w:t>
            </w:r>
          </w:p>
        </w:tc>
        <w:tc>
          <w:tcPr>
            <w:tcW w:w="1134" w:type="dxa"/>
            <w:hideMark/>
          </w:tcPr>
          <w:p w14:paraId="2BA79650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52058</w:t>
            </w:r>
          </w:p>
        </w:tc>
        <w:tc>
          <w:tcPr>
            <w:tcW w:w="992" w:type="dxa"/>
            <w:hideMark/>
          </w:tcPr>
          <w:p w14:paraId="573E3FC5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410" w:type="dxa"/>
            <w:hideMark/>
          </w:tcPr>
          <w:p w14:paraId="0A215810" w14:textId="77777777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843" w:type="dxa"/>
            <w:vAlign w:val="center"/>
          </w:tcPr>
          <w:p w14:paraId="67EF2453" w14:textId="0EF69455" w:rsidR="002C556E" w:rsidRPr="00FF2132" w:rsidRDefault="002C556E" w:rsidP="002C55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2132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</w:tr>
    </w:tbl>
    <w:p w14:paraId="27B80FC9" w14:textId="77777777" w:rsidR="0046617B" w:rsidRDefault="0046617B"/>
    <w:p w14:paraId="0FA9FF54" w14:textId="77777777" w:rsidR="00C83810" w:rsidRDefault="00C83810"/>
    <w:sectPr w:rsidR="00C83810" w:rsidSect="00FF2132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6E"/>
    <w:rsid w:val="00132E60"/>
    <w:rsid w:val="002C556E"/>
    <w:rsid w:val="003478C0"/>
    <w:rsid w:val="00360992"/>
    <w:rsid w:val="0046617B"/>
    <w:rsid w:val="004D3A17"/>
    <w:rsid w:val="00512EAF"/>
    <w:rsid w:val="00533D2F"/>
    <w:rsid w:val="00604CA5"/>
    <w:rsid w:val="00C833BB"/>
    <w:rsid w:val="00C83810"/>
    <w:rsid w:val="00DD6D70"/>
    <w:rsid w:val="00E2667B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6BF5C"/>
  <w15:chartTrackingRefBased/>
  <w15:docId w15:val="{EDEF6A41-ACC4-BD4D-9616-BC39CA77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C55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56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C55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GridTable1Light">
    <w:name w:val="Grid Table 1 Light"/>
    <w:basedOn w:val="TableNormal"/>
    <w:uiPriority w:val="46"/>
    <w:rsid w:val="002C556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6769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Lyle Ijssel De Guzman</dc:creator>
  <cp:keywords/>
  <dc:description/>
  <cp:lastModifiedBy>Lyle Ijssel De Guzman</cp:lastModifiedBy>
  <cp:revision>3</cp:revision>
  <dcterms:created xsi:type="dcterms:W3CDTF">2025-03-14T08:46:00Z</dcterms:created>
  <dcterms:modified xsi:type="dcterms:W3CDTF">2025-04-11T14:35:00Z</dcterms:modified>
</cp:coreProperties>
</file>