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BDC2E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bookmarkStart w:id="0" w:name="_Hlk193672406"/>
      <w:r>
        <w:rPr>
          <w:rFonts w:asciiTheme="majorBidi" w:hAnsiTheme="majorBidi" w:cstheme="majorBidi"/>
          <w:b/>
          <w:bCs/>
          <w:sz w:val="22"/>
          <w:szCs w:val="22"/>
        </w:rPr>
        <w:t xml:space="preserve">Green synthesis of silver nanoparticles from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Bacillus subtilis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-mediated feather hydrolysate: Antimicrobial, Larvicidal against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Culex pipiens</w:t>
      </w:r>
      <w:r>
        <w:rPr>
          <w:rFonts w:asciiTheme="majorBidi" w:hAnsiTheme="majorBidi" w:cstheme="majorBidi"/>
          <w:b/>
          <w:bCs/>
          <w:sz w:val="22"/>
          <w:szCs w:val="22"/>
        </w:rPr>
        <w:t>, and Anticancer activities</w:t>
      </w:r>
    </w:p>
    <w:p w14:paraId="27FA85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Mohammed H. Alruhaili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b/>
          <w:bCs/>
          <w:sz w:val="20"/>
          <w:szCs w:val="20"/>
        </w:rPr>
        <w:t>, Samy Selim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0"/>
          <w:szCs w:val="20"/>
        </w:rPr>
        <w:t>, Eslam Adly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>,Mohanned T. Alharbi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</w:rPr>
        <w:t>Bassam M. Al-ahmadi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</w:rPr>
        <w:t>Mutasem S. Almehayawi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</w:rPr>
        <w:t>Soad K. Al Jaouni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b/>
          <w:bCs/>
          <w:sz w:val="20"/>
          <w:szCs w:val="20"/>
        </w:rPr>
        <w:t>, Salem S. Salem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b/>
          <w:bCs/>
          <w:sz w:val="20"/>
          <w:szCs w:val="20"/>
        </w:rPr>
        <w:t>,Samah H. Abu-Hussien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10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color w:val="222222"/>
          <w:sz w:val="20"/>
          <w:szCs w:val="20"/>
        </w:rPr>
        <w:t xml:space="preserve"> </w:t>
      </w:r>
    </w:p>
    <w:p w14:paraId="50D3556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Department of Clinical Microbiology and Immunology, Faculty of Medicine, King Abdulaziz University, 21589, Jeddah, Saudi Arabia</w:t>
      </w:r>
    </w:p>
    <w:p w14:paraId="568127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Special Infectious Agents Unit, King Fahad Medical Research Center, King AbdulAziz University, Jeddah, Saudi Arabia</w:t>
      </w:r>
    </w:p>
    <w:p w14:paraId="33C7632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Department of Clinical Laboratory Sciences, College of Applied Medical Sciences, Jouf University, 72388, Sakaka, Saudi Arabia </w:t>
      </w:r>
    </w:p>
    <w:p w14:paraId="033479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Department of Zoology, Faculty of Science, Ain Shams University, Cairo, Egypt</w:t>
      </w:r>
    </w:p>
    <w:p w14:paraId="0F2CFB3B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Basic Medical Sciences, College of Medicine, University of Jeddah, Jeddah, Saudi Arabia</w:t>
      </w:r>
    </w:p>
    <w:p w14:paraId="4BAEB2F1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Biology, College of Science, Taibah University, Madinah, 42353, Saudi Arabia</w:t>
      </w:r>
    </w:p>
    <w:p w14:paraId="0813B45A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rtl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Emergency Medicine, Faculty of Medicine, King Abdulaziz University, Jeddah, Kingdom of Saudi Arabia</w:t>
      </w:r>
    </w:p>
    <w:p w14:paraId="76FA8A47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Hematology/Oncology, Chair of Prophetic Medicine Application, Faculty of Medicine, King Abdulaziz University, 21589, Jeddah, Saudi Arabia</w:t>
      </w:r>
    </w:p>
    <w:p w14:paraId="0497BEBB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Botany and Microbiology Department, Faculty of Science, Al-Azhar University, Nasr City, Cairo-11884, Egypt </w:t>
      </w:r>
    </w:p>
    <w:p w14:paraId="4C7CC60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>
        <w:rPr>
          <w:rFonts w:ascii="Times New Roman" w:hAnsi="Times New Roman" w:cs="Times New Roman"/>
          <w:sz w:val="20"/>
          <w:szCs w:val="20"/>
        </w:rPr>
        <w:t>Department of Agricultural Microbiology, Faculty of Agriculture, Ain Shams University, Cairo, Egypt</w:t>
      </w:r>
    </w:p>
    <w:p w14:paraId="69C4E56F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*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2"/>
          <w:szCs w:val="22"/>
        </w:rPr>
        <w:t xml:space="preserve">Correspondence: </w:t>
      </w:r>
      <w:r>
        <w:rPr>
          <w:rFonts w:ascii="Times New Roman" w:hAnsi="Times New Roman" w:cs="Times New Roman"/>
          <w:b/>
          <w:bCs/>
          <w:sz w:val="20"/>
          <w:szCs w:val="20"/>
        </w:rPr>
        <w:t>Samy Selim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>
        <w:fldChar w:fldCharType="begin"/>
      </w:r>
      <w:r>
        <w:instrText xml:space="preserve"> HYPERLINK "mailto:sabdulsalam@ju.edu.sa" </w:instrText>
      </w:r>
      <w:r>
        <w:fldChar w:fldCharType="separate"/>
      </w:r>
      <w:r>
        <w:rPr>
          <w:rStyle w:val="13"/>
          <w:rFonts w:ascii="Times New Roman" w:hAnsi="Times New Roman" w:eastAsia="Times New Roman" w:cs="Times New Roman"/>
        </w:rPr>
        <w:t>sabdulsalam@ju.edu.sa</w:t>
      </w:r>
      <w:r>
        <w:rPr>
          <w:rStyle w:val="13"/>
          <w:rFonts w:ascii="Times New Roman" w:hAnsi="Times New Roman" w:eastAsia="Times New Roman" w:cs="Times New Roman"/>
        </w:rPr>
        <w:fldChar w:fldCharType="end"/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bookmarkEnd w:id="0"/>
    <w:p w14:paraId="7220B953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501D9E4D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Table S1:</w:t>
      </w:r>
      <w:r>
        <w:rPr>
          <w:rFonts w:asciiTheme="majorBidi" w:hAnsiTheme="majorBidi" w:cstheme="majorBidi"/>
          <w:sz w:val="22"/>
          <w:szCs w:val="22"/>
        </w:rPr>
        <w:t xml:space="preserve"> Inhibition zone diameters (IZD, mm) of feather waste hydrolysate (FWH) and FWH-silver nanoparticles (FWH-AgNPs) against </w:t>
      </w:r>
      <w:r>
        <w:rPr>
          <w:rFonts w:asciiTheme="majorBidi" w:hAnsiTheme="majorBidi" w:cstheme="majorBidi"/>
          <w:i/>
          <w:iCs/>
          <w:sz w:val="22"/>
          <w:szCs w:val="22"/>
        </w:rPr>
        <w:t>Pseudomonas aeruginosa</w:t>
      </w:r>
      <w:r>
        <w:rPr>
          <w:rFonts w:asciiTheme="majorBidi" w:hAnsiTheme="majorBidi" w:cstheme="majorBidi"/>
          <w:sz w:val="22"/>
          <w:szCs w:val="22"/>
        </w:rPr>
        <w:t xml:space="preserve">, MRSA, </w:t>
      </w:r>
      <w:r>
        <w:rPr>
          <w:rFonts w:asciiTheme="majorBidi" w:hAnsiTheme="majorBidi" w:cstheme="majorBidi"/>
          <w:i/>
          <w:iCs/>
          <w:sz w:val="22"/>
          <w:szCs w:val="22"/>
        </w:rPr>
        <w:t>Aspergillus brasiliensis</w:t>
      </w:r>
      <w:r>
        <w:rPr>
          <w:rFonts w:asciiTheme="majorBidi" w:hAnsiTheme="majorBidi" w:cstheme="majorBidi"/>
          <w:sz w:val="22"/>
          <w:szCs w:val="22"/>
        </w:rPr>
        <w:t xml:space="preserve">, and </w:t>
      </w:r>
      <w:r>
        <w:rPr>
          <w:rFonts w:asciiTheme="majorBidi" w:hAnsiTheme="majorBidi" w:cstheme="majorBidi"/>
          <w:i/>
          <w:iCs/>
          <w:sz w:val="22"/>
          <w:szCs w:val="22"/>
        </w:rPr>
        <w:t>Candida albicans</w:t>
      </w:r>
      <w:r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34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624"/>
        <w:gridCol w:w="2235"/>
        <w:gridCol w:w="2475"/>
        <w:gridCol w:w="1755"/>
      </w:tblGrid>
      <w:tr w14:paraId="3983156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1B4EE13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Organism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3C21D9E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FWH (mm)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79B09F1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FWH-AgNPs (mm)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07D36BE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Positive Control (mm)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54E03CA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Interpretation</w:t>
            </w:r>
          </w:p>
        </w:tc>
      </w:tr>
      <w:tr w14:paraId="3EE4896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4D7EDB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P. aeruginosa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AC8AB7B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36.0 ± 1.8ᵇ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F674129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42.0 ± 2.1ᵃ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73B939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46.5 ± 1.3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2398FB1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Enhanced activity</w:t>
            </w:r>
          </w:p>
        </w:tc>
      </w:tr>
      <w:tr w14:paraId="0D02E79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78002B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MRSA</w:t>
            </w:r>
          </w:p>
        </w:tc>
        <w:tc>
          <w:tcPr>
            <w:tcW w:w="0" w:type="auto"/>
          </w:tcPr>
          <w:p w14:paraId="76AB63F5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31.0 ± 1.6ᵇ</w:t>
            </w:r>
          </w:p>
        </w:tc>
        <w:tc>
          <w:tcPr>
            <w:tcW w:w="0" w:type="auto"/>
          </w:tcPr>
          <w:p w14:paraId="2826B54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41.0 ± 2.0ᵃ</w:t>
            </w:r>
          </w:p>
        </w:tc>
        <w:tc>
          <w:tcPr>
            <w:tcW w:w="0" w:type="auto"/>
          </w:tcPr>
          <w:p w14:paraId="70042CD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44.0 ± 1.7</w:t>
            </w:r>
          </w:p>
        </w:tc>
        <w:tc>
          <w:tcPr>
            <w:tcW w:w="0" w:type="auto"/>
          </w:tcPr>
          <w:p w14:paraId="6B39371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Enhanced activity</w:t>
            </w:r>
          </w:p>
        </w:tc>
      </w:tr>
      <w:tr w14:paraId="3CF019F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37B3FE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A. brasiliensis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A50708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19.0 ± 1.0ᵇ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2AF956BD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35.0 ± 1.8ᵃ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3A8161E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38.5 ± 1.2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094F10C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Enhanced activity</w:t>
            </w:r>
          </w:p>
        </w:tc>
      </w:tr>
      <w:tr w14:paraId="001543E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2048C8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C. albicans</w:t>
            </w:r>
          </w:p>
        </w:tc>
        <w:tc>
          <w:tcPr>
            <w:tcW w:w="0" w:type="auto"/>
          </w:tcPr>
          <w:p w14:paraId="0B9501C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15.0 ± 0.8ᵇ</w:t>
            </w:r>
          </w:p>
        </w:tc>
        <w:tc>
          <w:tcPr>
            <w:tcW w:w="0" w:type="auto"/>
          </w:tcPr>
          <w:p w14:paraId="6E717F4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28.0 ± 1.4ᵃ</w:t>
            </w:r>
          </w:p>
        </w:tc>
        <w:tc>
          <w:tcPr>
            <w:tcW w:w="0" w:type="auto"/>
          </w:tcPr>
          <w:p w14:paraId="132C1CFC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33.0 ± 1.6</w:t>
            </w:r>
          </w:p>
        </w:tc>
        <w:tc>
          <w:tcPr>
            <w:tcW w:w="0" w:type="auto"/>
          </w:tcPr>
          <w:p w14:paraId="1E60BBE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Enhanced activity</w:t>
            </w:r>
          </w:p>
        </w:tc>
      </w:tr>
    </w:tbl>
    <w:p w14:paraId="4ADB4E49">
      <w:pPr>
        <w:spacing w:line="360" w:lineRule="auto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r>
        <w:rPr>
          <w:rFonts w:asciiTheme="majorBidi" w:hAnsiTheme="majorBidi" w:cstheme="majorBidi"/>
          <w:i/>
          <w:iCs/>
          <w:sz w:val="22"/>
          <w:szCs w:val="22"/>
        </w:rPr>
        <w:t>Values represent mean ± standard deviation from triplicate experiments (n = 3). Superscript letters (a, b) within each row indicate statistically significant differences (Student’s t-test, p &lt; 0.05); different letters denote significant variation in antimicrobial activity, with ‘a’ indicating the higher effect.</w:t>
      </w:r>
    </w:p>
    <w:p w14:paraId="3AEA745A">
      <w:pPr>
        <w:spacing w:line="360" w:lineRule="auto"/>
        <w:jc w:val="both"/>
        <w:rPr>
          <w:rFonts w:asciiTheme="majorBidi" w:hAnsiTheme="majorBidi" w:cstheme="majorBidi"/>
          <w:i/>
          <w:iCs/>
          <w:sz w:val="22"/>
          <w:szCs w:val="22"/>
        </w:rPr>
      </w:pPr>
    </w:p>
    <w:p w14:paraId="2DEB1AA1">
      <w:p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Table S2. </w:t>
      </w:r>
      <w:r>
        <w:rPr>
          <w:rFonts w:asciiTheme="majorBidi" w:hAnsiTheme="majorBidi" w:cstheme="majorBidi"/>
          <w:sz w:val="22"/>
          <w:szCs w:val="22"/>
        </w:rPr>
        <w:t>Cytotoxic and viability responses of human skin fibroblasts (HSF) and MCF-7 breast cancer cells treated with FWH-AgNPs, assessed by MTT assay after 24 h exposure.</w:t>
      </w:r>
    </w:p>
    <w:tbl>
      <w:tblPr>
        <w:tblStyle w:val="34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700"/>
        <w:gridCol w:w="1820"/>
        <w:gridCol w:w="2030"/>
        <w:gridCol w:w="2150"/>
      </w:tblGrid>
      <w:tr w14:paraId="611EBF7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2F69713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Concentration (µg/L)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7B287B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HSF Viability (%)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5B2181B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MCF-7 Viability (%)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2F7A56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HSF Cytotoxicity (%) ± SD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0357FA0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MCF-7 Cytotoxicity (%) ± SD</w:t>
            </w:r>
          </w:p>
        </w:tc>
      </w:tr>
      <w:tr w14:paraId="2AD4601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3A446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040930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76.8 ± 3.8ᵈ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855A40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32.4 ± 2.1ᵃ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88164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23.2 ± 1.2ᵃ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3703E0D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67.6 ± 3.5ᵉ</w:t>
            </w:r>
          </w:p>
        </w:tc>
      </w:tr>
      <w:tr w14:paraId="0CB6545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76DB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500</w:t>
            </w:r>
          </w:p>
        </w:tc>
        <w:tc>
          <w:tcPr>
            <w:tcW w:w="0" w:type="auto"/>
          </w:tcPr>
          <w:p w14:paraId="5AC6D7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83.5 ± 4.0ᶜ</w:t>
            </w:r>
          </w:p>
        </w:tc>
        <w:tc>
          <w:tcPr>
            <w:tcW w:w="0" w:type="auto"/>
          </w:tcPr>
          <w:p w14:paraId="1946703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45.2 ± 2.4ᵇ</w:t>
            </w:r>
          </w:p>
        </w:tc>
        <w:tc>
          <w:tcPr>
            <w:tcW w:w="0" w:type="auto"/>
          </w:tcPr>
          <w:p w14:paraId="3E4BCD9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16.5 ± 0.8ᵇ</w:t>
            </w:r>
          </w:p>
        </w:tc>
        <w:tc>
          <w:tcPr>
            <w:tcW w:w="0" w:type="auto"/>
          </w:tcPr>
          <w:p w14:paraId="7D1AEB0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54.8 ± 2.7ᵈ</w:t>
            </w:r>
          </w:p>
        </w:tc>
      </w:tr>
      <w:tr w14:paraId="570C43B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9CE52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B3E764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87.4 ± 4.3ᵇ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64D1DF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60.8 ± 2.9ᶜ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784980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12.6 ± 0.6ᶜ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4CA117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39.2 ± 2.1ᶜ</w:t>
            </w:r>
          </w:p>
        </w:tc>
      </w:tr>
      <w:tr w14:paraId="4AB9960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C8F972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0" w:type="auto"/>
          </w:tcPr>
          <w:p w14:paraId="7BA5B54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90.2 ± 4.2ᵇ</w:t>
            </w:r>
          </w:p>
        </w:tc>
        <w:tc>
          <w:tcPr>
            <w:tcW w:w="0" w:type="auto"/>
          </w:tcPr>
          <w:p w14:paraId="1F28AB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72.6 ± 3.5ᵈ</w:t>
            </w:r>
          </w:p>
        </w:tc>
        <w:tc>
          <w:tcPr>
            <w:tcW w:w="0" w:type="auto"/>
          </w:tcPr>
          <w:p w14:paraId="7650E24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9.8 ± 0.5ᶜ</w:t>
            </w:r>
          </w:p>
        </w:tc>
        <w:tc>
          <w:tcPr>
            <w:tcW w:w="0" w:type="auto"/>
          </w:tcPr>
          <w:p w14:paraId="180674C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27.4 ± 1.4ᵇ</w:t>
            </w:r>
          </w:p>
        </w:tc>
      </w:tr>
      <w:tr w14:paraId="070C741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CBD982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62.5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20831BE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93.6 ± 4.1ᵃ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0D28A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81.7 ± 3.8ᵉ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80F3DA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6.4 ± 0.3ᵈ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BBC04A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18.3 ± 0.9ᵃ</w:t>
            </w:r>
          </w:p>
        </w:tc>
      </w:tr>
      <w:tr w14:paraId="513AB9B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3CE208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31.25</w:t>
            </w:r>
          </w:p>
        </w:tc>
        <w:tc>
          <w:tcPr>
            <w:tcW w:w="0" w:type="auto"/>
          </w:tcPr>
          <w:p w14:paraId="15C3695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95.2 ± 3.9ᵃ</w:t>
            </w:r>
          </w:p>
        </w:tc>
        <w:tc>
          <w:tcPr>
            <w:tcW w:w="0" w:type="auto"/>
          </w:tcPr>
          <w:p w14:paraId="04ABDC5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89.5 ± 4.1ᵉ</w:t>
            </w:r>
          </w:p>
        </w:tc>
        <w:tc>
          <w:tcPr>
            <w:tcW w:w="0" w:type="auto"/>
          </w:tcPr>
          <w:p w14:paraId="503175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4.8 ± 0.2ᵉ</w:t>
            </w:r>
          </w:p>
        </w:tc>
        <w:tc>
          <w:tcPr>
            <w:tcW w:w="0" w:type="auto"/>
          </w:tcPr>
          <w:p w14:paraId="1463BC4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10.5 ± 0.6ᵃ</w:t>
            </w:r>
          </w:p>
        </w:tc>
      </w:tr>
      <w:tr w14:paraId="4A5F385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4F4B8F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IC₅₀ (µg/L)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B67C64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790.3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72D50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294.7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080BFB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6482FD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—</w:t>
            </w:r>
          </w:p>
        </w:tc>
      </w:tr>
    </w:tbl>
    <w:p w14:paraId="42AE25C0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Data represent mean ± standard deviation (n = 3). Different superscript letters within each column indicate statistically significant differences at p &lt; 0.05 (one-way ANOVA followed by Tukey’s post hoc test).</w:t>
      </w:r>
    </w:p>
    <w:p w14:paraId="7AAD7970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Table S3. Biochemical Disruptions Induced by Feather Waste Hydrolysate and Its Nanoparticle Formulation in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Culex pipiens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Larvae Over Time</w:t>
      </w:r>
    </w:p>
    <w:tbl>
      <w:tblPr>
        <w:tblStyle w:val="34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414"/>
        <w:gridCol w:w="1907"/>
        <w:gridCol w:w="1987"/>
        <w:gridCol w:w="1964"/>
      </w:tblGrid>
      <w:tr w14:paraId="6DA79BC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6C18BBB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Time (h)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0BE6496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1C9AB9E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Total Protein (µg)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76D9AED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Carbohydrate (µg)</w:t>
            </w:r>
          </w:p>
        </w:tc>
        <w:tc>
          <w:tcPr>
            <w:tcW w:w="0" w:type="auto"/>
            <w:tcBorders>
              <w:bottom w:val="single" w:color="7E7E7E" w:themeColor="text1" w:themeTint="80" w:sz="4" w:space="0"/>
              <w:insideH w:val="single" w:sz="4" w:space="0"/>
            </w:tcBorders>
          </w:tcPr>
          <w:p w14:paraId="1814B67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AChE Activity (U)</w:t>
            </w:r>
          </w:p>
        </w:tc>
      </w:tr>
      <w:tr w14:paraId="0E9A8DA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2114C15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CA0B37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Control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3C10F2E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12.00 ± 0.60ᵃ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142934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735.0 ± 36.75ᵃ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2218059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5.28 ± 0.26ᶜ</w:t>
            </w:r>
          </w:p>
        </w:tc>
      </w:tr>
      <w:tr w14:paraId="2C689BE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A3A054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</w:tcPr>
          <w:p w14:paraId="7EEA6AE8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</w:t>
            </w:r>
          </w:p>
        </w:tc>
        <w:tc>
          <w:tcPr>
            <w:tcW w:w="0" w:type="auto"/>
          </w:tcPr>
          <w:p w14:paraId="021443DD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9.40 ± 0.47ᵇ</w:t>
            </w:r>
          </w:p>
        </w:tc>
        <w:tc>
          <w:tcPr>
            <w:tcW w:w="0" w:type="auto"/>
          </w:tcPr>
          <w:p w14:paraId="5E7C393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620.0 ± 31.00ᵇ</w:t>
            </w:r>
          </w:p>
        </w:tc>
        <w:tc>
          <w:tcPr>
            <w:tcW w:w="0" w:type="auto"/>
          </w:tcPr>
          <w:p w14:paraId="5EACF61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45.18 ± 2.26ᵃ</w:t>
            </w:r>
          </w:p>
        </w:tc>
      </w:tr>
      <w:tr w14:paraId="6F07DA0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432C45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AA21C8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FWH-AgNPs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82C933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5.20 ± 0.26ᶜ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117DB8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315.2 ± 15.76ᶜ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B4E89C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25.78 ± 1.29ᵇ</w:t>
            </w:r>
          </w:p>
        </w:tc>
      </w:tr>
      <w:tr w14:paraId="0661744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B431BE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0" w:type="auto"/>
          </w:tcPr>
          <w:p w14:paraId="78912D2C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Control</w:t>
            </w:r>
          </w:p>
        </w:tc>
        <w:tc>
          <w:tcPr>
            <w:tcW w:w="0" w:type="auto"/>
          </w:tcPr>
          <w:p w14:paraId="747EF82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7.50 ± 0.38ᵃ</w:t>
            </w:r>
          </w:p>
        </w:tc>
        <w:tc>
          <w:tcPr>
            <w:tcW w:w="0" w:type="auto"/>
          </w:tcPr>
          <w:p w14:paraId="4602E415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420.0 ± 21.00ᵃ</w:t>
            </w:r>
          </w:p>
        </w:tc>
        <w:tc>
          <w:tcPr>
            <w:tcW w:w="0" w:type="auto"/>
          </w:tcPr>
          <w:p w14:paraId="77F4D37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45.26 ± 2.26ᵃ</w:t>
            </w:r>
          </w:p>
        </w:tc>
      </w:tr>
      <w:tr w14:paraId="4314142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3B62E3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F18DCA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7D70F7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6.70 ± 0.34ᵇ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0787B8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350.0 ± 17.50ᵇ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926DDB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35.60 ± 1.78ᵇ</w:t>
            </w:r>
          </w:p>
        </w:tc>
      </w:tr>
      <w:tr w14:paraId="54EC072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55631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</w:tcPr>
          <w:p w14:paraId="0AC69A0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FWH-AgNPs</w:t>
            </w:r>
          </w:p>
        </w:tc>
        <w:tc>
          <w:tcPr>
            <w:tcW w:w="0" w:type="auto"/>
          </w:tcPr>
          <w:p w14:paraId="000F0AE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3.10 ± 0.16ᶜ</w:t>
            </w:r>
          </w:p>
        </w:tc>
        <w:tc>
          <w:tcPr>
            <w:tcW w:w="0" w:type="auto"/>
          </w:tcPr>
          <w:p w14:paraId="5C231BE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179.6 ± 8.98ᶜ</w:t>
            </w:r>
          </w:p>
        </w:tc>
        <w:tc>
          <w:tcPr>
            <w:tcW w:w="0" w:type="auto"/>
          </w:tcPr>
          <w:p w14:paraId="49F19B9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19.50 ± 0.98ᶜ</w:t>
            </w:r>
          </w:p>
        </w:tc>
      </w:tr>
      <w:tr w14:paraId="676AB35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DDBBF6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249E65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Control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817A75A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3.24 ± 0.16ᵃ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E7BDD4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268.0 ± 13.40ᵃ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50E47509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35.12 ± 1.76ᵃ</w:t>
            </w:r>
          </w:p>
        </w:tc>
      </w:tr>
      <w:tr w14:paraId="67DEB15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36FA92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</w:tcPr>
          <w:p w14:paraId="6DB87FF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</w:t>
            </w:r>
          </w:p>
        </w:tc>
        <w:tc>
          <w:tcPr>
            <w:tcW w:w="0" w:type="auto"/>
          </w:tcPr>
          <w:p w14:paraId="5A117E1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2.10 ± 0.11ᵇ</w:t>
            </w:r>
          </w:p>
        </w:tc>
        <w:tc>
          <w:tcPr>
            <w:tcW w:w="0" w:type="auto"/>
          </w:tcPr>
          <w:p w14:paraId="6C203404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220.0 ± 11.00ᵇ</w:t>
            </w:r>
          </w:p>
        </w:tc>
        <w:tc>
          <w:tcPr>
            <w:tcW w:w="0" w:type="auto"/>
          </w:tcPr>
          <w:p w14:paraId="2A78659B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3.45 ± 0.17ᶜ</w:t>
            </w:r>
          </w:p>
        </w:tc>
      </w:tr>
      <w:tr w14:paraId="181B002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547369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807329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FWH-AgNPs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472C0FD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1.80 ± 0.09ᶜ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0677350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110.5 ± 5.53ᶜ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1BBF61E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18.50 ± 0.93ᵇ</w:t>
            </w:r>
          </w:p>
        </w:tc>
      </w:tr>
      <w:tr w14:paraId="258888F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E2CE35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0" w:type="auto"/>
          </w:tcPr>
          <w:p w14:paraId="3E0DBDDE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Control</w:t>
            </w:r>
          </w:p>
        </w:tc>
        <w:tc>
          <w:tcPr>
            <w:tcW w:w="0" w:type="auto"/>
          </w:tcPr>
          <w:p w14:paraId="3039B5BB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0.195 ± 0.0098ᵃ</w:t>
            </w:r>
          </w:p>
        </w:tc>
        <w:tc>
          <w:tcPr>
            <w:tcW w:w="0" w:type="auto"/>
          </w:tcPr>
          <w:p w14:paraId="30FD96BC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115.0 ± 5.75ᵃ</w:t>
            </w:r>
          </w:p>
        </w:tc>
        <w:tc>
          <w:tcPr>
            <w:tcW w:w="0" w:type="auto"/>
          </w:tcPr>
          <w:p w14:paraId="0B8C6EE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15.68 ± 0.78ᵇ</w:t>
            </w:r>
          </w:p>
        </w:tc>
      </w:tr>
      <w:tr w14:paraId="19DAA47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01FC144D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3EA37EE7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21482EDA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0.120 ± 0.0060ᵇ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693A1DE3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95.15 ± 4.76ᵇ</w:t>
            </w: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 w14:paraId="75996C3F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15.80 ± 0.79ᵇ</w:t>
            </w:r>
          </w:p>
        </w:tc>
      </w:tr>
      <w:tr w14:paraId="5C0FADE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3E48BE6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</w:tcPr>
          <w:p w14:paraId="21D7DD82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FWH-AgNPs</w:t>
            </w:r>
          </w:p>
        </w:tc>
        <w:tc>
          <w:tcPr>
            <w:tcW w:w="0" w:type="auto"/>
          </w:tcPr>
          <w:p w14:paraId="71598DE1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0.090 ± 0.0045ᶜ</w:t>
            </w:r>
          </w:p>
        </w:tc>
        <w:tc>
          <w:tcPr>
            <w:tcW w:w="0" w:type="auto"/>
          </w:tcPr>
          <w:p w14:paraId="13A4DFC9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50.25 ± 2.51ᶜ</w:t>
            </w:r>
          </w:p>
        </w:tc>
        <w:tc>
          <w:tcPr>
            <w:tcW w:w="0" w:type="auto"/>
          </w:tcPr>
          <w:p w14:paraId="3729DCFD">
            <w:pPr>
              <w:spacing w:after="100" w:afterAutospacing="1" w:line="240" w:lineRule="auto"/>
              <w:contextualSpacing/>
              <w:jc w:val="both"/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SimSun" w:asciiTheme="majorBidi" w:hAnsiTheme="majorBidi" w:cstheme="majorBidi"/>
                <w:kern w:val="0"/>
                <w:sz w:val="22"/>
                <w:szCs w:val="22"/>
                <w14:ligatures w14:val="none"/>
              </w:rPr>
              <w:t>7.56 ± 0.38ᶜ</w:t>
            </w:r>
          </w:p>
        </w:tc>
      </w:tr>
    </w:tbl>
    <w:p w14:paraId="608E4DA7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(Data = mean ± SD per 25 larvae; different superscript letters indicate significant differences, </w:t>
      </w:r>
      <w:r>
        <w:rPr>
          <w:rFonts w:asciiTheme="majorBidi" w:hAnsiTheme="majorBidi" w:cstheme="majorBidi"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sz w:val="22"/>
          <w:szCs w:val="22"/>
        </w:rPr>
        <w:t> &lt; 0.05, ANOVA with Tukey’s test)</w:t>
      </w:r>
    </w:p>
    <w:p w14:paraId="5FF5FB10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4551BF1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83"/>
    <w:rsid w:val="00230663"/>
    <w:rsid w:val="00873D83"/>
    <w:rsid w:val="00AD392D"/>
    <w:rsid w:val="2C2B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4">
    <w:name w:val="Plain Table 2"/>
    <w:basedOn w:val="12"/>
    <w:qFormat/>
    <w:uiPriority w:val="42"/>
    <w:pPr>
      <w:spacing w:after="0" w:line="240" w:lineRule="auto"/>
    </w:pPr>
    <w:rPr>
      <w:rFonts w:ascii="Times New Roman" w:hAnsi="Times New Roman" w:eastAsia="SimSun" w:cs="Times New Roman"/>
      <w:kern w:val="0"/>
      <w:sz w:val="20"/>
      <w:szCs w:val="20"/>
      <w14:ligatures w14:val="none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5">
    <w:name w:val="Plain Table 4"/>
    <w:basedOn w:val="12"/>
    <w:qFormat/>
    <w:uiPriority w:val="44"/>
    <w:pPr>
      <w:spacing w:after="0" w:line="240" w:lineRule="auto"/>
    </w:p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E744B-C0B9-40A6-98D4-D5D528621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637</Words>
  <Characters>3633</Characters>
  <Lines>30</Lines>
  <Paragraphs>8</Paragraphs>
  <TotalTime>4</TotalTime>
  <ScaleCrop>false</ScaleCrop>
  <LinksUpToDate>false</LinksUpToDate>
  <CharactersWithSpaces>4262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2025-07-19T11:49:00Z</dcterms:created>
  <dc:creator>Samah Hashem</dc:creator>
  <cp:lastModifiedBy>asd</cp:lastModifiedBy>
  <dcterms:modified xsi:type="dcterms:W3CDTF">2025-07-24T20:08:32Z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E89AE15634D943F5850F3AD31CE2081D_12</vt:lpwstr>
  </property>
</Properties>
</file>