
<file path=[Content_Types].xml><?xml version="1.0" encoding="utf-8"?>
<Types xmlns="http://schemas.openxmlformats.org/package/2006/content-types">
  <Default Extension="wmf" ContentType="image/x-wmf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360" w:lineRule="auto"/>
        <w:jc w:val="center"/>
        <w:textAlignment w:val="auto"/>
        <w:rPr>
          <w:rFonts w:ascii="Times New Roman" w:hAnsi="Times New Roman" w:eastAsia="宋体" w:cs="Times New Roman"/>
          <w:color w:val="auto"/>
          <w:sz w:val="24"/>
        </w:rPr>
      </w:pPr>
      <w:bookmarkStart w:id="4" w:name="_GoBack"/>
      <w:r>
        <w:rPr>
          <w:rFonts w:hint="eastAsia" w:ascii="Times New Roman" w:hAnsi="Times New Roman"/>
          <w:color w:val="auto"/>
          <w:sz w:val="24"/>
        </w:rPr>
        <w:t>E</w:t>
      </w:r>
      <w:r>
        <w:rPr>
          <w:rFonts w:ascii="Times New Roman" w:hAnsi="Times New Roman"/>
          <w:color w:val="auto"/>
          <w:sz w:val="24"/>
        </w:rPr>
        <w:t>noki mushroom</w:t>
      </w:r>
      <w:r>
        <w:rPr>
          <w:rFonts w:ascii="Times New Roman" w:hAnsi="Times New Roman" w:eastAsia="宋体" w:cs="Times New Roman"/>
          <w:color w:val="auto"/>
          <w:sz w:val="24"/>
        </w:rPr>
        <w:t xml:space="preserve"> residue-</w:t>
      </w:r>
      <w:r>
        <w:rPr>
          <w:rFonts w:hint="eastAsia" w:ascii="Times New Roman" w:hAnsi="Times New Roman" w:eastAsia="宋体" w:cs="Times New Roman"/>
          <w:color w:val="auto"/>
          <w:sz w:val="24"/>
        </w:rPr>
        <w:t>b</w:t>
      </w:r>
      <w:r>
        <w:rPr>
          <w:rFonts w:ascii="Times New Roman" w:hAnsi="Times New Roman" w:eastAsia="宋体" w:cs="Times New Roman"/>
          <w:color w:val="auto"/>
          <w:sz w:val="24"/>
        </w:rPr>
        <w:t xml:space="preserve">ased biochar loaded with </w:t>
      </w:r>
      <w:r>
        <w:rPr>
          <w:rFonts w:ascii="Times New Roman" w:hAnsi="Times New Roman" w:eastAsia="宋体" w:cs="Times New Roman"/>
          <w:i/>
          <w:iCs/>
          <w:color w:val="auto"/>
          <w:sz w:val="24"/>
        </w:rPr>
        <w:t xml:space="preserve">Bacillus megaterium </w:t>
      </w:r>
      <w:r>
        <w:rPr>
          <w:rFonts w:ascii="Times New Roman" w:hAnsi="Times New Roman" w:eastAsia="宋体" w:cs="Times New Roman"/>
          <w:color w:val="auto"/>
          <w:sz w:val="24"/>
        </w:rPr>
        <w:t xml:space="preserve">YZS-M06 improves coastal sandy soil and promotes </w:t>
      </w:r>
      <w:r>
        <w:rPr>
          <w:rFonts w:ascii="Times New Roman" w:hAnsi="Times New Roman" w:eastAsia="宋体" w:cs="Times New Roman"/>
          <w:i/>
          <w:iCs/>
          <w:color w:val="auto"/>
          <w:sz w:val="24"/>
        </w:rPr>
        <w:t>Ipomoea pes-caprae</w:t>
      </w:r>
      <w:r>
        <w:rPr>
          <w:rFonts w:ascii="Times New Roman" w:hAnsi="Times New Roman" w:eastAsia="宋体" w:cs="Times New Roman"/>
          <w:color w:val="auto"/>
          <w:sz w:val="24"/>
        </w:rPr>
        <w:t xml:space="preserve"> growth</w:t>
      </w:r>
    </w:p>
    <w:p>
      <w:pPr>
        <w:rPr>
          <w:color w:val="auto"/>
        </w:rPr>
      </w:pPr>
    </w:p>
    <w:p>
      <w:pPr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Supplementary data</w:t>
      </w:r>
    </w:p>
    <w:p>
      <w:pPr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Table</w:t>
      </w:r>
      <w:r>
        <w:rPr>
          <w:rFonts w:hint="eastAsia" w:ascii="Times New Roman" w:hAnsi="Times New Roman" w:cs="Times New Roman"/>
          <w:color w:val="auto"/>
        </w:rPr>
        <w:t xml:space="preserve"> S1 </w:t>
      </w:r>
      <w:r>
        <w:rPr>
          <w:rFonts w:ascii="Times New Roman" w:hAnsi="Times New Roman" w:cs="Times New Roman"/>
          <w:color w:val="auto"/>
        </w:rPr>
        <w:t>Soil chemical property indicators</w:t>
      </w:r>
    </w:p>
    <w:tbl>
      <w:tblPr>
        <w:tblStyle w:val="4"/>
        <w:tblW w:w="883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965"/>
        <w:gridCol w:w="899"/>
        <w:gridCol w:w="1050"/>
        <w:gridCol w:w="1179"/>
        <w:gridCol w:w="1156"/>
        <w:gridCol w:w="900"/>
        <w:gridCol w:w="975"/>
        <w:gridCol w:w="10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group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TK/(g/kg)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TN/(g/kg)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TP/(mg/kg)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NH</w:t>
            </w: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  <w:vertAlign w:val="subscript"/>
              </w:rPr>
              <w:t>4</w:t>
            </w: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  <w:vertAlign w:val="superscript"/>
              </w:rPr>
              <w:t>+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-</w:t>
            </w: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N(mg/kg)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NO</w:t>
            </w: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  <w:vertAlign w:val="subscript"/>
              </w:rPr>
              <w:t>3</w:t>
            </w: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  <w:vertAlign w:val="superscript"/>
              </w:rPr>
              <w:t>-</w:t>
            </w: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-N(mg/kg)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AP(mg/kg)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AK(mg/kg)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AS(mg/kg)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CK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4.35±0.26a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0.1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</w:t>
            </w: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±0.02c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49.93±8.25b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0.13±0.01d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0.09±0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.00</w:t>
            </w: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8.19±0.23c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21.33±0.15c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17.46±1.1c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BC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4.6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</w:t>
            </w: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±0.73a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0.15±0.05c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79.19±4.09b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0.34±0.03c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0.06±0.01b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8.71±0.07b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21.47±0.48c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26.39±2.68bc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4.59±0.7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</w:t>
            </w: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0.26±0.02b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160.19±4.23a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0.43±0.01b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0.16±0.01a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8.75±0.05b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45.58±0.27b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35.67±1.82b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BCB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5.21±0.45a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0.43±0.02a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162.33±3.64a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0.6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</w:t>
            </w: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±0.02a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0.24±0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.00</w:t>
            </w: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9.83±0.06a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50.42±0.57a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42.94±2.18a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CK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5.2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</w:t>
            </w: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±0.23c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0.2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</w:t>
            </w: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±0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.00</w:t>
            </w: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56.6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</w:t>
            </w: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±4.51c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0.2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</w:t>
            </w: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±0.11c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0.05±0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.00</w:t>
            </w: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8.69±0.05b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23.77±1.21c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12.94±1.61c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BC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5.41±0.48c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0.44±0.05c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59.64±3.54c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0.28±0.1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</w:t>
            </w: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0.06±0.02b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9.24±0.44a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24.31±0.88c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15.12±2.06b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6.58±0.73b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0.57±0.03b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63.35±20.43b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0.37±0.09ab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0.07±0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.00</w:t>
            </w: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9.29±0.17a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47.06±0.61b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26.51±1.43a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BCB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12.89±0.73a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0.65±0.02a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124.91±4.71a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0.43±0.07a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0.15±0.04a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9.52±0.17a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81.75±0.82a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29.96±2.4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</w:t>
            </w: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a</w:t>
            </w:r>
          </w:p>
        </w:tc>
      </w:tr>
    </w:tbl>
    <w:p>
      <w:pPr>
        <w:spacing w:line="360" w:lineRule="auto"/>
        <w:jc w:val="both"/>
        <w:rPr>
          <w:rFonts w:ascii="Times New Roman" w:hAnsi="Times New Roman"/>
          <w:color w:val="auto"/>
          <w:szCs w:val="21"/>
        </w:rPr>
      </w:pPr>
      <w:r>
        <w:rPr>
          <w:rFonts w:ascii="Times New Roman" w:hAnsi="Times New Roman"/>
          <w:color w:val="auto"/>
          <w:szCs w:val="21"/>
        </w:rPr>
        <w:t>Note: Different lowercase letters indicate significant differences among the same indicator groups (</w:t>
      </w:r>
      <w:r>
        <w:rPr>
          <w:rFonts w:ascii="Times New Roman" w:hAnsi="Times New Roman"/>
          <w:i/>
          <w:iCs/>
          <w:color w:val="auto"/>
          <w:szCs w:val="21"/>
        </w:rPr>
        <w:t>p</w:t>
      </w:r>
      <w:r>
        <w:rPr>
          <w:rFonts w:ascii="Times New Roman" w:hAnsi="Times New Roman"/>
          <w:color w:val="auto"/>
          <w:szCs w:val="21"/>
        </w:rPr>
        <w:t xml:space="preserve"> &lt; 0.05).</w:t>
      </w:r>
    </w:p>
    <w:p>
      <w:pPr>
        <w:spacing w:line="360" w:lineRule="auto"/>
        <w:jc w:val="both"/>
        <w:rPr>
          <w:rFonts w:ascii="Times New Roman" w:hAnsi="Times New Roman"/>
          <w:color w:val="auto"/>
          <w:szCs w:val="21"/>
        </w:rPr>
      </w:pPr>
    </w:p>
    <w:p>
      <w:pPr>
        <w:jc w:val="center"/>
        <w:rPr>
          <w:rFonts w:ascii="Times New Roman" w:hAnsi="Times New Roman" w:cs="Times New Roman"/>
          <w:color w:val="auto"/>
        </w:rPr>
      </w:pPr>
      <w:r>
        <w:rPr>
          <w:rFonts w:hint="eastAsia" w:ascii="Times New Roman" w:hAnsi="Times New Roman" w:cs="Times New Roman"/>
          <w:color w:val="auto"/>
        </w:rPr>
        <w:t xml:space="preserve">Table S2 </w:t>
      </w:r>
      <w:r>
        <w:rPr>
          <w:rFonts w:ascii="Times New Roman" w:hAnsi="Times New Roman" w:cs="Times New Roman"/>
          <w:color w:val="auto"/>
        </w:rPr>
        <w:t>Soil enzyme activity indicators</w:t>
      </w:r>
    </w:p>
    <w:tbl>
      <w:tblPr>
        <w:tblStyle w:val="4"/>
        <w:tblW w:w="603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211"/>
        <w:gridCol w:w="1675"/>
        <w:gridCol w:w="1095"/>
        <w:gridCol w:w="10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6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group</w:t>
            </w:r>
          </w:p>
        </w:tc>
        <w:tc>
          <w:tcPr>
            <w:tcW w:w="1211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S-UE/(U/g)</w:t>
            </w:r>
          </w:p>
        </w:tc>
        <w:tc>
          <w:tcPr>
            <w:tcW w:w="1675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S-ACP/(U/g)</w:t>
            </w:r>
          </w:p>
        </w:tc>
        <w:tc>
          <w:tcPr>
            <w:tcW w:w="1095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S-LAP/(U/g)</w:t>
            </w:r>
          </w:p>
        </w:tc>
        <w:tc>
          <w:tcPr>
            <w:tcW w:w="1095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S-SC/(U/g)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6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CK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_1</w:t>
            </w:r>
          </w:p>
        </w:tc>
        <w:tc>
          <w:tcPr>
            <w:tcW w:w="121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17.71±0.31d</w:t>
            </w:r>
          </w:p>
        </w:tc>
        <w:tc>
          <w:tcPr>
            <w:tcW w:w="167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1934.74±151.99c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0.23±0.02c</w:t>
            </w:r>
          </w:p>
        </w:tc>
        <w:tc>
          <w:tcPr>
            <w:tcW w:w="109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5.05±0.05b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BC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24.38±1.13c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1831.7±206.06c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0.26±0.06b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5.58±0.18b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38.23±0.19b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2575.9±180.61b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0.27±0.24b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5.92±0.11b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BCB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58.13±0.4a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4235.48±175.71a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0.42±0.06a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12.8±0.32a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CK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13.2±0.92d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1597.21±233.33d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0.52±0.04d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0.57±0.07c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BC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19.29±2.72c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2293.87±314.93c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0.68±0.06c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0.66±0.13c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35.06±0.62b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2805.44±127.58b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0.82±0.03b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2.39±0.37b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60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BCB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_2</w:t>
            </w:r>
          </w:p>
        </w:tc>
        <w:tc>
          <w:tcPr>
            <w:tcW w:w="1211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42.39±0.42a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4949.05±138.79a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1.32±0.06a</w:t>
            </w:r>
          </w:p>
        </w:tc>
        <w:tc>
          <w:tcPr>
            <w:tcW w:w="1095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6.36±0.37a</w:t>
            </w:r>
          </w:p>
        </w:tc>
      </w:tr>
    </w:tbl>
    <w:p>
      <w:pPr>
        <w:spacing w:line="360" w:lineRule="auto"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Cs w:val="21"/>
        </w:rPr>
        <w:t>Note: Different lowercase letters indicate significant differences among the same indicator groups (</w:t>
      </w:r>
      <w:r>
        <w:rPr>
          <w:rFonts w:ascii="Times New Roman" w:hAnsi="Times New Roman"/>
          <w:i/>
          <w:iCs/>
          <w:color w:val="auto"/>
          <w:szCs w:val="21"/>
        </w:rPr>
        <w:t>p</w:t>
      </w:r>
      <w:r>
        <w:rPr>
          <w:rFonts w:ascii="Times New Roman" w:hAnsi="Times New Roman"/>
          <w:color w:val="auto"/>
          <w:szCs w:val="21"/>
        </w:rPr>
        <w:t xml:space="preserve"> &lt; 0.05).</w:t>
      </w:r>
    </w:p>
    <w:p>
      <w:pPr>
        <w:jc w:val="center"/>
        <w:rPr>
          <w:rFonts w:ascii="Times New Roman" w:hAnsi="Times New Roman" w:cs="Times New Roman"/>
          <w:b/>
          <w:bCs/>
          <w:color w:val="auto"/>
        </w:rPr>
      </w:pPr>
    </w:p>
    <w:p>
      <w:pPr>
        <w:spacing w:after="0" w:line="360" w:lineRule="auto"/>
        <w:jc w:val="center"/>
        <w:rPr>
          <w:rFonts w:ascii="Times New Roman" w:hAnsi="Times New Roman" w:eastAsia="宋体" w:cs="Times New Roman"/>
          <w:color w:val="auto"/>
          <w:sz w:val="24"/>
          <w14:ligatures w14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14:ligatures w14:val="none"/>
        </w:rPr>
        <w:t xml:space="preserve">Table S3 </w:t>
      </w:r>
      <w:bookmarkStart w:id="0" w:name="_Hlk224567958"/>
      <w:r>
        <w:rPr>
          <w:rFonts w:ascii="Times New Roman" w:hAnsi="Times New Roman" w:eastAsia="宋体" w:cs="Times New Roman"/>
          <w:color w:val="auto"/>
          <w:sz w:val="24"/>
          <w14:ligatures w14:val="none"/>
        </w:rPr>
        <w:t>Sample alpha diversity index</w:t>
      </w:r>
      <w:bookmarkEnd w:id="0"/>
    </w:p>
    <w:tbl>
      <w:tblPr>
        <w:tblStyle w:val="4"/>
        <w:tblW w:w="431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1877"/>
        <w:gridCol w:w="1270"/>
        <w:gridCol w:w="1176"/>
        <w:gridCol w:w="187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90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group</w:t>
            </w:r>
          </w:p>
        </w:tc>
        <w:tc>
          <w:tcPr>
            <w:tcW w:w="1275" w:type="pct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Richness</w:t>
            </w:r>
          </w:p>
        </w:tc>
        <w:tc>
          <w:tcPr>
            <w:tcW w:w="863" w:type="pct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Shannon</w:t>
            </w:r>
          </w:p>
        </w:tc>
        <w:tc>
          <w:tcPr>
            <w:tcW w:w="799" w:type="pct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Pielou</w:t>
            </w:r>
          </w:p>
        </w:tc>
        <w:tc>
          <w:tcPr>
            <w:tcW w:w="1274" w:type="pct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Chao1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90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CK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_1</w:t>
            </w:r>
          </w:p>
        </w:tc>
        <w:tc>
          <w:tcPr>
            <w:tcW w:w="1275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2266.67±46.81</w:t>
            </w:r>
          </w:p>
        </w:tc>
        <w:tc>
          <w:tcPr>
            <w:tcW w:w="863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7.93±0.1</w:t>
            </w:r>
          </w:p>
        </w:tc>
        <w:tc>
          <w:tcPr>
            <w:tcW w:w="799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0.71±0.01</w:t>
            </w:r>
          </w:p>
        </w:tc>
        <w:tc>
          <w:tcPr>
            <w:tcW w:w="1274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2759.62±10.52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BC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_1</w:t>
            </w:r>
          </w:p>
        </w:tc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2018.33±36.26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7.91±0.04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0.72±0</w:t>
            </w:r>
          </w:p>
        </w:tc>
        <w:tc>
          <w:tcPr>
            <w:tcW w:w="1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2516.98±79.78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_1</w:t>
            </w:r>
          </w:p>
        </w:tc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1874.67±66.56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7.07±0.04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0.65±0</w:t>
            </w:r>
          </w:p>
        </w:tc>
        <w:tc>
          <w:tcPr>
            <w:tcW w:w="1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2415.85±140.89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BCB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_1</w:t>
            </w:r>
          </w:p>
        </w:tc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1527.33±30.07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5.76±0.23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0.55±0.02</w:t>
            </w:r>
          </w:p>
        </w:tc>
        <w:tc>
          <w:tcPr>
            <w:tcW w:w="1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1946.95±18.24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CK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_2</w:t>
            </w:r>
          </w:p>
        </w:tc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2253.67±152.77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8.24±0.22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0.74±0.01</w:t>
            </w:r>
          </w:p>
        </w:tc>
        <w:tc>
          <w:tcPr>
            <w:tcW w:w="1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2697.64±120.87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BC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_2</w:t>
            </w:r>
          </w:p>
        </w:tc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2264.33±98.80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8.24±0.21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0.74±0.01</w:t>
            </w:r>
          </w:p>
        </w:tc>
        <w:tc>
          <w:tcPr>
            <w:tcW w:w="1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2750.30±100.52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_2</w:t>
            </w:r>
          </w:p>
        </w:tc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2132.00±41.74</w:t>
            </w:r>
          </w:p>
        </w:tc>
        <w:tc>
          <w:tcPr>
            <w:tcW w:w="8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7.65±0.06</w:t>
            </w: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0.69±0.00</w:t>
            </w:r>
          </w:p>
        </w:tc>
        <w:tc>
          <w:tcPr>
            <w:tcW w:w="12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2670.99±22.12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90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BCB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_2</w:t>
            </w:r>
          </w:p>
        </w:tc>
        <w:tc>
          <w:tcPr>
            <w:tcW w:w="1275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1781.33±15.86</w:t>
            </w:r>
          </w:p>
        </w:tc>
        <w:tc>
          <w:tcPr>
            <w:tcW w:w="863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6.04±0.12</w:t>
            </w:r>
          </w:p>
        </w:tc>
        <w:tc>
          <w:tcPr>
            <w:tcW w:w="799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0.56±0.01</w:t>
            </w:r>
          </w:p>
        </w:tc>
        <w:tc>
          <w:tcPr>
            <w:tcW w:w="1274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2206.2±45.48</w:t>
            </w:r>
          </w:p>
        </w:tc>
      </w:tr>
    </w:tbl>
    <w:p>
      <w:pPr>
        <w:spacing w:line="360" w:lineRule="auto"/>
        <w:jc w:val="both"/>
        <w:rPr>
          <w:rFonts w:ascii="Times New Roman" w:hAnsi="Times New Roman"/>
          <w:color w:val="auto"/>
          <w:sz w:val="24"/>
        </w:rPr>
      </w:pPr>
      <w:bookmarkStart w:id="1" w:name="_Hlk224568027"/>
      <w:r>
        <w:rPr>
          <w:rFonts w:ascii="Times New Roman" w:hAnsi="Times New Roman"/>
          <w:color w:val="auto"/>
          <w:szCs w:val="21"/>
        </w:rPr>
        <w:t>Note: Different lowercase letters indicate significant differences among the same indicator groups (</w:t>
      </w:r>
      <w:r>
        <w:rPr>
          <w:rFonts w:ascii="Times New Roman" w:hAnsi="Times New Roman"/>
          <w:i/>
          <w:iCs/>
          <w:color w:val="auto"/>
          <w:szCs w:val="21"/>
        </w:rPr>
        <w:t>p</w:t>
      </w:r>
      <w:r>
        <w:rPr>
          <w:rFonts w:ascii="Times New Roman" w:hAnsi="Times New Roman"/>
          <w:color w:val="auto"/>
          <w:szCs w:val="21"/>
        </w:rPr>
        <w:t xml:space="preserve"> &lt; 0.05).</w:t>
      </w:r>
    </w:p>
    <w:bookmarkEnd w:id="1"/>
    <w:p>
      <w:pPr>
        <w:jc w:val="center"/>
        <w:rPr>
          <w:rFonts w:ascii="Times New Roman" w:hAnsi="Times New Roman" w:cs="Times New Roman"/>
          <w:b/>
          <w:bCs/>
          <w:color w:val="auto"/>
        </w:rPr>
      </w:pPr>
    </w:p>
    <w:p>
      <w:pPr>
        <w:jc w:val="center"/>
        <w:rPr>
          <w:rFonts w:ascii="Times New Roman" w:hAnsi="Times New Roman" w:cs="Times New Roman"/>
          <w:b/>
          <w:bCs/>
          <w:color w:val="auto"/>
        </w:rPr>
      </w:pPr>
    </w:p>
    <w:p>
      <w:pPr>
        <w:spacing w:after="0" w:line="240" w:lineRule="auto"/>
        <w:jc w:val="center"/>
        <w:rPr>
          <w:rFonts w:ascii="Times New Roman" w:hAnsi="Times New Roman" w:eastAsia="等线" w:cs="Times New Roman"/>
          <w:color w:val="auto"/>
          <w:sz w:val="24"/>
          <w14:ligatures w14:val="none"/>
        </w:rPr>
      </w:pPr>
      <w:r>
        <w:rPr>
          <w:rFonts w:ascii="Times New Roman" w:hAnsi="Times New Roman" w:eastAsia="等线" w:cs="Times New Roman"/>
          <w:color w:val="auto"/>
          <w:sz w:val="24"/>
          <w14:ligatures w14:val="none"/>
        </w:rPr>
        <w:t xml:space="preserve">Table </w:t>
      </w:r>
      <w:r>
        <w:rPr>
          <w:rFonts w:ascii="Times New Roman" w:hAnsi="Times New Roman" w:eastAsia="等线" w:cs="Times New Roman"/>
          <w:color w:val="auto"/>
          <w:sz w:val="24"/>
          <w14:ligatures w14:val="none"/>
        </w:rPr>
        <w:t>S</w:t>
      </w:r>
      <w:r>
        <w:rPr>
          <w:rFonts w:hint="eastAsia" w:ascii="Times New Roman" w:hAnsi="Times New Roman" w:eastAsia="等线" w:cs="Times New Roman"/>
          <w:color w:val="auto"/>
          <w:sz w:val="24"/>
          <w14:ligatures w14:val="none"/>
        </w:rPr>
        <w:t>4</w:t>
      </w:r>
      <w:r>
        <w:rPr>
          <w:rFonts w:ascii="Times New Roman" w:hAnsi="Times New Roman" w:eastAsia="等线" w:cs="Times New Roman"/>
          <w:color w:val="auto"/>
          <w:sz w:val="24"/>
          <w14:ligatures w14:val="none"/>
        </w:rPr>
        <w:t>. Relative abundance at the bacterial phylum level</w:t>
      </w:r>
    </w:p>
    <w:tbl>
      <w:tblPr>
        <w:tblStyle w:val="4"/>
        <w:tblW w:w="5687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1008"/>
        <w:gridCol w:w="1008"/>
        <w:gridCol w:w="1008"/>
        <w:gridCol w:w="1086"/>
        <w:gridCol w:w="1008"/>
        <w:gridCol w:w="1008"/>
        <w:gridCol w:w="1086"/>
        <w:gridCol w:w="107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23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phylum</w:t>
            </w:r>
          </w:p>
        </w:tc>
        <w:tc>
          <w:tcPr>
            <w:tcW w:w="520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CK_1</w:t>
            </w:r>
          </w:p>
        </w:tc>
        <w:tc>
          <w:tcPr>
            <w:tcW w:w="520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BC_1</w:t>
            </w:r>
          </w:p>
        </w:tc>
        <w:tc>
          <w:tcPr>
            <w:tcW w:w="520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B_1</w:t>
            </w:r>
          </w:p>
        </w:tc>
        <w:tc>
          <w:tcPr>
            <w:tcW w:w="560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BCB_1</w:t>
            </w:r>
          </w:p>
        </w:tc>
        <w:tc>
          <w:tcPr>
            <w:tcW w:w="520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CK_2</w:t>
            </w:r>
          </w:p>
        </w:tc>
        <w:tc>
          <w:tcPr>
            <w:tcW w:w="520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BC_2</w:t>
            </w:r>
          </w:p>
        </w:tc>
        <w:tc>
          <w:tcPr>
            <w:tcW w:w="560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B_2</w:t>
            </w:r>
          </w:p>
        </w:tc>
        <w:tc>
          <w:tcPr>
            <w:tcW w:w="556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BCB_2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23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Proteobacteria</w:t>
            </w:r>
          </w:p>
        </w:tc>
        <w:tc>
          <w:tcPr>
            <w:tcW w:w="52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0.42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0.04ab</w:t>
            </w:r>
          </w:p>
        </w:tc>
        <w:tc>
          <w:tcPr>
            <w:tcW w:w="52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0.46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0.04a</w:t>
            </w:r>
          </w:p>
        </w:tc>
        <w:tc>
          <w:tcPr>
            <w:tcW w:w="52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0.32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0.01c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0.26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0.05d</w:t>
            </w:r>
          </w:p>
        </w:tc>
        <w:tc>
          <w:tcPr>
            <w:tcW w:w="52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0.4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0.05abc</w:t>
            </w:r>
          </w:p>
        </w:tc>
        <w:tc>
          <w:tcPr>
            <w:tcW w:w="52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0.45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0.04a</w:t>
            </w:r>
          </w:p>
        </w:tc>
        <w:tc>
          <w:tcPr>
            <w:tcW w:w="560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0.37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0.01bc</w:t>
            </w:r>
          </w:p>
        </w:tc>
        <w:tc>
          <w:tcPr>
            <w:tcW w:w="556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0.22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Firmicutes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0.06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0.01d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0.03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0.00d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0.33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0.01b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0.43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0.13a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0.08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0.03d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0.03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0.00d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0.22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0.03c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0.50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Actinobacteriota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0.16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0.13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0.02b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0.08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0.01c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0.05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0.02d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0.13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0.02ab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0.14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0.01ab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0.13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0.01ab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0.05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Bacteroidota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0.06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0bcd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0.13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0.08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0.00bc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0.07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0.02bcd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0.05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0.01cd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0.08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0.01b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0.07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0.01bcd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0.04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Cyanobacteria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0.09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0.03a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0.09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0.12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0.17a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0.08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0.12a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0.04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0.04a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0.04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0.07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Acidobacteriota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0.05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0.06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0.00b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0.01b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0.05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0.06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0.04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0.01ab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0.05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Chloroflexi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0.04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0.01ab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0.01cd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0.00de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0.00e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0.05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0.05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0.03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0.00bc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0.00cde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Gemmatimonadota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0.03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0.00b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0.05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0.00c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0.00c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0.05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0.05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0.03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0.00b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Bdellovibrionota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0.04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0.03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0.01ab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0.00c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0.00d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0.03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0.00ab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0.03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0.00ab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0.03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0.00b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Patescibacteria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0.00b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0.00b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0.00b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0.00b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0.04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0.00b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0.01b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23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others</w:t>
            </w:r>
          </w:p>
        </w:tc>
        <w:tc>
          <w:tcPr>
            <w:tcW w:w="520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0.04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0.00a</w:t>
            </w:r>
          </w:p>
        </w:tc>
        <w:tc>
          <w:tcPr>
            <w:tcW w:w="520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0.05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</w:t>
            </w:r>
          </w:p>
        </w:tc>
        <w:tc>
          <w:tcPr>
            <w:tcW w:w="520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0.00bc</w:t>
            </w:r>
          </w:p>
        </w:tc>
        <w:tc>
          <w:tcPr>
            <w:tcW w:w="560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0.00c</w:t>
            </w:r>
          </w:p>
        </w:tc>
        <w:tc>
          <w:tcPr>
            <w:tcW w:w="520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0.03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0.01ab</w:t>
            </w:r>
          </w:p>
        </w:tc>
        <w:tc>
          <w:tcPr>
            <w:tcW w:w="520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0.04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</w:t>
            </w:r>
          </w:p>
        </w:tc>
        <w:tc>
          <w:tcPr>
            <w:tcW w:w="560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0.04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0.01ab</w:t>
            </w:r>
          </w:p>
        </w:tc>
        <w:tc>
          <w:tcPr>
            <w:tcW w:w="556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0.02</w:t>
            </w:r>
            <w:r>
              <w:rPr>
                <w:rFonts w:hint="eastAsia" w:ascii="等线" w:hAnsi="等线" w:eastAsia="等线" w:cs="Times New Roman"/>
                <w:color w:val="auto"/>
                <w:sz w:val="15"/>
                <w:szCs w:val="15"/>
              </w:rPr>
              <w:t>±</w:t>
            </w:r>
            <w:r>
              <w:rPr>
                <w:rFonts w:ascii="Times New Roman" w:hAnsi="Times New Roman" w:eastAsia="等线" w:cs="Times New Roman"/>
                <w:color w:val="auto"/>
                <w:sz w:val="15"/>
                <w:szCs w:val="15"/>
              </w:rPr>
              <w:t>0.00bc</w:t>
            </w:r>
          </w:p>
        </w:tc>
      </w:tr>
    </w:tbl>
    <w:p>
      <w:pPr>
        <w:spacing w:line="360" w:lineRule="auto"/>
        <w:jc w:val="both"/>
        <w:rPr>
          <w:rFonts w:ascii="Times New Roman" w:hAnsi="Times New Roman"/>
          <w:color w:val="auto"/>
          <w:szCs w:val="21"/>
        </w:rPr>
      </w:pPr>
      <w:r>
        <w:rPr>
          <w:rFonts w:ascii="Times New Roman" w:hAnsi="Times New Roman"/>
          <w:color w:val="auto"/>
          <w:szCs w:val="21"/>
        </w:rPr>
        <w:t>Note: Different lowercase letters indicate significant differences among the same indicator groups (</w:t>
      </w:r>
      <w:r>
        <w:rPr>
          <w:rFonts w:ascii="Times New Roman" w:hAnsi="Times New Roman"/>
          <w:i/>
          <w:iCs/>
          <w:color w:val="auto"/>
          <w:szCs w:val="21"/>
        </w:rPr>
        <w:t>p</w:t>
      </w:r>
      <w:r>
        <w:rPr>
          <w:rFonts w:ascii="Times New Roman" w:hAnsi="Times New Roman"/>
          <w:color w:val="auto"/>
          <w:szCs w:val="21"/>
        </w:rPr>
        <w:t xml:space="preserve"> &lt; 0.05).</w:t>
      </w:r>
    </w:p>
    <w:p>
      <w:pPr>
        <w:spacing w:line="360" w:lineRule="auto"/>
        <w:jc w:val="both"/>
        <w:rPr>
          <w:rFonts w:ascii="Times New Roman" w:hAnsi="Times New Roman"/>
          <w:color w:val="auto"/>
          <w:sz w:val="24"/>
        </w:rPr>
      </w:pPr>
    </w:p>
    <w:p>
      <w:pPr>
        <w:spacing w:after="0" w:line="240" w:lineRule="auto"/>
        <w:jc w:val="center"/>
        <w:rPr>
          <w:rFonts w:ascii="Times New Roman" w:hAnsi="Times New Roman" w:eastAsia="等线" w:cs="Times New Roman"/>
          <w:color w:val="auto"/>
          <w:sz w:val="24"/>
          <w14:ligatures w14:val="none"/>
        </w:rPr>
      </w:pPr>
    </w:p>
    <w:p>
      <w:pPr>
        <w:spacing w:after="0" w:line="240" w:lineRule="auto"/>
        <w:jc w:val="center"/>
        <w:rPr>
          <w:rFonts w:ascii="Times New Roman" w:hAnsi="Times New Roman" w:eastAsia="等线" w:cs="Times New Roman"/>
          <w:color w:val="auto"/>
          <w:sz w:val="24"/>
          <w14:ligatures w14:val="none"/>
        </w:rPr>
      </w:pPr>
    </w:p>
    <w:p>
      <w:pPr>
        <w:spacing w:after="0" w:line="240" w:lineRule="auto"/>
        <w:jc w:val="center"/>
        <w:rPr>
          <w:rFonts w:ascii="Times New Roman" w:hAnsi="Times New Roman" w:eastAsia="等线" w:cs="Times New Roman"/>
          <w:color w:val="auto"/>
          <w:sz w:val="24"/>
          <w14:ligatures w14:val="none"/>
        </w:rPr>
      </w:pPr>
      <w:r>
        <w:rPr>
          <w:rFonts w:ascii="Times New Roman" w:hAnsi="Times New Roman" w:eastAsia="等线" w:cs="Times New Roman"/>
          <w:color w:val="auto"/>
          <w:sz w:val="24"/>
          <w14:ligatures w14:val="none"/>
        </w:rPr>
        <w:t xml:space="preserve">Table </w:t>
      </w:r>
      <w:r>
        <w:rPr>
          <w:rFonts w:ascii="Times New Roman" w:hAnsi="Times New Roman" w:eastAsia="等线" w:cs="Times New Roman"/>
          <w:color w:val="auto"/>
          <w:sz w:val="24"/>
          <w14:ligatures w14:val="none"/>
        </w:rPr>
        <w:t>S</w:t>
      </w:r>
      <w:r>
        <w:rPr>
          <w:rFonts w:hint="eastAsia" w:ascii="Times New Roman" w:hAnsi="Times New Roman" w:eastAsia="等线" w:cs="Times New Roman"/>
          <w:color w:val="auto"/>
          <w:sz w:val="24"/>
          <w14:ligatures w14:val="none"/>
        </w:rPr>
        <w:t>5</w:t>
      </w:r>
      <w:r>
        <w:rPr>
          <w:rFonts w:ascii="Times New Roman" w:hAnsi="Times New Roman" w:eastAsia="等线" w:cs="Times New Roman"/>
          <w:color w:val="auto"/>
          <w:sz w:val="24"/>
          <w14:ligatures w14:val="none"/>
        </w:rPr>
        <w:t>. Relative abundance at the bacterial genus level</w:t>
      </w:r>
    </w:p>
    <w:tbl>
      <w:tblPr>
        <w:tblStyle w:val="4"/>
        <w:tblW w:w="5932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9"/>
        <w:gridCol w:w="1009"/>
        <w:gridCol w:w="1009"/>
        <w:gridCol w:w="1009"/>
        <w:gridCol w:w="1086"/>
        <w:gridCol w:w="1009"/>
        <w:gridCol w:w="1009"/>
        <w:gridCol w:w="1086"/>
        <w:gridCol w:w="100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34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genus</w:t>
            </w:r>
          </w:p>
        </w:tc>
        <w:tc>
          <w:tcPr>
            <w:tcW w:w="499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CK_1</w:t>
            </w:r>
          </w:p>
        </w:tc>
        <w:tc>
          <w:tcPr>
            <w:tcW w:w="499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BC_1</w:t>
            </w:r>
          </w:p>
        </w:tc>
        <w:tc>
          <w:tcPr>
            <w:tcW w:w="499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B_1</w:t>
            </w:r>
          </w:p>
        </w:tc>
        <w:tc>
          <w:tcPr>
            <w:tcW w:w="537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BCB_1</w:t>
            </w:r>
          </w:p>
        </w:tc>
        <w:tc>
          <w:tcPr>
            <w:tcW w:w="499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CK_2</w:t>
            </w:r>
          </w:p>
        </w:tc>
        <w:tc>
          <w:tcPr>
            <w:tcW w:w="499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BC_2</w:t>
            </w:r>
          </w:p>
        </w:tc>
        <w:tc>
          <w:tcPr>
            <w:tcW w:w="537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B_2</w:t>
            </w:r>
          </w:p>
        </w:tc>
        <w:tc>
          <w:tcPr>
            <w:tcW w:w="499" w:type="pc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BCB_2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34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i/>
                <w:iCs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i/>
                <w:iCs/>
                <w:color w:val="auto"/>
                <w:kern w:val="0"/>
                <w:sz w:val="15"/>
                <w:szCs w:val="15"/>
                <w14:ligatures w14:val="none"/>
              </w:rPr>
              <w:t>Bacillus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0.05±0.01d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0.04±0.00d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0.27±0.01c</w:t>
            </w:r>
          </w:p>
        </w:tc>
        <w:tc>
          <w:tcPr>
            <w:tcW w:w="537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0.47±0.13b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0.08±0.04d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0.03±0.01d</w:t>
            </w:r>
          </w:p>
        </w:tc>
        <w:tc>
          <w:tcPr>
            <w:tcW w:w="537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0.20±0.03c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0.58±0.03a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i/>
                <w:iCs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i/>
                <w:iCs/>
                <w:color w:val="auto"/>
                <w:kern w:val="0"/>
                <w:sz w:val="15"/>
                <w:szCs w:val="15"/>
                <w14:ligatures w14:val="none"/>
              </w:rPr>
              <w:t>Sphingomonas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0.13±0.02a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0.09±0.00bc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0.08±0.00cd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0.05±0.01e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0.14±0.01a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0.13±0.00a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0.11±0.01b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0.07±0.00de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i/>
                <w:iCs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i/>
                <w:iCs/>
                <w:color w:val="auto"/>
                <w:kern w:val="0"/>
                <w:sz w:val="15"/>
                <w:szCs w:val="15"/>
                <w14:ligatures w14:val="none"/>
              </w:rPr>
              <w:t>Lysobacter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0.08±0.01b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0.12±0.01a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0.06±0.00c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0.03±0.01d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0.07±0.01c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0.08±0.01b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0.06±0.01c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0.02±0.00d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i/>
                <w:iCs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i/>
                <w:iCs/>
                <w:color w:val="auto"/>
                <w:kern w:val="0"/>
                <w:sz w:val="15"/>
                <w:szCs w:val="15"/>
                <w14:ligatures w14:val="none"/>
              </w:rPr>
              <w:t>Arthrobacter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0.09±0.01a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0.08±0.03ab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0.04±0.00c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0.03±0.02c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0.06±0.01bc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0.09±0.02ab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0.07±0.01abc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0.03±0.00c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i/>
                <w:iCs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i/>
                <w:iCs/>
                <w:color w:val="auto"/>
                <w:kern w:val="0"/>
                <w:sz w:val="15"/>
                <w:szCs w:val="15"/>
                <w14:ligatures w14:val="none"/>
              </w:rPr>
              <w:t>Microvirga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0.02±0.00d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0.03±0.01cd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0.05±0.00ab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0.04±0.01b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0.03±0.01cd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0.02±0.00d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0.06±0.00a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0.04±0.01bc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i/>
                <w:iCs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i/>
                <w:iCs/>
                <w:color w:val="auto"/>
                <w:kern w:val="0"/>
                <w:sz w:val="15"/>
                <w:szCs w:val="15"/>
                <w14:ligatures w14:val="none"/>
              </w:rPr>
              <w:t>Ramlibacter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0.04±0.01b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0.05±0.00a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0.02±0.00d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0.01±0.00e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0.04±0.00b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0.05±0.00ab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0.03±0.00c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0.01±0.00e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i/>
                <w:iCs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i/>
                <w:iCs/>
                <w:color w:val="auto"/>
                <w:kern w:val="0"/>
                <w:sz w:val="15"/>
                <w:szCs w:val="15"/>
                <w14:ligatures w14:val="none"/>
              </w:rPr>
              <w:t>Flavisolibacter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0.02±0.00cd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0.05±0.01a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0.04±0.00b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0.03±0.01bcd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0.02±0.00d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0.03±0.00bc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0.03±0.01bcd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0.02±0.00d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i/>
                <w:iCs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i/>
                <w:iCs/>
                <w:color w:val="auto"/>
                <w:kern w:val="0"/>
                <w:sz w:val="15"/>
                <w:szCs w:val="15"/>
                <w14:ligatures w14:val="none"/>
              </w:rPr>
              <w:t>Massilia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0.07±0.05a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0.05±0.01a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0.01±0.00a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0.01±0.00a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0.03±0.00a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0.03±0.00a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0.02±0.00a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0.01±0.00a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i/>
                <w:iCs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i/>
                <w:iCs/>
                <w:color w:val="auto"/>
                <w:kern w:val="0"/>
                <w:sz w:val="15"/>
                <w:szCs w:val="15"/>
                <w14:ligatures w14:val="none"/>
              </w:rPr>
              <w:t>Leptolyngbya_EcFYyyy-00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0.02±0.00a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0.00±0.00a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0.04±0.01a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0.10±0.17a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0.02±0.04a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0.00±0.00a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0.00±0.00a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0.01±0.00a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i/>
                <w:iCs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i/>
                <w:iCs/>
                <w:color w:val="auto"/>
                <w:kern w:val="0"/>
                <w:sz w:val="15"/>
                <w:szCs w:val="15"/>
                <w14:ligatures w14:val="none"/>
              </w:rPr>
              <w:t>Ensifer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0.01±0.00b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0.02±0.00ab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0.02±0.00ab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0.02±0.01ab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0.02±0.01ab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0.02±0.01ab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0.03±0.00a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0.02±0.00ab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34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others</w:t>
            </w:r>
          </w:p>
        </w:tc>
        <w:tc>
          <w:tcPr>
            <w:tcW w:w="499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0.46±0.02a</w:t>
            </w:r>
          </w:p>
        </w:tc>
        <w:tc>
          <w:tcPr>
            <w:tcW w:w="499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0.48±0.00a</w:t>
            </w:r>
          </w:p>
        </w:tc>
        <w:tc>
          <w:tcPr>
            <w:tcW w:w="499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0.38±0.02b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0.22±0.06c</w:t>
            </w:r>
          </w:p>
        </w:tc>
        <w:tc>
          <w:tcPr>
            <w:tcW w:w="499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0.51±0.03a</w:t>
            </w:r>
          </w:p>
        </w:tc>
        <w:tc>
          <w:tcPr>
            <w:tcW w:w="499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0.51±0.02a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0.40±0.01b</w:t>
            </w:r>
          </w:p>
        </w:tc>
        <w:tc>
          <w:tcPr>
            <w:tcW w:w="499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0"/>
                <w:sz w:val="15"/>
                <w:szCs w:val="15"/>
                <w14:ligatures w14:val="none"/>
              </w:rPr>
              <w:t>0.21±0.02c</w:t>
            </w:r>
          </w:p>
        </w:tc>
      </w:tr>
    </w:tbl>
    <w:p>
      <w:pPr>
        <w:spacing w:line="360" w:lineRule="auto"/>
        <w:jc w:val="both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Cs w:val="21"/>
        </w:rPr>
        <w:t>Note: Different lowercase letters indicate significant differences among the same indicator groups (</w:t>
      </w:r>
      <w:r>
        <w:rPr>
          <w:rFonts w:ascii="Times New Roman" w:hAnsi="Times New Roman"/>
          <w:i/>
          <w:iCs/>
          <w:color w:val="auto"/>
          <w:szCs w:val="21"/>
        </w:rPr>
        <w:t>p</w:t>
      </w:r>
      <w:r>
        <w:rPr>
          <w:rFonts w:ascii="Times New Roman" w:hAnsi="Times New Roman"/>
          <w:color w:val="auto"/>
          <w:szCs w:val="21"/>
        </w:rPr>
        <w:t xml:space="preserve"> &lt; 0.05).</w:t>
      </w:r>
    </w:p>
    <w:p>
      <w:pPr>
        <w:spacing w:after="0" w:line="240" w:lineRule="auto"/>
        <w:jc w:val="both"/>
        <w:rPr>
          <w:color w:val="auto"/>
          <w:sz w:val="21"/>
          <w:szCs w:val="22"/>
        </w:rPr>
      </w:pPr>
    </w:p>
    <w:p>
      <w:pPr>
        <w:rPr>
          <w:rFonts w:ascii="Times New Roman" w:hAnsi="Times New Roman" w:cs="Times New Roman"/>
          <w:b/>
          <w:bCs/>
          <w:color w:val="auto"/>
        </w:rPr>
      </w:pPr>
    </w:p>
    <w:p>
      <w:pPr>
        <w:rPr>
          <w:rFonts w:ascii="Times New Roman" w:hAnsi="Times New Roman" w:cs="Times New Roman"/>
          <w:b/>
          <w:bCs/>
          <w:color w:val="auto"/>
        </w:rPr>
      </w:pPr>
    </w:p>
    <w:p>
      <w:pPr>
        <w:rPr>
          <w:rFonts w:ascii="Times New Roman" w:hAnsi="Times New Roman" w:cs="Times New Roman"/>
          <w:b/>
          <w:bCs/>
          <w:color w:val="auto"/>
        </w:rPr>
      </w:pPr>
    </w:p>
    <w:p>
      <w:pPr>
        <w:spacing w:after="0" w:line="240" w:lineRule="auto"/>
        <w:ind w:firstLine="420" w:firstLineChars="200"/>
        <w:jc w:val="center"/>
        <w:rPr>
          <w:rFonts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 xml:space="preserve">Table 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</w:rPr>
        <w:t xml:space="preserve">S6 </w:t>
      </w:r>
      <w:r>
        <w:rPr>
          <w:rFonts w:ascii="Times New Roman" w:hAnsi="Times New Roman" w:eastAsia="宋体" w:cs="Times New Roman"/>
          <w:color w:val="auto"/>
          <w:sz w:val="21"/>
          <w:szCs w:val="21"/>
        </w:rPr>
        <w:t>Sample network topology index</w:t>
      </w:r>
    </w:p>
    <w:tbl>
      <w:tblPr>
        <w:tblStyle w:val="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1"/>
        <w:gridCol w:w="647"/>
        <w:gridCol w:w="757"/>
        <w:gridCol w:w="576"/>
        <w:gridCol w:w="637"/>
        <w:gridCol w:w="647"/>
        <w:gridCol w:w="757"/>
        <w:gridCol w:w="576"/>
        <w:gridCol w:w="63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Group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CK_1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BCB_1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B_1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BC_1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CK_2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BCB_2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B_2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BC_2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num edges(L)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6119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6270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5977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6060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5968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5772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6449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6291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num pos edges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4000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3202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num neg edges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2713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3089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centralization degree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0.06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relative modularity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8.62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8.77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9.47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9.65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7.91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9.18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9.64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auto"/>
                <w:kern w:val="0"/>
                <w:sz w:val="18"/>
                <w:szCs w:val="18"/>
                <w14:ligatures w14:val="none"/>
              </w:rPr>
              <w:t>8.44</w:t>
            </w:r>
          </w:p>
        </w:tc>
      </w:tr>
    </w:tbl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</w:p>
    <w:p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  <w:r>
        <w:rPr>
          <w:rFonts w:hint="eastAsia" w:ascii="Times New Roman" w:hAnsi="Times New Roman"/>
          <w:color w:val="auto"/>
          <w:sz w:val="24"/>
        </w:rPr>
        <w:t xml:space="preserve">Table S7 </w:t>
      </w:r>
      <w:r>
        <w:rPr>
          <w:rFonts w:ascii="Times New Roman" w:hAnsi="Times New Roman"/>
          <w:color w:val="auto"/>
          <w:sz w:val="24"/>
        </w:rPr>
        <w:t>Sample growth indicators</w:t>
      </w:r>
    </w:p>
    <w:tbl>
      <w:tblPr>
        <w:tblStyle w:val="4"/>
        <w:tblW w:w="1021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1334"/>
        <w:gridCol w:w="1223"/>
        <w:gridCol w:w="1223"/>
        <w:gridCol w:w="1334"/>
        <w:gridCol w:w="1347"/>
        <w:gridCol w:w="1347"/>
        <w:gridCol w:w="13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073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group</w:t>
            </w:r>
          </w:p>
        </w:tc>
        <w:tc>
          <w:tcPr>
            <w:tcW w:w="133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Bud number</w:t>
            </w:r>
          </w:p>
        </w:tc>
        <w:tc>
          <w:tcPr>
            <w:tcW w:w="1223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Bud length/cm</w:t>
            </w:r>
          </w:p>
        </w:tc>
        <w:tc>
          <w:tcPr>
            <w:tcW w:w="1223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Plant height/cm</w:t>
            </w:r>
          </w:p>
        </w:tc>
        <w:tc>
          <w:tcPr>
            <w:tcW w:w="133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Root number</w:t>
            </w:r>
          </w:p>
        </w:tc>
        <w:tc>
          <w:tcPr>
            <w:tcW w:w="134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Root length/cm</w:t>
            </w:r>
          </w:p>
        </w:tc>
        <w:tc>
          <w:tcPr>
            <w:tcW w:w="134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Fresh weight/g</w:t>
            </w:r>
          </w:p>
        </w:tc>
        <w:tc>
          <w:tcPr>
            <w:tcW w:w="133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Dry weight/g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07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CK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_1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3.00±0.00b</w:t>
            </w: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1.73±0.49c</w:t>
            </w: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6.93±0.06d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3.33±0.53a</w:t>
            </w:r>
          </w:p>
        </w:tc>
        <w:tc>
          <w:tcPr>
            <w:tcW w:w="134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4.27±0.21d</w:t>
            </w:r>
          </w:p>
        </w:tc>
        <w:tc>
          <w:tcPr>
            <w:tcW w:w="1347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2.11±0.10c</w:t>
            </w:r>
          </w:p>
        </w:tc>
        <w:tc>
          <w:tcPr>
            <w:tcW w:w="133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3.11±0.14c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BC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5.33±1.15a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3.43±0.49b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7.33±0.15c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4.33±0.08a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5.30±0.26c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2.53±0.11bc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3.95±0.49bc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5.67±1.15a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3.90±0.17b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8.43±0.12b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6.33±0.58a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5.73±0.06b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2.87±0.35ab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4.94±0.17b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BCB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7.00±0.00a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6.47±0.15a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9.07±0.12a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6.67±0.53a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6.17±0.29a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3.15±0.31a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6.91±0.79a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CK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6.33±0.58b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4.47±0.06b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7.67±0.47a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6.33±0.15c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4.57±0.40b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0.33±0.01c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0.54±0.05c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BC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8.00±0.00ab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4.60±0.46b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9.3±0.87a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8.00±0.00b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6.03±0.35b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0.37±0.01b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0.59±0.01bc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10.00±1.15a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5.63±0.35b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9.67±0.61a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9.00±0.00b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7.33±0.53ab</w:t>
            </w: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0.44±0.00a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0.64±0.04b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073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BCB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_2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10.67±1.15a</w:t>
            </w:r>
          </w:p>
        </w:tc>
        <w:tc>
          <w:tcPr>
            <w:tcW w:w="1223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7.77±0.93a</w:t>
            </w:r>
          </w:p>
        </w:tc>
        <w:tc>
          <w:tcPr>
            <w:tcW w:w="1223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9.83±1.19a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10.33±0.58a</w:t>
            </w:r>
          </w:p>
        </w:tc>
        <w:tc>
          <w:tcPr>
            <w:tcW w:w="1347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9.17±0.76a</w:t>
            </w:r>
          </w:p>
        </w:tc>
        <w:tc>
          <w:tcPr>
            <w:tcW w:w="1347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0.46±0.01a</w:t>
            </w:r>
          </w:p>
        </w:tc>
        <w:tc>
          <w:tcPr>
            <w:tcW w:w="1334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0.92±0.02a</w:t>
            </w:r>
          </w:p>
        </w:tc>
      </w:tr>
    </w:tbl>
    <w:p>
      <w:pPr>
        <w:spacing w:line="360" w:lineRule="auto"/>
        <w:jc w:val="both"/>
        <w:rPr>
          <w:rFonts w:ascii="Times New Roman" w:hAnsi="Times New Roman"/>
          <w:color w:val="auto"/>
          <w:szCs w:val="21"/>
        </w:rPr>
      </w:pPr>
      <w:r>
        <w:rPr>
          <w:rFonts w:ascii="Times New Roman" w:hAnsi="Times New Roman"/>
          <w:color w:val="auto"/>
          <w:szCs w:val="21"/>
        </w:rPr>
        <w:t>Note: Different lowercase letters indicate significant differences among the same indicator groups (</w:t>
      </w:r>
      <w:r>
        <w:rPr>
          <w:rFonts w:ascii="Times New Roman" w:hAnsi="Times New Roman"/>
          <w:i/>
          <w:iCs/>
          <w:color w:val="auto"/>
          <w:szCs w:val="21"/>
        </w:rPr>
        <w:t>p</w:t>
      </w:r>
      <w:r>
        <w:rPr>
          <w:rFonts w:ascii="Times New Roman" w:hAnsi="Times New Roman"/>
          <w:color w:val="auto"/>
          <w:szCs w:val="21"/>
        </w:rPr>
        <w:t xml:space="preserve"> &lt; 0.05).</w:t>
      </w:r>
    </w:p>
    <w:p>
      <w:pPr>
        <w:spacing w:line="360" w:lineRule="auto"/>
        <w:jc w:val="both"/>
        <w:rPr>
          <w:rFonts w:ascii="Times New Roman" w:hAnsi="Times New Roman"/>
          <w:color w:val="auto"/>
          <w:szCs w:val="21"/>
        </w:rPr>
      </w:pPr>
    </w:p>
    <w:p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  <w:r>
        <w:rPr>
          <w:rFonts w:hint="eastAsia" w:ascii="Times New Roman" w:hAnsi="Times New Roman"/>
          <w:color w:val="auto"/>
          <w:sz w:val="24"/>
        </w:rPr>
        <w:t xml:space="preserve">Table S8 </w:t>
      </w:r>
      <w:r>
        <w:rPr>
          <w:rFonts w:ascii="Times New Roman" w:hAnsi="Times New Roman"/>
          <w:color w:val="auto"/>
          <w:sz w:val="24"/>
        </w:rPr>
        <w:t>Enzyme activity indicators of sample leaves</w:t>
      </w:r>
    </w:p>
    <w:tbl>
      <w:tblPr>
        <w:tblStyle w:val="4"/>
        <w:tblW w:w="985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1589"/>
        <w:gridCol w:w="2415"/>
        <w:gridCol w:w="1709"/>
        <w:gridCol w:w="1451"/>
        <w:gridCol w:w="154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1150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bookmarkStart w:id="2" w:name="_Hlk224581668"/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group</w:t>
            </w:r>
          </w:p>
        </w:tc>
        <w:tc>
          <w:tcPr>
            <w:tcW w:w="1589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CAT/(U/g)</w:t>
            </w:r>
          </w:p>
        </w:tc>
        <w:tc>
          <w:tcPr>
            <w:tcW w:w="2415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POD/(U/g)</w:t>
            </w:r>
          </w:p>
        </w:tc>
        <w:tc>
          <w:tcPr>
            <w:tcW w:w="1709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SOD/(U/g)</w:t>
            </w:r>
          </w:p>
        </w:tc>
        <w:tc>
          <w:tcPr>
            <w:tcW w:w="1451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MDA/(U/g)</w:t>
            </w:r>
          </w:p>
        </w:tc>
        <w:tc>
          <w:tcPr>
            <w:tcW w:w="1541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Soluble suger/(mg/g)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115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CK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_1</w:t>
            </w:r>
          </w:p>
        </w:tc>
        <w:tc>
          <w:tcPr>
            <w:tcW w:w="1589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95.58±0.03c</w:t>
            </w:r>
          </w:p>
        </w:tc>
        <w:tc>
          <w:tcPr>
            <w:tcW w:w="241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18122.65±757.05c</w:t>
            </w:r>
          </w:p>
        </w:tc>
        <w:tc>
          <w:tcPr>
            <w:tcW w:w="1709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75.47±5.13c</w:t>
            </w:r>
          </w:p>
        </w:tc>
        <w:tc>
          <w:tcPr>
            <w:tcW w:w="145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25.66±0.39a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11.1±0.04d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BC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97.30±0.01b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22635.55±1158.85b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95.57±1.78b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22.47±0.33b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11.71±0.09c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98.69±0.01a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24051.65±1423.45ab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148.98±24.28a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18.39±0.09c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12.65±0.11b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BCB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_1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99.02±0.04a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25656.40±1421.00a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154.63±5.18a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4.65±0.16d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13.35±0.12a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CK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140.01±0.15d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11638.68±144.14a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220.42±15.61a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22.19±0.14a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12.1±0.05d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BC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140.33±0.19c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28365.56±217.92b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427.46±16.81a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18.02±0.28b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15.62±0.04c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146.53±0.29b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38446.87±427.98c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483.09±22.43a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16.79±0.30c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17.72±0.12b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  <w:jc w:val="center"/>
        </w:trPr>
        <w:tc>
          <w:tcPr>
            <w:tcW w:w="1150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  <w:t>BCB</w:t>
            </w: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_2</w:t>
            </w:r>
          </w:p>
        </w:tc>
        <w:tc>
          <w:tcPr>
            <w:tcW w:w="1589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149.88±0.21a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40420.33±516.01d</w:t>
            </w:r>
          </w:p>
        </w:tc>
        <w:tc>
          <w:tcPr>
            <w:tcW w:w="1709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490.5±19.14a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12.97±0.28d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等线"/>
                <w:color w:val="auto"/>
                <w:kern w:val="0"/>
                <w:sz w:val="15"/>
                <w:szCs w:val="15"/>
              </w:rPr>
              <w:t>37.31±0.18a</w:t>
            </w:r>
          </w:p>
        </w:tc>
      </w:tr>
      <w:bookmarkEnd w:id="2"/>
    </w:tbl>
    <w:p>
      <w:pPr>
        <w:spacing w:line="360" w:lineRule="auto"/>
        <w:jc w:val="both"/>
        <w:rPr>
          <w:rFonts w:ascii="Times New Roman" w:hAnsi="Times New Roman"/>
          <w:color w:val="auto"/>
          <w:sz w:val="24"/>
        </w:rPr>
      </w:pPr>
      <w:bookmarkStart w:id="3" w:name="_Hlk224581659"/>
      <w:r>
        <w:rPr>
          <w:rFonts w:ascii="Times New Roman" w:hAnsi="Times New Roman"/>
          <w:color w:val="auto"/>
          <w:szCs w:val="21"/>
        </w:rPr>
        <w:t>Note: Different lowercase letters indicate significant differences among the same indicator groups (</w:t>
      </w:r>
      <w:r>
        <w:rPr>
          <w:rFonts w:ascii="Times New Roman" w:hAnsi="Times New Roman"/>
          <w:i/>
          <w:iCs/>
          <w:color w:val="auto"/>
          <w:szCs w:val="21"/>
        </w:rPr>
        <w:t>p</w:t>
      </w:r>
      <w:r>
        <w:rPr>
          <w:rFonts w:ascii="Times New Roman" w:hAnsi="Times New Roman"/>
          <w:color w:val="auto"/>
          <w:szCs w:val="21"/>
        </w:rPr>
        <w:t xml:space="preserve"> &lt; 0.05).</w:t>
      </w:r>
    </w:p>
    <w:bookmarkEnd w:id="3"/>
    <w:p>
      <w:pPr>
        <w:rPr>
          <w:color w:val="auto"/>
        </w:rPr>
      </w:pPr>
    </w:p>
    <w:p>
      <w:pPr>
        <w:rPr>
          <w:color w:val="auto"/>
        </w:rPr>
      </w:pPr>
    </w:p>
    <w:p>
      <w:pPr>
        <w:rPr>
          <w:color w:val="auto"/>
        </w:rPr>
      </w:pPr>
      <w:r>
        <w:rPr>
          <w:color w:val="auto"/>
        </w:rPr>
        <w:drawing>
          <wp:inline distT="0" distB="0" distL="0" distR="0">
            <wp:extent cx="5274310" cy="4519295"/>
            <wp:effectExtent l="0" t="0" r="2540" b="0"/>
            <wp:docPr id="18028756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875678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1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Times New Roman" w:hAnsi="Times New Roman"/>
          <w:color w:val="auto"/>
          <w:sz w:val="24"/>
        </w:rPr>
      </w:pPr>
      <w:r>
        <w:rPr>
          <w:rFonts w:hint="eastAsia" w:ascii="Times New Roman" w:hAnsi="Times New Roman"/>
          <w:color w:val="auto"/>
          <w:sz w:val="24"/>
        </w:rPr>
        <w:t>F</w:t>
      </w:r>
      <w:r>
        <w:rPr>
          <w:rFonts w:ascii="Times New Roman" w:hAnsi="Times New Roman"/>
          <w:color w:val="auto"/>
          <w:sz w:val="24"/>
        </w:rPr>
        <w:t>i</w:t>
      </w:r>
      <w:r>
        <w:rPr>
          <w:rFonts w:hint="eastAsia" w:ascii="Times New Roman" w:hAnsi="Times New Roman"/>
          <w:color w:val="auto"/>
          <w:sz w:val="24"/>
        </w:rPr>
        <w:t xml:space="preserve">gure S1 </w:t>
      </w:r>
      <w:r>
        <w:rPr>
          <w:rFonts w:ascii="Times New Roman" w:hAnsi="Times New Roman"/>
          <w:color w:val="auto"/>
          <w:sz w:val="24"/>
        </w:rPr>
        <w:t>Sample dilution curve</w:t>
      </w:r>
    </w:p>
    <w:p>
      <w:pPr>
        <w:rPr>
          <w:rFonts w:hint="eastAsia"/>
          <w:color w:val="auto"/>
        </w:rPr>
      </w:pPr>
    </w:p>
    <w:bookmarkEnd w:id="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FhMDhlYTgyM2NlNTBiNmFjNjZlNGFhYzAzMDQwOTAifQ=="/>
  </w:docVars>
  <w:rsids>
    <w:rsidRoot w:val="00AC169F"/>
    <w:rsid w:val="000C188C"/>
    <w:rsid w:val="001A1DD5"/>
    <w:rsid w:val="00290C0B"/>
    <w:rsid w:val="002D0B26"/>
    <w:rsid w:val="00353A0C"/>
    <w:rsid w:val="0035582B"/>
    <w:rsid w:val="00536334"/>
    <w:rsid w:val="005768CB"/>
    <w:rsid w:val="005A5E9C"/>
    <w:rsid w:val="005D4E13"/>
    <w:rsid w:val="0071142D"/>
    <w:rsid w:val="00842C86"/>
    <w:rsid w:val="00847197"/>
    <w:rsid w:val="009019CA"/>
    <w:rsid w:val="009112C0"/>
    <w:rsid w:val="00975658"/>
    <w:rsid w:val="00982C88"/>
    <w:rsid w:val="00A52FBB"/>
    <w:rsid w:val="00AC169F"/>
    <w:rsid w:val="00AF3A6C"/>
    <w:rsid w:val="00B07D9E"/>
    <w:rsid w:val="00B87139"/>
    <w:rsid w:val="00B924D2"/>
    <w:rsid w:val="00BA2EF1"/>
    <w:rsid w:val="00BD0900"/>
    <w:rsid w:val="00D22538"/>
    <w:rsid w:val="00D60B60"/>
    <w:rsid w:val="00D92AE8"/>
    <w:rsid w:val="00DC1CAC"/>
    <w:rsid w:val="00DF5D3A"/>
    <w:rsid w:val="00E02CF2"/>
    <w:rsid w:val="00E1430B"/>
    <w:rsid w:val="00E84922"/>
    <w:rsid w:val="26147A5F"/>
    <w:rsid w:val="3077241D"/>
    <w:rsid w:val="4F3C2AD4"/>
    <w:rsid w:val="51CA5DC9"/>
    <w:rsid w:val="60157CDA"/>
    <w:rsid w:val="66E30165"/>
    <w:rsid w:val="7FAD14A2"/>
    <w:rsid w:val="7FF92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after="0" w:line="240" w:lineRule="auto"/>
    </w:pPr>
    <w:rPr>
      <w:sz w:val="18"/>
      <w:szCs w:val="18"/>
      <w14:ligatures w14:val="none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  <w14:ligatures w14:val="none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1439</Words>
  <Characters>6487</Characters>
  <Lines>52</Lines>
  <Paragraphs>14</Paragraphs>
  <TotalTime>1</TotalTime>
  <ScaleCrop>false</ScaleCrop>
  <LinksUpToDate>false</LinksUpToDate>
  <CharactersWithSpaces>6669</CharactersWithSpaces>
  <Application>WPS Office_11.1.0.12650_F1E327BC-269C-435d-A152-05C5408002CA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2025-12-27T04:10:00Z</dcterms:created>
  <dc:creator>Administrator</dc:creator>
  <cp:lastModifiedBy>YUAN</cp:lastModifiedBy>
  <dcterms:modified xsi:type="dcterms:W3CDTF">2026-04-30T05:58:39Z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D387D828138D4507A81AF6CDDBEC8017</vt:lpwstr>
  </property>
</Properties>
</file>