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D9D09" w14:textId="77777777" w:rsidR="00674323" w:rsidRPr="00F81DE2" w:rsidRDefault="00674323" w:rsidP="00674323">
      <w:pPr>
        <w:spacing w:line="480" w:lineRule="auto"/>
        <w:jc w:val="both"/>
        <w:rPr>
          <w:rFonts w:cs="Times New Roman"/>
          <w:b/>
          <w:bCs/>
          <w:color w:val="000000" w:themeColor="text1"/>
          <w:szCs w:val="22"/>
        </w:rPr>
      </w:pPr>
      <w:r w:rsidRPr="00F81DE2">
        <w:rPr>
          <w:rFonts w:cs="Times New Roman" w:hint="eastAsia"/>
          <w:b/>
          <w:bCs/>
          <w:color w:val="000000" w:themeColor="text1"/>
          <w:szCs w:val="22"/>
        </w:rPr>
        <w:t>Supplementary Tables and Figures</w:t>
      </w:r>
    </w:p>
    <w:p w14:paraId="54C27000" w14:textId="68F30EF2" w:rsidR="000E7BCD" w:rsidRPr="00F81DE2" w:rsidRDefault="00674323" w:rsidP="00CB4CE5">
      <w:pPr>
        <w:spacing w:line="480" w:lineRule="auto"/>
        <w:jc w:val="both"/>
        <w:rPr>
          <w:rFonts w:cs="Times New Roman"/>
          <w:color w:val="000000" w:themeColor="text1"/>
          <w:szCs w:val="22"/>
        </w:rPr>
      </w:pPr>
      <w:r w:rsidRPr="00F81DE2">
        <w:rPr>
          <w:rFonts w:cs="Times New Roman" w:hint="eastAsia"/>
          <w:b/>
          <w:bCs/>
          <w:color w:val="000000" w:themeColor="text1"/>
          <w:szCs w:val="22"/>
        </w:rPr>
        <w:t>Suppl. Table 1.</w:t>
      </w:r>
      <w:r w:rsidR="008573EE" w:rsidRPr="00F81DE2">
        <w:rPr>
          <w:rFonts w:cs="Times New Roman" w:hint="eastAsia"/>
          <w:b/>
          <w:bCs/>
          <w:color w:val="000000" w:themeColor="text1"/>
          <w:szCs w:val="22"/>
        </w:rPr>
        <w:t xml:space="preserve"> </w:t>
      </w:r>
      <w:r w:rsidR="00552BE3" w:rsidRPr="00F81DE2">
        <w:rPr>
          <w:rFonts w:cs="Times New Roman"/>
          <w:b/>
          <w:bCs/>
          <w:color w:val="000000" w:themeColor="text1"/>
        </w:rPr>
        <w:t>Overview of experimental batches and coded operating conditions used in this study.</w:t>
      </w:r>
      <w:r w:rsidR="00552BE3" w:rsidRPr="00F81DE2">
        <w:rPr>
          <w:rFonts w:cs="Times New Roman"/>
          <w:color w:val="000000" w:themeColor="text1"/>
        </w:rPr>
        <w:t xml:space="preserve"> The table summarizes all 30 batches, including 23 Ambr® 250 batches and seven 5 L bench-scale bioreactor batches. The 23 Ambr® 250 batches served as the primary calibration dataset for the standard and variable-specific single-scale models. Of the seven bench-scale batches, two were used as additional calibration batches for the combined-scale models, whereas the remaining five were used as bench-scale prediction batches for cross-scale performance assessment and preprocessing pipeline comparison. Operating conditions are reported as coded relative levels to describe the experimental design structure. AM01–AM08 represent a full-factorial DoE designed to investigate the interaction between production temperature and </w:t>
      </w:r>
      <w:proofErr w:type="spellStart"/>
      <w:r w:rsidR="00552BE3" w:rsidRPr="00F81DE2">
        <w:rPr>
          <w:rFonts w:cs="Times New Roman"/>
          <w:color w:val="000000" w:themeColor="text1"/>
        </w:rPr>
        <w:t>pH.</w:t>
      </w:r>
      <w:proofErr w:type="spellEnd"/>
      <w:r w:rsidR="00552BE3" w:rsidRPr="00F81DE2">
        <w:rPr>
          <w:rFonts w:cs="Times New Roman"/>
          <w:color w:val="000000" w:themeColor="text1"/>
        </w:rPr>
        <w:t xml:space="preserve"> AM11–AM18 represent a full-factorial DoE designed to investigate the interaction between initial DO and production DO. AM09, AM10, and AM23 correspond to center-point conditions, while AM20–AM22 correspond to one-factor-at-a-time (OFAT) experimental conditions established for feed strategy development. Within each process parameter, identical coded levels indicate the same operating condition across batches. Values marked with an asterisk (*) indicate conditions outside the Ambr® 250 experimental range.</w:t>
      </w:r>
    </w:p>
    <w:tbl>
      <w:tblPr>
        <w:tblW w:w="13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417"/>
      </w:tblGrid>
      <w:tr w:rsidR="00B642D6" w:rsidRPr="00F81DE2" w14:paraId="0BD6603D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6B36BA83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Batch ID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D9E2ABA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Scale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7D9F438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Purpose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F7AC93B" w14:textId="11F61BED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Prod</w:t>
            </w:r>
            <w:r w:rsidRPr="00F81DE2">
              <w:rPr>
                <w:rFonts w:eastAsia="맑은 고딕" w:cs="Times New Roman" w:hint="eastAsia"/>
                <w:color w:val="000000" w:themeColor="text1"/>
                <w:sz w:val="20"/>
                <w:szCs w:val="20"/>
              </w:rPr>
              <w:t>uction</w:t>
            </w: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 xml:space="preserve"> Temp</w:t>
            </w:r>
          </w:p>
        </w:tc>
        <w:tc>
          <w:tcPr>
            <w:tcW w:w="1134" w:type="dxa"/>
            <w:vAlign w:val="center"/>
          </w:tcPr>
          <w:p w14:paraId="21C9FAEF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Initial</w:t>
            </w:r>
          </w:p>
          <w:p w14:paraId="113B7B7D" w14:textId="711084F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pH*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FF8456F" w14:textId="78C70348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Prod</w:t>
            </w:r>
            <w:r w:rsidRPr="00F81DE2">
              <w:rPr>
                <w:rFonts w:eastAsia="맑은 고딕" w:cs="Times New Roman" w:hint="eastAsia"/>
                <w:color w:val="000000" w:themeColor="text1"/>
                <w:sz w:val="20"/>
                <w:szCs w:val="20"/>
              </w:rPr>
              <w:t>uction</w:t>
            </w:r>
          </w:p>
          <w:p w14:paraId="5486C1D0" w14:textId="152BE4E1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pH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9D90C97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Initial</w:t>
            </w:r>
          </w:p>
          <w:p w14:paraId="50C61942" w14:textId="37EA7D63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DO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2FE9693" w14:textId="57838A11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Prod</w:t>
            </w:r>
            <w:r w:rsidRPr="00F81DE2">
              <w:rPr>
                <w:rFonts w:eastAsia="맑은 고딕" w:cs="Times New Roman" w:hint="eastAsia"/>
                <w:color w:val="000000" w:themeColor="text1"/>
                <w:sz w:val="20"/>
                <w:szCs w:val="20"/>
              </w:rPr>
              <w:t>uction</w:t>
            </w:r>
          </w:p>
          <w:p w14:paraId="5AC3EADE" w14:textId="5975B070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DO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17326E0" w14:textId="1CE73E4B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Agit</w:t>
            </w:r>
            <w:r w:rsidRPr="00F81DE2">
              <w:rPr>
                <w:rFonts w:eastAsia="맑은 고딕" w:cs="Times New Roman" w:hint="eastAsia"/>
                <w:color w:val="000000" w:themeColor="text1"/>
                <w:sz w:val="20"/>
                <w:szCs w:val="20"/>
              </w:rPr>
              <w:t>ation</w:t>
            </w: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 xml:space="preserve"> Speed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9A732C5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Feed A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E538FC7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Feed B</w:t>
            </w:r>
          </w:p>
        </w:tc>
        <w:tc>
          <w:tcPr>
            <w:tcW w:w="1417" w:type="dxa"/>
            <w:tcMar>
              <w:left w:w="99" w:type="dxa"/>
              <w:right w:w="99" w:type="dxa"/>
            </w:tcMar>
            <w:vAlign w:val="center"/>
          </w:tcPr>
          <w:p w14:paraId="56BF8176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Experimental design</w:t>
            </w:r>
          </w:p>
        </w:tc>
      </w:tr>
      <w:tr w:rsidR="00B642D6" w:rsidRPr="00F81DE2" w14:paraId="649E6DF1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3A36CBDE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AM01</w:t>
            </w:r>
          </w:p>
        </w:tc>
        <w:tc>
          <w:tcPr>
            <w:tcW w:w="1134" w:type="dxa"/>
            <w:vMerge w:val="restart"/>
            <w:tcMar>
              <w:left w:w="99" w:type="dxa"/>
              <w:right w:w="99" w:type="dxa"/>
            </w:tcMar>
            <w:vAlign w:val="center"/>
          </w:tcPr>
          <w:p w14:paraId="6337D6F8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Ambr 250</w:t>
            </w:r>
          </w:p>
        </w:tc>
        <w:tc>
          <w:tcPr>
            <w:tcW w:w="1134" w:type="dxa"/>
            <w:vMerge w:val="restart"/>
            <w:tcMar>
              <w:left w:w="99" w:type="dxa"/>
              <w:right w:w="99" w:type="dxa"/>
            </w:tcMar>
            <w:vAlign w:val="center"/>
          </w:tcPr>
          <w:p w14:paraId="703EC155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Calibration dataset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28BC088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vAlign w:val="center"/>
          </w:tcPr>
          <w:p w14:paraId="514E2F99" w14:textId="2DF333B6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665F58D" w14:textId="47F64DD4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089FB64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87DE4A6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94CE18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575C1A7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192FEE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 w:val="restart"/>
            <w:tcMar>
              <w:left w:w="99" w:type="dxa"/>
              <w:right w:w="99" w:type="dxa"/>
            </w:tcMar>
            <w:vAlign w:val="center"/>
          </w:tcPr>
          <w:p w14:paraId="2F4AD371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DOE</w:t>
            </w:r>
          </w:p>
        </w:tc>
      </w:tr>
      <w:tr w:rsidR="00B642D6" w:rsidRPr="00F81DE2" w14:paraId="0789FECD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2CEC92DD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AM02</w:t>
            </w:r>
          </w:p>
        </w:tc>
        <w:tc>
          <w:tcPr>
            <w:tcW w:w="1134" w:type="dxa"/>
            <w:vMerge/>
            <w:vAlign w:val="center"/>
          </w:tcPr>
          <w:p w14:paraId="0ACAF9BC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7DB65C8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6DC843F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vAlign w:val="center"/>
          </w:tcPr>
          <w:p w14:paraId="65BBBF44" w14:textId="66139173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4CA2F83" w14:textId="298F36A8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B8DB180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5DF272F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9A9FC89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949E178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25BA04C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30214612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4EEDA903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5400C547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AM03</w:t>
            </w:r>
          </w:p>
        </w:tc>
        <w:tc>
          <w:tcPr>
            <w:tcW w:w="1134" w:type="dxa"/>
            <w:vMerge/>
            <w:vAlign w:val="center"/>
          </w:tcPr>
          <w:p w14:paraId="3C9D2795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4046374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76861A8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vAlign w:val="center"/>
          </w:tcPr>
          <w:p w14:paraId="452EC50D" w14:textId="17BFDBCC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A776870" w14:textId="5D63A1B4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1EE5493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F2F549B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DFBFCD4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71F18C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F072466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600C322C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4367DE77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0E79A891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AM04</w:t>
            </w:r>
          </w:p>
        </w:tc>
        <w:tc>
          <w:tcPr>
            <w:tcW w:w="1134" w:type="dxa"/>
            <w:vMerge/>
            <w:vAlign w:val="center"/>
          </w:tcPr>
          <w:p w14:paraId="6C44794C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9EE4269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4767BE7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A54ED6D" w14:textId="365FCD9E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07C2AE1" w14:textId="7E7B5E5F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685CB0A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5CAF52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F164672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4998E56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1F623BA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3AC57009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16952406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02CE42DE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AM05</w:t>
            </w:r>
          </w:p>
        </w:tc>
        <w:tc>
          <w:tcPr>
            <w:tcW w:w="1134" w:type="dxa"/>
            <w:vMerge/>
            <w:vAlign w:val="center"/>
          </w:tcPr>
          <w:p w14:paraId="3DE7E4A3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43B1E95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B10EAA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5438661" w14:textId="145FFC32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3080A07" w14:textId="3ABAF126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67568E9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1469F98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40A58A6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BF7BA29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9AD9946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23DDFF3A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76A1166A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7293A662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AM06</w:t>
            </w:r>
          </w:p>
        </w:tc>
        <w:tc>
          <w:tcPr>
            <w:tcW w:w="1134" w:type="dxa"/>
            <w:vMerge/>
            <w:vAlign w:val="center"/>
          </w:tcPr>
          <w:p w14:paraId="25630440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2A6CE75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44B5C16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vAlign w:val="center"/>
          </w:tcPr>
          <w:p w14:paraId="6CCED490" w14:textId="415ABCD1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A187BF4" w14:textId="3D39C344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8580FD1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563860A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EBA68D9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0551285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AB428F1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6C93A154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781546C8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1CE5C6F0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AM07</w:t>
            </w:r>
          </w:p>
        </w:tc>
        <w:tc>
          <w:tcPr>
            <w:tcW w:w="1134" w:type="dxa"/>
            <w:vMerge/>
            <w:vAlign w:val="center"/>
          </w:tcPr>
          <w:p w14:paraId="360DA45A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466EF41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BF5734B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vAlign w:val="center"/>
          </w:tcPr>
          <w:p w14:paraId="6150DEDA" w14:textId="510A6FAC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254E68D" w14:textId="4BCBAD45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E1D950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FEBE7CA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7B7896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7201FAB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66BD3B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01A6D3BA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3C741E3D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63495A0C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lastRenderedPageBreak/>
              <w:t>AM08</w:t>
            </w:r>
          </w:p>
        </w:tc>
        <w:tc>
          <w:tcPr>
            <w:tcW w:w="1134" w:type="dxa"/>
            <w:vMerge/>
            <w:vAlign w:val="center"/>
          </w:tcPr>
          <w:p w14:paraId="10105940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E3CAC63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8AE3E63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vAlign w:val="center"/>
          </w:tcPr>
          <w:p w14:paraId="0347FECD" w14:textId="186AF9D8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F9C2F70" w14:textId="67ABCA41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5D49C81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884B8EA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5DA9B84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E8CD5AA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BEDDC3B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6F26BED7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3E6BEE44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4DB8E5CC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AM09</w:t>
            </w:r>
          </w:p>
        </w:tc>
        <w:tc>
          <w:tcPr>
            <w:tcW w:w="1134" w:type="dxa"/>
            <w:vMerge/>
            <w:vAlign w:val="center"/>
          </w:tcPr>
          <w:p w14:paraId="4954A291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EED7E40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8113478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CEEEE1B" w14:textId="5AFF9D92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716A38E" w14:textId="127666AB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A8D4EC2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A134FF3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C67B392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160D417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AB526FC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 w:val="restart"/>
            <w:tcMar>
              <w:left w:w="99" w:type="dxa"/>
              <w:right w:w="99" w:type="dxa"/>
            </w:tcMar>
            <w:vAlign w:val="center"/>
          </w:tcPr>
          <w:p w14:paraId="22A566F8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Center</w:t>
            </w:r>
          </w:p>
        </w:tc>
      </w:tr>
      <w:tr w:rsidR="00B642D6" w:rsidRPr="00F81DE2" w14:paraId="07A8FCA6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4DA08D0E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AM10</w:t>
            </w:r>
          </w:p>
        </w:tc>
        <w:tc>
          <w:tcPr>
            <w:tcW w:w="1134" w:type="dxa"/>
            <w:vMerge/>
            <w:vAlign w:val="center"/>
          </w:tcPr>
          <w:p w14:paraId="23503093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6642CC0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C15A82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198479D" w14:textId="1B4CDC88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5E1ABCD" w14:textId="0E3B5751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D88AF0F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FB0DF9C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65DCC28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76DE3D0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DC96EC4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73AB24A0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7976F5DF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78F11CC8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AM11</w:t>
            </w:r>
          </w:p>
        </w:tc>
        <w:tc>
          <w:tcPr>
            <w:tcW w:w="1134" w:type="dxa"/>
            <w:vMerge/>
            <w:vAlign w:val="center"/>
          </w:tcPr>
          <w:p w14:paraId="54EA1280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2D49D6E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1A85224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FBFE5FE" w14:textId="6EB515DC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163E600" w14:textId="5BC7D9A5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07B6D50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A1D4B57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CAE251A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FD23C6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F64DD3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 w:val="restart"/>
            <w:tcMar>
              <w:left w:w="99" w:type="dxa"/>
              <w:right w:w="99" w:type="dxa"/>
            </w:tcMar>
            <w:vAlign w:val="center"/>
          </w:tcPr>
          <w:p w14:paraId="3B885D7A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DOE</w:t>
            </w:r>
          </w:p>
        </w:tc>
      </w:tr>
      <w:tr w:rsidR="00B642D6" w:rsidRPr="00F81DE2" w14:paraId="02051BAE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63C36312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AM12</w:t>
            </w:r>
          </w:p>
        </w:tc>
        <w:tc>
          <w:tcPr>
            <w:tcW w:w="1134" w:type="dxa"/>
            <w:vMerge/>
            <w:vAlign w:val="center"/>
          </w:tcPr>
          <w:p w14:paraId="59BC9B81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3A68845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6C681D5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5A9076C" w14:textId="34148B90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86F75C9" w14:textId="4DA3F5BD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7067CB5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EEAF9A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629649B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D05477A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E9403D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1F650888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481723F9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1903A6A0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AM13</w:t>
            </w:r>
          </w:p>
        </w:tc>
        <w:tc>
          <w:tcPr>
            <w:tcW w:w="1134" w:type="dxa"/>
            <w:vMerge/>
            <w:vAlign w:val="center"/>
          </w:tcPr>
          <w:p w14:paraId="3C1BF562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7A1965B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D11EE29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479608B" w14:textId="133AE9DC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3EA7137" w14:textId="3B5D8048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406080B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66F8FA0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5B37595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0B2A23A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00687C1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6592B42E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1EA71F34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3ACBEA70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AM14</w:t>
            </w:r>
          </w:p>
        </w:tc>
        <w:tc>
          <w:tcPr>
            <w:tcW w:w="1134" w:type="dxa"/>
            <w:vMerge/>
            <w:vAlign w:val="center"/>
          </w:tcPr>
          <w:p w14:paraId="3BEDA281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6800435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82E3AD3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7E9A582" w14:textId="562A488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09374C3" w14:textId="4F92BC98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3F33AF2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5295B83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20FF86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9BA52A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C0291F6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19A65F6A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2200E547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0C64E27D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AM15</w:t>
            </w:r>
          </w:p>
        </w:tc>
        <w:tc>
          <w:tcPr>
            <w:tcW w:w="1134" w:type="dxa"/>
            <w:vMerge/>
            <w:vAlign w:val="center"/>
          </w:tcPr>
          <w:p w14:paraId="15518BA9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4679959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572EC0F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C81D29E" w14:textId="2F2D584F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4D6D7AF" w14:textId="45CE9EA0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11D456B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AFCE279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5E421EB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BF61F85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C240191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4C5CDFC2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4FC1C9CC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1768996E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AM16</w:t>
            </w:r>
          </w:p>
        </w:tc>
        <w:tc>
          <w:tcPr>
            <w:tcW w:w="1134" w:type="dxa"/>
            <w:vMerge/>
            <w:vAlign w:val="center"/>
          </w:tcPr>
          <w:p w14:paraId="22D2D320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CFA3504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5D08B61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55AB637" w14:textId="79A18C70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C7FF987" w14:textId="49E8ACF2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494A276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5294A5B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FD93F85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C66BF3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CC34C8A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6B5C51FA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6942C872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58677930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AM17</w:t>
            </w:r>
          </w:p>
        </w:tc>
        <w:tc>
          <w:tcPr>
            <w:tcW w:w="1134" w:type="dxa"/>
            <w:vMerge/>
            <w:vAlign w:val="center"/>
          </w:tcPr>
          <w:p w14:paraId="14A11DBA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3FE22A5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783BEA7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5110E28" w14:textId="4595984D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435D4AD" w14:textId="2940427E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02CB9A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EDC10F8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7CB9302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7D39F9F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C9F862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3EEB705F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1FDD94B3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4210B8BF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AM18</w:t>
            </w:r>
          </w:p>
        </w:tc>
        <w:tc>
          <w:tcPr>
            <w:tcW w:w="1134" w:type="dxa"/>
            <w:vMerge/>
            <w:vAlign w:val="center"/>
          </w:tcPr>
          <w:p w14:paraId="168C507B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FF8310A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F7E0282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E7245A2" w14:textId="1700A64E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032FFB4" w14:textId="5E021812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F888B5B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45722B5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73045B1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1EE8A04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73198D0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44C049D7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6C43F203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129E5778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AM19</w:t>
            </w:r>
          </w:p>
        </w:tc>
        <w:tc>
          <w:tcPr>
            <w:tcW w:w="1134" w:type="dxa"/>
            <w:vMerge/>
            <w:vAlign w:val="center"/>
          </w:tcPr>
          <w:p w14:paraId="5F8E5229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1F2D83E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C5EAB34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80D4BF3" w14:textId="0EF8BA22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6DA93ED" w14:textId="4295B781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A69C11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6226375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5B599F3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2DFBED2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CA832F7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 w:val="restart"/>
            <w:tcMar>
              <w:left w:w="99" w:type="dxa"/>
              <w:right w:w="99" w:type="dxa"/>
            </w:tcMar>
            <w:vAlign w:val="center"/>
          </w:tcPr>
          <w:p w14:paraId="4BB7FBCE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OFAT</w:t>
            </w:r>
          </w:p>
        </w:tc>
      </w:tr>
      <w:tr w:rsidR="00B642D6" w:rsidRPr="00F81DE2" w14:paraId="7E657DF9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05A857AD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AM20</w:t>
            </w:r>
          </w:p>
        </w:tc>
        <w:tc>
          <w:tcPr>
            <w:tcW w:w="1134" w:type="dxa"/>
            <w:vMerge/>
            <w:vAlign w:val="center"/>
          </w:tcPr>
          <w:p w14:paraId="2638419F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73A25F6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CCF26DB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600FBF6" w14:textId="77095BE0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2128D40" w14:textId="38A9B0FC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CC1CD74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1F3C8F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C86257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1595692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B5B0C5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3EF5FFDC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7A6DC508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169EBE9C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AM21</w:t>
            </w:r>
          </w:p>
        </w:tc>
        <w:tc>
          <w:tcPr>
            <w:tcW w:w="1134" w:type="dxa"/>
            <w:vMerge/>
            <w:vAlign w:val="center"/>
          </w:tcPr>
          <w:p w14:paraId="6303119B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7C74439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290FB2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87D8E61" w14:textId="3D16A30D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F00B73B" w14:textId="0B05DB54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98209A9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CB95DDA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8B907DF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D6FDF70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7DB94F7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6DEEBA4B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534E3907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602CB26D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AM22</w:t>
            </w:r>
          </w:p>
        </w:tc>
        <w:tc>
          <w:tcPr>
            <w:tcW w:w="1134" w:type="dxa"/>
            <w:vMerge/>
            <w:vAlign w:val="center"/>
          </w:tcPr>
          <w:p w14:paraId="2DC5D671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9C07489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7436A30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92A3B5E" w14:textId="2879FB2C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04D72AD" w14:textId="2184D5B9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6353C5F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35A0D6F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6D74E7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CEACF99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72B17A5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417" w:type="dxa"/>
            <w:vMerge/>
            <w:vAlign w:val="center"/>
          </w:tcPr>
          <w:p w14:paraId="0B36E079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2E1AEEA0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7AEEAEC9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AM23</w:t>
            </w:r>
          </w:p>
        </w:tc>
        <w:tc>
          <w:tcPr>
            <w:tcW w:w="1134" w:type="dxa"/>
            <w:vMerge/>
            <w:vAlign w:val="center"/>
          </w:tcPr>
          <w:p w14:paraId="31B44EC7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D3F0893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638D8E7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0C1CC59" w14:textId="6AA58B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DE5E62A" w14:textId="4ED33E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7BBC7B4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9E91456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1E53EA1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2A08FF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4C0AD28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Mar>
              <w:left w:w="99" w:type="dxa"/>
              <w:right w:w="99" w:type="dxa"/>
            </w:tcMar>
            <w:vAlign w:val="center"/>
          </w:tcPr>
          <w:p w14:paraId="4EBFC5FA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Center</w:t>
            </w:r>
          </w:p>
        </w:tc>
      </w:tr>
      <w:tr w:rsidR="00B642D6" w:rsidRPr="00F81DE2" w14:paraId="58C3FD48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5A412BB1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BR01</w:t>
            </w:r>
          </w:p>
        </w:tc>
        <w:tc>
          <w:tcPr>
            <w:tcW w:w="1134" w:type="dxa"/>
            <w:vMerge w:val="restart"/>
            <w:tcMar>
              <w:left w:w="99" w:type="dxa"/>
              <w:right w:w="99" w:type="dxa"/>
            </w:tcMar>
            <w:vAlign w:val="center"/>
          </w:tcPr>
          <w:p w14:paraId="11360EA7" w14:textId="4DEEB15A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Bench</w:t>
            </w:r>
            <w:r w:rsidRPr="00F81DE2">
              <w:rPr>
                <w:rFonts w:eastAsia="맑은 고딕" w:cs="Times New Roman" w:hint="eastAsia"/>
                <w:color w:val="000000" w:themeColor="text1"/>
                <w:sz w:val="20"/>
                <w:szCs w:val="20"/>
              </w:rPr>
              <w:t>-scale</w:t>
            </w:r>
          </w:p>
        </w:tc>
        <w:tc>
          <w:tcPr>
            <w:tcW w:w="1134" w:type="dxa"/>
            <w:vMerge/>
            <w:vAlign w:val="center"/>
          </w:tcPr>
          <w:p w14:paraId="61DCDEFA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1631381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vAlign w:val="center"/>
          </w:tcPr>
          <w:p w14:paraId="4C58A70F" w14:textId="6BE4552E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0F03148" w14:textId="44B8073D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99F3C8C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CE292D7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9CC96CA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8C1BFD7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BE969B4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 w:val="restart"/>
            <w:tcMar>
              <w:left w:w="99" w:type="dxa"/>
              <w:right w:w="99" w:type="dxa"/>
            </w:tcMar>
            <w:vAlign w:val="center"/>
          </w:tcPr>
          <w:p w14:paraId="44890CFC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B642D6" w:rsidRPr="00F81DE2" w14:paraId="408CF906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71D895E9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BR02</w:t>
            </w:r>
          </w:p>
        </w:tc>
        <w:tc>
          <w:tcPr>
            <w:tcW w:w="1134" w:type="dxa"/>
            <w:vMerge/>
            <w:vAlign w:val="center"/>
          </w:tcPr>
          <w:p w14:paraId="1CFBF4EC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8EFBD28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0385C94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05DB11F" w14:textId="31A4B6B4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D448AAF" w14:textId="0AD49AD1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9892B3A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E4C06C4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5697B2B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AA705FF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49DFEB3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5C40E48E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05D68B31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7B3A220F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BR03</w:t>
            </w:r>
          </w:p>
        </w:tc>
        <w:tc>
          <w:tcPr>
            <w:tcW w:w="1134" w:type="dxa"/>
            <w:vMerge/>
            <w:vAlign w:val="center"/>
          </w:tcPr>
          <w:p w14:paraId="00399336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Mar>
              <w:left w:w="99" w:type="dxa"/>
              <w:right w:w="99" w:type="dxa"/>
            </w:tcMar>
            <w:vAlign w:val="center"/>
          </w:tcPr>
          <w:p w14:paraId="3BD1388A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Prediction dataset/</w:t>
            </w:r>
            <w:r w:rsidRPr="00F81DE2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 xml:space="preserve"> pipeline selection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472C945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6E13CE1" w14:textId="1701EDF0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2A03AB4" w14:textId="589A7BA2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7F8CEAC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F1DA109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4096096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6CB60B1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3492610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084623C2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28F58CC4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12A695BE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BR04</w:t>
            </w:r>
          </w:p>
        </w:tc>
        <w:tc>
          <w:tcPr>
            <w:tcW w:w="1134" w:type="dxa"/>
            <w:vMerge/>
            <w:vAlign w:val="center"/>
          </w:tcPr>
          <w:p w14:paraId="1BCB63AE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4BBD2E4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4965603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1F20D81" w14:textId="4011BBCC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66E7B1E" w14:textId="547106C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776196C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8BA10D0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8A7FA24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F343616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10B98E5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14F57E28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064AD78D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6F25F293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BR05</w:t>
            </w:r>
          </w:p>
        </w:tc>
        <w:tc>
          <w:tcPr>
            <w:tcW w:w="1134" w:type="dxa"/>
            <w:vMerge/>
            <w:vAlign w:val="center"/>
          </w:tcPr>
          <w:p w14:paraId="1DD7D429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BF2EBF4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152DF49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1057F2A" w14:textId="035E5003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34CBFDF" w14:textId="4A6D75EF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269AB5F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AE041C9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9108C63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AE69804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2B62BA6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0596D3DF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7916A23E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003BDEEB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BR06</w:t>
            </w:r>
          </w:p>
        </w:tc>
        <w:tc>
          <w:tcPr>
            <w:tcW w:w="1134" w:type="dxa"/>
            <w:vMerge/>
            <w:vAlign w:val="center"/>
          </w:tcPr>
          <w:p w14:paraId="13E394AC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CCB3FEA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C5FA30B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34E18B3" w14:textId="543040D4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BFEC167" w14:textId="215A816D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374E4F2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2406B7B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32E4C71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72373AE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BDC98EC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68E37544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642D6" w:rsidRPr="00F81DE2" w14:paraId="3029013A" w14:textId="77777777" w:rsidTr="00F83462">
        <w:trPr>
          <w:trHeight w:val="345"/>
        </w:trPr>
        <w:tc>
          <w:tcPr>
            <w:tcW w:w="983" w:type="dxa"/>
            <w:tcMar>
              <w:left w:w="99" w:type="dxa"/>
              <w:right w:w="99" w:type="dxa"/>
            </w:tcMar>
            <w:vAlign w:val="center"/>
          </w:tcPr>
          <w:p w14:paraId="745B1DFB" w14:textId="77777777" w:rsidR="00B642D6" w:rsidRPr="00F81DE2" w:rsidRDefault="00B642D6" w:rsidP="00544C93">
            <w:pPr>
              <w:spacing w:after="0"/>
              <w:jc w:val="center"/>
              <w:rPr>
                <w:rFonts w:eastAsia="맑은 고딕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맑은 고딕" w:cs="Times New Roman"/>
                <w:color w:val="000000" w:themeColor="text1"/>
                <w:sz w:val="20"/>
                <w:szCs w:val="20"/>
              </w:rPr>
              <w:t>BR07</w:t>
            </w:r>
          </w:p>
        </w:tc>
        <w:tc>
          <w:tcPr>
            <w:tcW w:w="1134" w:type="dxa"/>
            <w:vMerge/>
            <w:vAlign w:val="center"/>
          </w:tcPr>
          <w:p w14:paraId="669A10F4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F895AB3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13695AC0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vAlign w:val="center"/>
          </w:tcPr>
          <w:p w14:paraId="588A698A" w14:textId="5A33F8A1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BCB236F" w14:textId="3821A231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4B1B2F31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CEE4AC8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027F70AE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6E12636D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Mar>
              <w:left w:w="99" w:type="dxa"/>
              <w:right w:w="99" w:type="dxa"/>
            </w:tcMar>
            <w:vAlign w:val="center"/>
          </w:tcPr>
          <w:p w14:paraId="527D50D9" w14:textId="77777777" w:rsidR="00B642D6" w:rsidRPr="00F81DE2" w:rsidRDefault="00B642D6" w:rsidP="00544C9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81DE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vAlign w:val="center"/>
          </w:tcPr>
          <w:p w14:paraId="2C93762A" w14:textId="77777777" w:rsidR="00B642D6" w:rsidRPr="00F81DE2" w:rsidRDefault="00B642D6" w:rsidP="00544C9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1A0B183" w14:textId="77777777" w:rsidR="00F83462" w:rsidRPr="00F81DE2" w:rsidRDefault="00F83462" w:rsidP="00B44D63">
      <w:pPr>
        <w:spacing w:line="480" w:lineRule="auto"/>
        <w:jc w:val="both"/>
        <w:rPr>
          <w:b/>
          <w:bCs/>
          <w:color w:val="000000" w:themeColor="text1"/>
        </w:rPr>
      </w:pPr>
    </w:p>
    <w:p w14:paraId="34162911" w14:textId="2DDA7AAB" w:rsidR="00674323" w:rsidRPr="00F81DE2" w:rsidRDefault="00674323" w:rsidP="00B44D63">
      <w:pPr>
        <w:spacing w:line="480" w:lineRule="auto"/>
        <w:jc w:val="both"/>
        <w:rPr>
          <w:color w:val="000000" w:themeColor="text1"/>
        </w:rPr>
      </w:pPr>
      <w:r w:rsidRPr="00F81DE2">
        <w:rPr>
          <w:rFonts w:hint="eastAsia"/>
          <w:b/>
          <w:bCs/>
          <w:color w:val="000000" w:themeColor="text1"/>
        </w:rPr>
        <w:lastRenderedPageBreak/>
        <w:t xml:space="preserve">Suppl. </w:t>
      </w:r>
      <w:r w:rsidRPr="00F81DE2">
        <w:rPr>
          <w:b/>
          <w:bCs/>
          <w:color w:val="000000" w:themeColor="text1"/>
        </w:rPr>
        <w:t>T</w:t>
      </w:r>
      <w:r w:rsidRPr="00F81DE2">
        <w:rPr>
          <w:rFonts w:hint="eastAsia"/>
          <w:b/>
          <w:bCs/>
          <w:color w:val="000000" w:themeColor="text1"/>
        </w:rPr>
        <w:t>able 2.</w:t>
      </w:r>
      <w:r w:rsidR="00884AC7" w:rsidRPr="00F81DE2">
        <w:rPr>
          <w:rFonts w:hint="eastAsia"/>
          <w:b/>
          <w:bCs/>
          <w:color w:val="000000" w:themeColor="text1"/>
        </w:rPr>
        <w:t xml:space="preserve"> </w:t>
      </w:r>
      <w:r w:rsidR="00884AC7" w:rsidRPr="00F81DE2">
        <w:rPr>
          <w:b/>
          <w:bCs/>
          <w:color w:val="000000" w:themeColor="text1"/>
        </w:rPr>
        <w:t>Detailed performance metrics for standard single-scale and combined-scale Raman models.</w:t>
      </w:r>
      <w:r w:rsidR="00884AC7" w:rsidRPr="00F81DE2">
        <w:rPr>
          <w:rFonts w:hint="eastAsia"/>
          <w:color w:val="000000" w:themeColor="text1"/>
        </w:rPr>
        <w:t xml:space="preserve"> </w:t>
      </w:r>
      <w:r w:rsidR="00884AC7" w:rsidRPr="00F81DE2">
        <w:rPr>
          <w:color w:val="000000" w:themeColor="text1"/>
        </w:rPr>
        <w:t xml:space="preserve">Comprehensive overview of internal </w:t>
      </w:r>
      <w:r w:rsidR="00722D9B" w:rsidRPr="00F81DE2">
        <w:rPr>
          <w:rFonts w:hint="eastAsia"/>
          <w:color w:val="000000" w:themeColor="text1"/>
        </w:rPr>
        <w:t xml:space="preserve">cross-validation </w:t>
      </w:r>
      <w:r w:rsidR="00884AC7" w:rsidRPr="00F81DE2">
        <w:rPr>
          <w:color w:val="000000" w:themeColor="text1"/>
        </w:rPr>
        <w:t xml:space="preserve">and </w:t>
      </w:r>
      <w:r w:rsidR="00722D9B" w:rsidRPr="00F81DE2">
        <w:rPr>
          <w:color w:val="000000" w:themeColor="text1"/>
        </w:rPr>
        <w:t>cross-scale prediction</w:t>
      </w:r>
      <w:r w:rsidR="00884AC7" w:rsidRPr="00F81DE2">
        <w:rPr>
          <w:color w:val="000000" w:themeColor="text1"/>
        </w:rPr>
        <w:t xml:space="preserve"> metrics, including latent variables (LV), R², Q², </w:t>
      </w:r>
      <w:proofErr w:type="spellStart"/>
      <w:r w:rsidR="00884AC7" w:rsidRPr="00F81DE2">
        <w:rPr>
          <w:color w:val="000000" w:themeColor="text1"/>
        </w:rPr>
        <w:t>RMSEcv</w:t>
      </w:r>
      <w:proofErr w:type="spellEnd"/>
      <w:r w:rsidR="00884AC7" w:rsidRPr="00F81DE2">
        <w:rPr>
          <w:color w:val="000000" w:themeColor="text1"/>
        </w:rPr>
        <w:t xml:space="preserve">, RMSEP, and mean bias error of prediction (MBEP). The table contrasts the standard single-scale models with the combined-scale models across eight target </w:t>
      </w:r>
      <w:r w:rsidR="00722D9B" w:rsidRPr="00F81DE2">
        <w:rPr>
          <w:rFonts w:hint="eastAsia"/>
          <w:color w:val="000000" w:themeColor="text1"/>
        </w:rPr>
        <w:t>outputs</w:t>
      </w:r>
      <w:r w:rsidR="00884AC7" w:rsidRPr="00F81DE2">
        <w:rPr>
          <w:color w:val="000000" w:themeColor="text1"/>
        </w:rPr>
        <w:t>, quantifying the reduction in prediction errors and biases achieved through the combined modeling approach.</w:t>
      </w:r>
    </w:p>
    <w:tbl>
      <w:tblPr>
        <w:tblStyle w:val="10"/>
        <w:tblW w:w="13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</w:tblGrid>
      <w:tr w:rsidR="00674323" w:rsidRPr="00F81DE2" w14:paraId="00EB84F0" w14:textId="77777777" w:rsidTr="00F834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bottom w:val="none" w:sz="0" w:space="0" w:color="auto"/>
            </w:tcBorders>
            <w:noWrap/>
            <w:vAlign w:val="center"/>
          </w:tcPr>
          <w:p w14:paraId="6BFE508B" w14:textId="77777777" w:rsidR="00674323" w:rsidRPr="00F81DE2" w:rsidRDefault="004805E5" w:rsidP="00884AC7">
            <w:pPr>
              <w:widowControl/>
              <w:wordWrap/>
              <w:autoSpaceDE/>
              <w:autoSpaceDN/>
              <w:jc w:val="center"/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Target</w:t>
            </w:r>
          </w:p>
          <w:p w14:paraId="29DB1941" w14:textId="6448D2A0" w:rsidR="004805E5" w:rsidRPr="00F81DE2" w:rsidRDefault="00722D9B" w:rsidP="00884AC7">
            <w:pPr>
              <w:widowControl/>
              <w:wordWrap/>
              <w:autoSpaceDE/>
              <w:autoSpaceDN/>
              <w:jc w:val="center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Output</w:t>
            </w:r>
            <w:r w:rsidR="002413FC"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897" w:type="dxa"/>
            <w:tcBorders>
              <w:bottom w:val="none" w:sz="0" w:space="0" w:color="auto"/>
            </w:tcBorders>
            <w:vAlign w:val="center"/>
          </w:tcPr>
          <w:p w14:paraId="5564A495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7"/>
                <w:szCs w:val="17"/>
              </w:rPr>
            </w:pPr>
            <w:proofErr w:type="spellStart"/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7"/>
                <w:szCs w:val="17"/>
              </w:rPr>
              <w:t>Std.single</w:t>
            </w:r>
            <w:proofErr w:type="spellEnd"/>
          </w:p>
        </w:tc>
        <w:tc>
          <w:tcPr>
            <w:tcW w:w="897" w:type="dxa"/>
            <w:tcBorders>
              <w:bottom w:val="none" w:sz="0" w:space="0" w:color="auto"/>
            </w:tcBorders>
            <w:vAlign w:val="center"/>
          </w:tcPr>
          <w:p w14:paraId="110ADD65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7"/>
                <w:szCs w:val="17"/>
              </w:rPr>
            </w:pPr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7"/>
                <w:szCs w:val="17"/>
              </w:rPr>
              <w:t>combined</w:t>
            </w:r>
          </w:p>
        </w:tc>
        <w:tc>
          <w:tcPr>
            <w:tcW w:w="897" w:type="dxa"/>
            <w:tcBorders>
              <w:bottom w:val="none" w:sz="0" w:space="0" w:color="auto"/>
            </w:tcBorders>
            <w:noWrap/>
            <w:vAlign w:val="center"/>
          </w:tcPr>
          <w:p w14:paraId="68DC296E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7"/>
                <w:szCs w:val="17"/>
              </w:rPr>
            </w:pPr>
            <w:proofErr w:type="spellStart"/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7"/>
                <w:szCs w:val="17"/>
              </w:rPr>
              <w:t>Std.single</w:t>
            </w:r>
            <w:proofErr w:type="spellEnd"/>
          </w:p>
        </w:tc>
        <w:tc>
          <w:tcPr>
            <w:tcW w:w="897" w:type="dxa"/>
            <w:tcBorders>
              <w:bottom w:val="none" w:sz="0" w:space="0" w:color="auto"/>
            </w:tcBorders>
            <w:vAlign w:val="center"/>
          </w:tcPr>
          <w:p w14:paraId="612E5493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7"/>
                <w:szCs w:val="17"/>
              </w:rPr>
            </w:pPr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7"/>
                <w:szCs w:val="17"/>
              </w:rPr>
              <w:t>combined</w:t>
            </w:r>
          </w:p>
        </w:tc>
        <w:tc>
          <w:tcPr>
            <w:tcW w:w="897" w:type="dxa"/>
            <w:tcBorders>
              <w:bottom w:val="none" w:sz="0" w:space="0" w:color="auto"/>
            </w:tcBorders>
            <w:noWrap/>
            <w:vAlign w:val="center"/>
          </w:tcPr>
          <w:p w14:paraId="496F6FA8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7"/>
                <w:szCs w:val="17"/>
              </w:rPr>
            </w:pPr>
            <w:proofErr w:type="spellStart"/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7"/>
                <w:szCs w:val="17"/>
              </w:rPr>
              <w:t>Std.single</w:t>
            </w:r>
            <w:proofErr w:type="spellEnd"/>
          </w:p>
        </w:tc>
        <w:tc>
          <w:tcPr>
            <w:tcW w:w="897" w:type="dxa"/>
            <w:tcBorders>
              <w:bottom w:val="none" w:sz="0" w:space="0" w:color="auto"/>
            </w:tcBorders>
            <w:vAlign w:val="center"/>
          </w:tcPr>
          <w:p w14:paraId="531B5B38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7"/>
                <w:szCs w:val="17"/>
              </w:rPr>
            </w:pPr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7"/>
                <w:szCs w:val="17"/>
              </w:rPr>
              <w:t>combined</w:t>
            </w:r>
          </w:p>
        </w:tc>
        <w:tc>
          <w:tcPr>
            <w:tcW w:w="897" w:type="dxa"/>
            <w:tcBorders>
              <w:bottom w:val="none" w:sz="0" w:space="0" w:color="auto"/>
            </w:tcBorders>
            <w:noWrap/>
            <w:vAlign w:val="center"/>
          </w:tcPr>
          <w:p w14:paraId="5B874F5B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7"/>
                <w:szCs w:val="17"/>
              </w:rPr>
            </w:pPr>
            <w:proofErr w:type="spellStart"/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7"/>
                <w:szCs w:val="17"/>
              </w:rPr>
              <w:t>Std.single</w:t>
            </w:r>
            <w:proofErr w:type="spellEnd"/>
          </w:p>
        </w:tc>
        <w:tc>
          <w:tcPr>
            <w:tcW w:w="897" w:type="dxa"/>
            <w:tcBorders>
              <w:bottom w:val="none" w:sz="0" w:space="0" w:color="auto"/>
            </w:tcBorders>
            <w:vAlign w:val="center"/>
          </w:tcPr>
          <w:p w14:paraId="70FC31FE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7"/>
                <w:szCs w:val="17"/>
              </w:rPr>
            </w:pPr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7"/>
                <w:szCs w:val="17"/>
              </w:rPr>
              <w:t>combined</w:t>
            </w:r>
          </w:p>
        </w:tc>
        <w:tc>
          <w:tcPr>
            <w:tcW w:w="897" w:type="dxa"/>
            <w:tcBorders>
              <w:bottom w:val="none" w:sz="0" w:space="0" w:color="auto"/>
            </w:tcBorders>
            <w:noWrap/>
            <w:vAlign w:val="center"/>
          </w:tcPr>
          <w:p w14:paraId="1616D89C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7"/>
                <w:szCs w:val="17"/>
              </w:rPr>
            </w:pPr>
            <w:proofErr w:type="spellStart"/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7"/>
                <w:szCs w:val="17"/>
              </w:rPr>
              <w:t>Std.single</w:t>
            </w:r>
            <w:proofErr w:type="spellEnd"/>
          </w:p>
        </w:tc>
        <w:tc>
          <w:tcPr>
            <w:tcW w:w="897" w:type="dxa"/>
            <w:tcBorders>
              <w:bottom w:val="none" w:sz="0" w:space="0" w:color="auto"/>
            </w:tcBorders>
            <w:vAlign w:val="center"/>
          </w:tcPr>
          <w:p w14:paraId="05808B8D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7"/>
                <w:szCs w:val="17"/>
              </w:rPr>
            </w:pPr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7"/>
                <w:szCs w:val="17"/>
              </w:rPr>
              <w:t>combined</w:t>
            </w:r>
          </w:p>
        </w:tc>
        <w:tc>
          <w:tcPr>
            <w:tcW w:w="897" w:type="dxa"/>
            <w:tcBorders>
              <w:bottom w:val="none" w:sz="0" w:space="0" w:color="auto"/>
            </w:tcBorders>
            <w:noWrap/>
            <w:vAlign w:val="center"/>
          </w:tcPr>
          <w:p w14:paraId="2F766083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7"/>
                <w:szCs w:val="17"/>
              </w:rPr>
            </w:pPr>
            <w:proofErr w:type="spellStart"/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7"/>
                <w:szCs w:val="17"/>
              </w:rPr>
              <w:t>Std.single</w:t>
            </w:r>
            <w:proofErr w:type="spellEnd"/>
          </w:p>
        </w:tc>
        <w:tc>
          <w:tcPr>
            <w:tcW w:w="897" w:type="dxa"/>
            <w:tcBorders>
              <w:bottom w:val="none" w:sz="0" w:space="0" w:color="auto"/>
            </w:tcBorders>
            <w:vAlign w:val="center"/>
          </w:tcPr>
          <w:p w14:paraId="6B615595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7"/>
                <w:szCs w:val="17"/>
              </w:rPr>
            </w:pPr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7"/>
                <w:szCs w:val="17"/>
              </w:rPr>
              <w:t>combined</w:t>
            </w:r>
          </w:p>
        </w:tc>
        <w:tc>
          <w:tcPr>
            <w:tcW w:w="897" w:type="dxa"/>
            <w:tcBorders>
              <w:bottom w:val="none" w:sz="0" w:space="0" w:color="auto"/>
            </w:tcBorders>
            <w:vAlign w:val="center"/>
          </w:tcPr>
          <w:p w14:paraId="101D26B9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7"/>
                <w:szCs w:val="17"/>
              </w:rPr>
            </w:pPr>
            <w:proofErr w:type="spellStart"/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7"/>
                <w:szCs w:val="17"/>
              </w:rPr>
              <w:t>Std.single</w:t>
            </w:r>
            <w:proofErr w:type="spellEnd"/>
          </w:p>
        </w:tc>
        <w:tc>
          <w:tcPr>
            <w:tcW w:w="897" w:type="dxa"/>
            <w:tcBorders>
              <w:bottom w:val="none" w:sz="0" w:space="0" w:color="auto"/>
            </w:tcBorders>
            <w:vAlign w:val="center"/>
          </w:tcPr>
          <w:p w14:paraId="496348C5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7"/>
                <w:szCs w:val="17"/>
              </w:rPr>
            </w:pPr>
            <w:r w:rsidRPr="00F81DE2">
              <w:rPr>
                <w:rFonts w:eastAsia="맑은 고딕" w:cs="Times New Roman" w:hint="eastAsia"/>
                <w:b w:val="0"/>
                <w:bCs w:val="0"/>
                <w:color w:val="000000" w:themeColor="text1"/>
                <w:kern w:val="0"/>
                <w:sz w:val="17"/>
                <w:szCs w:val="17"/>
              </w:rPr>
              <w:t>combined</w:t>
            </w:r>
          </w:p>
        </w:tc>
      </w:tr>
      <w:tr w:rsidR="00674323" w:rsidRPr="00F81DE2" w14:paraId="710EAE66" w14:textId="77777777" w:rsidTr="00F83462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noWrap/>
            <w:vAlign w:val="center"/>
            <w:hideMark/>
          </w:tcPr>
          <w:p w14:paraId="665796B8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493DFF24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1794" w:type="dxa"/>
            <w:gridSpan w:val="2"/>
            <w:noWrap/>
            <w:vAlign w:val="center"/>
            <w:hideMark/>
          </w:tcPr>
          <w:p w14:paraId="6A71D567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LV</w:t>
            </w:r>
          </w:p>
        </w:tc>
        <w:tc>
          <w:tcPr>
            <w:tcW w:w="1794" w:type="dxa"/>
            <w:gridSpan w:val="2"/>
            <w:noWrap/>
            <w:vAlign w:val="center"/>
            <w:hideMark/>
          </w:tcPr>
          <w:p w14:paraId="2C14BBA4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94" w:type="dxa"/>
            <w:gridSpan w:val="2"/>
            <w:noWrap/>
            <w:vAlign w:val="center"/>
            <w:hideMark/>
          </w:tcPr>
          <w:p w14:paraId="326F59A5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Q</w:t>
            </w: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94" w:type="dxa"/>
            <w:gridSpan w:val="2"/>
            <w:noWrap/>
            <w:vAlign w:val="center"/>
            <w:hideMark/>
          </w:tcPr>
          <w:p w14:paraId="74CEEB53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RMSEcv</w:t>
            </w:r>
            <w:proofErr w:type="spellEnd"/>
            <w:r w:rsidRPr="00F81DE2">
              <w:rPr>
                <w:rFonts w:eastAsia="맑은 고딕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(%)</w:t>
            </w:r>
          </w:p>
        </w:tc>
        <w:tc>
          <w:tcPr>
            <w:tcW w:w="1794" w:type="dxa"/>
            <w:gridSpan w:val="2"/>
            <w:noWrap/>
            <w:vAlign w:val="center"/>
            <w:hideMark/>
          </w:tcPr>
          <w:p w14:paraId="4126CDEE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RMSEP</w:t>
            </w:r>
            <w:r w:rsidRPr="00F81DE2">
              <w:rPr>
                <w:rFonts w:eastAsia="맑은 고딕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(%)</w:t>
            </w:r>
          </w:p>
        </w:tc>
        <w:tc>
          <w:tcPr>
            <w:tcW w:w="1794" w:type="dxa"/>
            <w:gridSpan w:val="2"/>
            <w:vAlign w:val="center"/>
          </w:tcPr>
          <w:p w14:paraId="08B70A31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 w:hint="eastAsia"/>
                <w:color w:val="000000" w:themeColor="text1"/>
                <w:kern w:val="0"/>
                <w:sz w:val="18"/>
                <w:szCs w:val="18"/>
              </w:rPr>
              <w:t>MBEP</w:t>
            </w:r>
          </w:p>
        </w:tc>
      </w:tr>
      <w:tr w:rsidR="00674323" w:rsidRPr="00F81DE2" w14:paraId="745CB844" w14:textId="77777777" w:rsidTr="00F83462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vAlign w:val="center"/>
            <w:hideMark/>
          </w:tcPr>
          <w:p w14:paraId="5B456C86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VCD</w:t>
            </w:r>
          </w:p>
        </w:tc>
        <w:tc>
          <w:tcPr>
            <w:tcW w:w="897" w:type="dxa"/>
            <w:vAlign w:val="center"/>
          </w:tcPr>
          <w:p w14:paraId="1161390F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273</w:t>
            </w:r>
          </w:p>
        </w:tc>
        <w:tc>
          <w:tcPr>
            <w:tcW w:w="897" w:type="dxa"/>
            <w:vAlign w:val="center"/>
          </w:tcPr>
          <w:p w14:paraId="59D6A8E6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297</w:t>
            </w:r>
          </w:p>
        </w:tc>
        <w:tc>
          <w:tcPr>
            <w:tcW w:w="897" w:type="dxa"/>
            <w:noWrap/>
            <w:vAlign w:val="center"/>
            <w:hideMark/>
          </w:tcPr>
          <w:p w14:paraId="1B1A5F17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1+2+0</w:t>
            </w:r>
          </w:p>
        </w:tc>
        <w:tc>
          <w:tcPr>
            <w:tcW w:w="897" w:type="dxa"/>
            <w:vAlign w:val="center"/>
          </w:tcPr>
          <w:p w14:paraId="5DBEBF88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1+2+0</w:t>
            </w:r>
          </w:p>
        </w:tc>
        <w:tc>
          <w:tcPr>
            <w:tcW w:w="897" w:type="dxa"/>
            <w:noWrap/>
            <w:vAlign w:val="center"/>
            <w:hideMark/>
          </w:tcPr>
          <w:p w14:paraId="79C6BDDD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0.95</w:t>
            </w:r>
          </w:p>
        </w:tc>
        <w:tc>
          <w:tcPr>
            <w:tcW w:w="897" w:type="dxa"/>
            <w:vAlign w:val="center"/>
          </w:tcPr>
          <w:p w14:paraId="586EB1FB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0.95</w:t>
            </w:r>
          </w:p>
        </w:tc>
        <w:tc>
          <w:tcPr>
            <w:tcW w:w="897" w:type="dxa"/>
            <w:noWrap/>
            <w:vAlign w:val="center"/>
            <w:hideMark/>
          </w:tcPr>
          <w:p w14:paraId="29AEDD33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0.94</w:t>
            </w:r>
          </w:p>
        </w:tc>
        <w:tc>
          <w:tcPr>
            <w:tcW w:w="897" w:type="dxa"/>
            <w:vAlign w:val="center"/>
          </w:tcPr>
          <w:p w14:paraId="3468C066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0.94</w:t>
            </w:r>
          </w:p>
        </w:tc>
        <w:tc>
          <w:tcPr>
            <w:tcW w:w="897" w:type="dxa"/>
            <w:noWrap/>
            <w:vAlign w:val="center"/>
            <w:hideMark/>
          </w:tcPr>
          <w:p w14:paraId="31A9DED9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5.6</w:t>
            </w:r>
          </w:p>
        </w:tc>
        <w:tc>
          <w:tcPr>
            <w:tcW w:w="897" w:type="dxa"/>
            <w:vAlign w:val="center"/>
          </w:tcPr>
          <w:p w14:paraId="5CD703D8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5.9</w:t>
            </w:r>
          </w:p>
        </w:tc>
        <w:tc>
          <w:tcPr>
            <w:tcW w:w="897" w:type="dxa"/>
            <w:noWrap/>
            <w:vAlign w:val="center"/>
            <w:hideMark/>
          </w:tcPr>
          <w:p w14:paraId="3FBB6D94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6.6</w:t>
            </w:r>
          </w:p>
        </w:tc>
        <w:tc>
          <w:tcPr>
            <w:tcW w:w="897" w:type="dxa"/>
            <w:vAlign w:val="center"/>
          </w:tcPr>
          <w:p w14:paraId="1467A720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5.9</w:t>
            </w:r>
          </w:p>
        </w:tc>
        <w:tc>
          <w:tcPr>
            <w:tcW w:w="897" w:type="dxa"/>
            <w:vAlign w:val="center"/>
          </w:tcPr>
          <w:p w14:paraId="678340BA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-0.0245</w:t>
            </w:r>
          </w:p>
        </w:tc>
        <w:tc>
          <w:tcPr>
            <w:tcW w:w="897" w:type="dxa"/>
            <w:vAlign w:val="center"/>
          </w:tcPr>
          <w:p w14:paraId="31571210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 w:hint="eastAsia"/>
                <w:color w:val="000000" w:themeColor="text1"/>
                <w:kern w:val="0"/>
                <w:sz w:val="18"/>
                <w:szCs w:val="18"/>
              </w:rPr>
              <w:t>N/A</w:t>
            </w:r>
          </w:p>
        </w:tc>
      </w:tr>
      <w:tr w:rsidR="00674323" w:rsidRPr="00F81DE2" w14:paraId="57E1C0CA" w14:textId="77777777" w:rsidTr="00F83462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vAlign w:val="center"/>
            <w:hideMark/>
          </w:tcPr>
          <w:p w14:paraId="2415FB58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Viability</w:t>
            </w:r>
          </w:p>
        </w:tc>
        <w:tc>
          <w:tcPr>
            <w:tcW w:w="897" w:type="dxa"/>
            <w:vAlign w:val="center"/>
          </w:tcPr>
          <w:p w14:paraId="7A583582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273</w:t>
            </w:r>
          </w:p>
        </w:tc>
        <w:tc>
          <w:tcPr>
            <w:tcW w:w="897" w:type="dxa"/>
            <w:vAlign w:val="center"/>
          </w:tcPr>
          <w:p w14:paraId="2509B490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294</w:t>
            </w:r>
          </w:p>
        </w:tc>
        <w:tc>
          <w:tcPr>
            <w:tcW w:w="897" w:type="dxa"/>
            <w:noWrap/>
            <w:vAlign w:val="center"/>
            <w:hideMark/>
          </w:tcPr>
          <w:p w14:paraId="0060C75E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1+2+0</w:t>
            </w:r>
          </w:p>
        </w:tc>
        <w:tc>
          <w:tcPr>
            <w:tcW w:w="897" w:type="dxa"/>
            <w:vAlign w:val="center"/>
          </w:tcPr>
          <w:p w14:paraId="1BCD0677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1+3+0</w:t>
            </w:r>
          </w:p>
        </w:tc>
        <w:tc>
          <w:tcPr>
            <w:tcW w:w="897" w:type="dxa"/>
            <w:noWrap/>
            <w:vAlign w:val="center"/>
            <w:hideMark/>
          </w:tcPr>
          <w:p w14:paraId="237DC83E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0.75</w:t>
            </w:r>
          </w:p>
        </w:tc>
        <w:tc>
          <w:tcPr>
            <w:tcW w:w="897" w:type="dxa"/>
            <w:vAlign w:val="center"/>
          </w:tcPr>
          <w:p w14:paraId="2B77BF8D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0.80</w:t>
            </w:r>
          </w:p>
        </w:tc>
        <w:tc>
          <w:tcPr>
            <w:tcW w:w="897" w:type="dxa"/>
            <w:noWrap/>
            <w:vAlign w:val="center"/>
            <w:hideMark/>
          </w:tcPr>
          <w:p w14:paraId="2BFC5393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0.70</w:t>
            </w:r>
          </w:p>
        </w:tc>
        <w:tc>
          <w:tcPr>
            <w:tcW w:w="897" w:type="dxa"/>
            <w:vAlign w:val="center"/>
          </w:tcPr>
          <w:p w14:paraId="0A1EEF98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0.76</w:t>
            </w:r>
          </w:p>
        </w:tc>
        <w:tc>
          <w:tcPr>
            <w:tcW w:w="897" w:type="dxa"/>
            <w:noWrap/>
            <w:vAlign w:val="center"/>
            <w:hideMark/>
          </w:tcPr>
          <w:p w14:paraId="5FDA4EBE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6.6</w:t>
            </w:r>
          </w:p>
        </w:tc>
        <w:tc>
          <w:tcPr>
            <w:tcW w:w="897" w:type="dxa"/>
            <w:vAlign w:val="center"/>
          </w:tcPr>
          <w:p w14:paraId="550BB586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4.7</w:t>
            </w:r>
          </w:p>
        </w:tc>
        <w:tc>
          <w:tcPr>
            <w:tcW w:w="897" w:type="dxa"/>
            <w:noWrap/>
            <w:vAlign w:val="center"/>
            <w:hideMark/>
          </w:tcPr>
          <w:p w14:paraId="3D3FC21A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15.8</w:t>
            </w:r>
          </w:p>
        </w:tc>
        <w:tc>
          <w:tcPr>
            <w:tcW w:w="897" w:type="dxa"/>
            <w:vAlign w:val="center"/>
          </w:tcPr>
          <w:p w14:paraId="520632EA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4.4</w:t>
            </w:r>
          </w:p>
        </w:tc>
        <w:tc>
          <w:tcPr>
            <w:tcW w:w="897" w:type="dxa"/>
            <w:vAlign w:val="center"/>
          </w:tcPr>
          <w:p w14:paraId="52DC222F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-0.1330</w:t>
            </w:r>
          </w:p>
        </w:tc>
        <w:tc>
          <w:tcPr>
            <w:tcW w:w="897" w:type="dxa"/>
            <w:vAlign w:val="center"/>
          </w:tcPr>
          <w:p w14:paraId="6218437B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 w:hint="eastAsia"/>
                <w:color w:val="000000" w:themeColor="text1"/>
                <w:kern w:val="0"/>
                <w:sz w:val="18"/>
                <w:szCs w:val="18"/>
              </w:rPr>
              <w:t>N/A</w:t>
            </w:r>
          </w:p>
        </w:tc>
      </w:tr>
      <w:tr w:rsidR="00674323" w:rsidRPr="00F81DE2" w14:paraId="4E1BD0CB" w14:textId="77777777" w:rsidTr="00F83462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vAlign w:val="center"/>
            <w:hideMark/>
          </w:tcPr>
          <w:p w14:paraId="0AADEFEF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Glucose</w:t>
            </w:r>
          </w:p>
        </w:tc>
        <w:tc>
          <w:tcPr>
            <w:tcW w:w="897" w:type="dxa"/>
            <w:vAlign w:val="center"/>
          </w:tcPr>
          <w:p w14:paraId="4DDA628A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273</w:t>
            </w:r>
          </w:p>
        </w:tc>
        <w:tc>
          <w:tcPr>
            <w:tcW w:w="897" w:type="dxa"/>
            <w:vAlign w:val="center"/>
          </w:tcPr>
          <w:p w14:paraId="4E03233F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297</w:t>
            </w:r>
          </w:p>
        </w:tc>
        <w:tc>
          <w:tcPr>
            <w:tcW w:w="897" w:type="dxa"/>
            <w:noWrap/>
            <w:vAlign w:val="center"/>
            <w:hideMark/>
          </w:tcPr>
          <w:p w14:paraId="696BFCEE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1+2+0</w:t>
            </w:r>
          </w:p>
        </w:tc>
        <w:tc>
          <w:tcPr>
            <w:tcW w:w="897" w:type="dxa"/>
            <w:vAlign w:val="center"/>
          </w:tcPr>
          <w:p w14:paraId="6ED31684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1+3+0</w:t>
            </w:r>
          </w:p>
        </w:tc>
        <w:tc>
          <w:tcPr>
            <w:tcW w:w="897" w:type="dxa"/>
            <w:noWrap/>
            <w:vAlign w:val="center"/>
            <w:hideMark/>
          </w:tcPr>
          <w:p w14:paraId="3313C0E9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0.98</w:t>
            </w:r>
          </w:p>
        </w:tc>
        <w:tc>
          <w:tcPr>
            <w:tcW w:w="897" w:type="dxa"/>
            <w:vAlign w:val="center"/>
          </w:tcPr>
          <w:p w14:paraId="17DC8755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0.98</w:t>
            </w:r>
          </w:p>
        </w:tc>
        <w:tc>
          <w:tcPr>
            <w:tcW w:w="897" w:type="dxa"/>
            <w:noWrap/>
            <w:vAlign w:val="center"/>
            <w:hideMark/>
          </w:tcPr>
          <w:p w14:paraId="024095CF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0.98</w:t>
            </w:r>
          </w:p>
        </w:tc>
        <w:tc>
          <w:tcPr>
            <w:tcW w:w="897" w:type="dxa"/>
            <w:vAlign w:val="center"/>
          </w:tcPr>
          <w:p w14:paraId="02BFD615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0.97</w:t>
            </w:r>
          </w:p>
        </w:tc>
        <w:tc>
          <w:tcPr>
            <w:tcW w:w="897" w:type="dxa"/>
            <w:noWrap/>
            <w:vAlign w:val="center"/>
            <w:hideMark/>
          </w:tcPr>
          <w:p w14:paraId="148499BC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4.0</w:t>
            </w:r>
          </w:p>
        </w:tc>
        <w:tc>
          <w:tcPr>
            <w:tcW w:w="897" w:type="dxa"/>
            <w:vAlign w:val="center"/>
          </w:tcPr>
          <w:p w14:paraId="3E0A6AF4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4.2</w:t>
            </w:r>
          </w:p>
        </w:tc>
        <w:tc>
          <w:tcPr>
            <w:tcW w:w="897" w:type="dxa"/>
            <w:noWrap/>
            <w:vAlign w:val="center"/>
            <w:hideMark/>
          </w:tcPr>
          <w:p w14:paraId="30B5E48F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5.3</w:t>
            </w:r>
          </w:p>
        </w:tc>
        <w:tc>
          <w:tcPr>
            <w:tcW w:w="897" w:type="dxa"/>
            <w:vAlign w:val="center"/>
          </w:tcPr>
          <w:p w14:paraId="4D0E0203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4.9</w:t>
            </w:r>
          </w:p>
        </w:tc>
        <w:tc>
          <w:tcPr>
            <w:tcW w:w="897" w:type="dxa"/>
            <w:vAlign w:val="center"/>
          </w:tcPr>
          <w:p w14:paraId="2D70128B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0.0292</w:t>
            </w:r>
          </w:p>
        </w:tc>
        <w:tc>
          <w:tcPr>
            <w:tcW w:w="897" w:type="dxa"/>
            <w:vAlign w:val="center"/>
          </w:tcPr>
          <w:p w14:paraId="3F843616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0.0301</w:t>
            </w:r>
          </w:p>
        </w:tc>
      </w:tr>
      <w:tr w:rsidR="00674323" w:rsidRPr="00F81DE2" w14:paraId="2F00A4C8" w14:textId="77777777" w:rsidTr="00F83462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vAlign w:val="center"/>
            <w:hideMark/>
          </w:tcPr>
          <w:p w14:paraId="1C25DDAE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Lactate</w:t>
            </w:r>
          </w:p>
        </w:tc>
        <w:tc>
          <w:tcPr>
            <w:tcW w:w="897" w:type="dxa"/>
            <w:vAlign w:val="center"/>
          </w:tcPr>
          <w:p w14:paraId="73B61F32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273</w:t>
            </w:r>
          </w:p>
        </w:tc>
        <w:tc>
          <w:tcPr>
            <w:tcW w:w="897" w:type="dxa"/>
            <w:vAlign w:val="center"/>
          </w:tcPr>
          <w:p w14:paraId="2CD7A9D7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297</w:t>
            </w:r>
          </w:p>
        </w:tc>
        <w:tc>
          <w:tcPr>
            <w:tcW w:w="897" w:type="dxa"/>
            <w:noWrap/>
            <w:vAlign w:val="center"/>
            <w:hideMark/>
          </w:tcPr>
          <w:p w14:paraId="689B6D80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1+2+0</w:t>
            </w:r>
          </w:p>
        </w:tc>
        <w:tc>
          <w:tcPr>
            <w:tcW w:w="897" w:type="dxa"/>
            <w:vAlign w:val="center"/>
          </w:tcPr>
          <w:p w14:paraId="2DC4C3E2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1+3+0</w:t>
            </w:r>
          </w:p>
        </w:tc>
        <w:tc>
          <w:tcPr>
            <w:tcW w:w="897" w:type="dxa"/>
            <w:noWrap/>
            <w:vAlign w:val="center"/>
            <w:hideMark/>
          </w:tcPr>
          <w:p w14:paraId="709B7CA8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0.98</w:t>
            </w:r>
          </w:p>
        </w:tc>
        <w:tc>
          <w:tcPr>
            <w:tcW w:w="897" w:type="dxa"/>
            <w:vAlign w:val="center"/>
          </w:tcPr>
          <w:p w14:paraId="180A24C8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0.98</w:t>
            </w:r>
          </w:p>
        </w:tc>
        <w:tc>
          <w:tcPr>
            <w:tcW w:w="897" w:type="dxa"/>
            <w:noWrap/>
            <w:vAlign w:val="center"/>
            <w:hideMark/>
          </w:tcPr>
          <w:p w14:paraId="5831C7EC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0.97</w:t>
            </w:r>
          </w:p>
        </w:tc>
        <w:tc>
          <w:tcPr>
            <w:tcW w:w="897" w:type="dxa"/>
            <w:vAlign w:val="center"/>
          </w:tcPr>
          <w:p w14:paraId="08CF9C94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0.97</w:t>
            </w:r>
          </w:p>
        </w:tc>
        <w:tc>
          <w:tcPr>
            <w:tcW w:w="897" w:type="dxa"/>
            <w:noWrap/>
            <w:vAlign w:val="center"/>
            <w:hideMark/>
          </w:tcPr>
          <w:p w14:paraId="1FB68633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3.4</w:t>
            </w:r>
          </w:p>
        </w:tc>
        <w:tc>
          <w:tcPr>
            <w:tcW w:w="897" w:type="dxa"/>
            <w:vAlign w:val="center"/>
          </w:tcPr>
          <w:p w14:paraId="3847215A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3.9</w:t>
            </w:r>
          </w:p>
        </w:tc>
        <w:tc>
          <w:tcPr>
            <w:tcW w:w="897" w:type="dxa"/>
            <w:noWrap/>
            <w:vAlign w:val="center"/>
            <w:hideMark/>
          </w:tcPr>
          <w:p w14:paraId="1BD756D5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6.4</w:t>
            </w:r>
          </w:p>
        </w:tc>
        <w:tc>
          <w:tcPr>
            <w:tcW w:w="897" w:type="dxa"/>
            <w:vAlign w:val="center"/>
          </w:tcPr>
          <w:p w14:paraId="2F2AFAC1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5.0</w:t>
            </w:r>
          </w:p>
        </w:tc>
        <w:tc>
          <w:tcPr>
            <w:tcW w:w="897" w:type="dxa"/>
            <w:vAlign w:val="center"/>
          </w:tcPr>
          <w:p w14:paraId="1EE27BA2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-0.0001</w:t>
            </w:r>
          </w:p>
        </w:tc>
        <w:tc>
          <w:tcPr>
            <w:tcW w:w="897" w:type="dxa"/>
            <w:vAlign w:val="center"/>
          </w:tcPr>
          <w:p w14:paraId="71ADAE32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0.0169</w:t>
            </w:r>
          </w:p>
        </w:tc>
      </w:tr>
      <w:tr w:rsidR="00674323" w:rsidRPr="00F81DE2" w14:paraId="0836C435" w14:textId="77777777" w:rsidTr="00F83462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vAlign w:val="center"/>
            <w:hideMark/>
          </w:tcPr>
          <w:p w14:paraId="46BE66CB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Glutamine</w:t>
            </w:r>
          </w:p>
        </w:tc>
        <w:tc>
          <w:tcPr>
            <w:tcW w:w="897" w:type="dxa"/>
            <w:vAlign w:val="center"/>
          </w:tcPr>
          <w:p w14:paraId="117A674B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273</w:t>
            </w:r>
          </w:p>
        </w:tc>
        <w:tc>
          <w:tcPr>
            <w:tcW w:w="897" w:type="dxa"/>
            <w:vAlign w:val="center"/>
          </w:tcPr>
          <w:p w14:paraId="1FD97127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297</w:t>
            </w:r>
          </w:p>
        </w:tc>
        <w:tc>
          <w:tcPr>
            <w:tcW w:w="897" w:type="dxa"/>
            <w:noWrap/>
            <w:vAlign w:val="center"/>
            <w:hideMark/>
          </w:tcPr>
          <w:p w14:paraId="73D6B4E4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1+4+0</w:t>
            </w:r>
          </w:p>
        </w:tc>
        <w:tc>
          <w:tcPr>
            <w:tcW w:w="897" w:type="dxa"/>
            <w:vAlign w:val="center"/>
          </w:tcPr>
          <w:p w14:paraId="0EE672DC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1+5+0</w:t>
            </w:r>
          </w:p>
        </w:tc>
        <w:tc>
          <w:tcPr>
            <w:tcW w:w="897" w:type="dxa"/>
            <w:noWrap/>
            <w:vAlign w:val="center"/>
            <w:hideMark/>
          </w:tcPr>
          <w:p w14:paraId="39D12848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0.92</w:t>
            </w:r>
          </w:p>
        </w:tc>
        <w:tc>
          <w:tcPr>
            <w:tcW w:w="897" w:type="dxa"/>
            <w:vAlign w:val="center"/>
          </w:tcPr>
          <w:p w14:paraId="28031B23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0.97</w:t>
            </w:r>
          </w:p>
        </w:tc>
        <w:tc>
          <w:tcPr>
            <w:tcW w:w="897" w:type="dxa"/>
            <w:noWrap/>
            <w:vAlign w:val="center"/>
            <w:hideMark/>
          </w:tcPr>
          <w:p w14:paraId="1A34E469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0.86</w:t>
            </w:r>
          </w:p>
        </w:tc>
        <w:tc>
          <w:tcPr>
            <w:tcW w:w="897" w:type="dxa"/>
            <w:vAlign w:val="center"/>
          </w:tcPr>
          <w:p w14:paraId="7A2B49B0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0.95</w:t>
            </w:r>
          </w:p>
        </w:tc>
        <w:tc>
          <w:tcPr>
            <w:tcW w:w="897" w:type="dxa"/>
            <w:noWrap/>
            <w:vAlign w:val="center"/>
            <w:hideMark/>
          </w:tcPr>
          <w:p w14:paraId="69B6D1F5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8.1</w:t>
            </w:r>
          </w:p>
        </w:tc>
        <w:tc>
          <w:tcPr>
            <w:tcW w:w="897" w:type="dxa"/>
            <w:vAlign w:val="center"/>
          </w:tcPr>
          <w:p w14:paraId="25A188EF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4.5</w:t>
            </w:r>
          </w:p>
        </w:tc>
        <w:tc>
          <w:tcPr>
            <w:tcW w:w="897" w:type="dxa"/>
            <w:noWrap/>
            <w:vAlign w:val="center"/>
            <w:hideMark/>
          </w:tcPr>
          <w:p w14:paraId="410F0600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18.0</w:t>
            </w:r>
          </w:p>
        </w:tc>
        <w:tc>
          <w:tcPr>
            <w:tcW w:w="897" w:type="dxa"/>
            <w:vAlign w:val="center"/>
          </w:tcPr>
          <w:p w14:paraId="78660B48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7.9</w:t>
            </w:r>
          </w:p>
        </w:tc>
        <w:tc>
          <w:tcPr>
            <w:tcW w:w="897" w:type="dxa"/>
            <w:vAlign w:val="center"/>
          </w:tcPr>
          <w:p w14:paraId="7DCBCED3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-0.1618</w:t>
            </w:r>
          </w:p>
        </w:tc>
        <w:tc>
          <w:tcPr>
            <w:tcW w:w="897" w:type="dxa"/>
            <w:vAlign w:val="center"/>
          </w:tcPr>
          <w:p w14:paraId="0ECA76A8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 w:hint="eastAsia"/>
                <w:color w:val="000000" w:themeColor="text1"/>
                <w:kern w:val="0"/>
                <w:sz w:val="18"/>
                <w:szCs w:val="18"/>
              </w:rPr>
              <w:t>N/A</w:t>
            </w:r>
          </w:p>
        </w:tc>
      </w:tr>
      <w:tr w:rsidR="00674323" w:rsidRPr="00F81DE2" w14:paraId="54FB610C" w14:textId="77777777" w:rsidTr="00F83462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vAlign w:val="center"/>
            <w:hideMark/>
          </w:tcPr>
          <w:p w14:paraId="3811C912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Glutamate</w:t>
            </w:r>
          </w:p>
        </w:tc>
        <w:tc>
          <w:tcPr>
            <w:tcW w:w="897" w:type="dxa"/>
            <w:vAlign w:val="center"/>
          </w:tcPr>
          <w:p w14:paraId="1D5B8AA3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273</w:t>
            </w:r>
          </w:p>
        </w:tc>
        <w:tc>
          <w:tcPr>
            <w:tcW w:w="897" w:type="dxa"/>
            <w:vAlign w:val="center"/>
          </w:tcPr>
          <w:p w14:paraId="5BE2538C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297</w:t>
            </w:r>
          </w:p>
        </w:tc>
        <w:tc>
          <w:tcPr>
            <w:tcW w:w="897" w:type="dxa"/>
            <w:noWrap/>
            <w:vAlign w:val="center"/>
            <w:hideMark/>
          </w:tcPr>
          <w:p w14:paraId="14AC14E1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1+3+0</w:t>
            </w:r>
          </w:p>
        </w:tc>
        <w:tc>
          <w:tcPr>
            <w:tcW w:w="897" w:type="dxa"/>
            <w:vAlign w:val="center"/>
          </w:tcPr>
          <w:p w14:paraId="28A9A83F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1+4+0</w:t>
            </w:r>
          </w:p>
        </w:tc>
        <w:tc>
          <w:tcPr>
            <w:tcW w:w="897" w:type="dxa"/>
            <w:noWrap/>
            <w:vAlign w:val="center"/>
            <w:hideMark/>
          </w:tcPr>
          <w:p w14:paraId="0FA84EAF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0.97</w:t>
            </w:r>
          </w:p>
        </w:tc>
        <w:tc>
          <w:tcPr>
            <w:tcW w:w="897" w:type="dxa"/>
            <w:vAlign w:val="center"/>
          </w:tcPr>
          <w:p w14:paraId="46DF423A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0.97</w:t>
            </w:r>
          </w:p>
        </w:tc>
        <w:tc>
          <w:tcPr>
            <w:tcW w:w="897" w:type="dxa"/>
            <w:noWrap/>
            <w:vAlign w:val="center"/>
            <w:hideMark/>
          </w:tcPr>
          <w:p w14:paraId="7DFC7CD0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0.96</w:t>
            </w:r>
          </w:p>
        </w:tc>
        <w:tc>
          <w:tcPr>
            <w:tcW w:w="897" w:type="dxa"/>
            <w:vAlign w:val="center"/>
          </w:tcPr>
          <w:p w14:paraId="5A4D3E48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0.95</w:t>
            </w:r>
          </w:p>
        </w:tc>
        <w:tc>
          <w:tcPr>
            <w:tcW w:w="897" w:type="dxa"/>
            <w:noWrap/>
            <w:vAlign w:val="center"/>
            <w:hideMark/>
          </w:tcPr>
          <w:p w14:paraId="605B40C6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4.3</w:t>
            </w:r>
          </w:p>
        </w:tc>
        <w:tc>
          <w:tcPr>
            <w:tcW w:w="897" w:type="dxa"/>
            <w:vAlign w:val="center"/>
          </w:tcPr>
          <w:p w14:paraId="27D0C5FF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4.5</w:t>
            </w:r>
          </w:p>
        </w:tc>
        <w:tc>
          <w:tcPr>
            <w:tcW w:w="897" w:type="dxa"/>
            <w:noWrap/>
            <w:vAlign w:val="center"/>
            <w:hideMark/>
          </w:tcPr>
          <w:p w14:paraId="0F4887DB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13.5</w:t>
            </w:r>
          </w:p>
        </w:tc>
        <w:tc>
          <w:tcPr>
            <w:tcW w:w="897" w:type="dxa"/>
            <w:vAlign w:val="center"/>
          </w:tcPr>
          <w:p w14:paraId="6C908338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8.4</w:t>
            </w:r>
          </w:p>
        </w:tc>
        <w:tc>
          <w:tcPr>
            <w:tcW w:w="897" w:type="dxa"/>
            <w:vAlign w:val="center"/>
          </w:tcPr>
          <w:p w14:paraId="7F06F10D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0.1160</w:t>
            </w:r>
          </w:p>
        </w:tc>
        <w:tc>
          <w:tcPr>
            <w:tcW w:w="897" w:type="dxa"/>
            <w:vAlign w:val="center"/>
          </w:tcPr>
          <w:p w14:paraId="485A8DB6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-0.0612</w:t>
            </w:r>
          </w:p>
        </w:tc>
      </w:tr>
      <w:tr w:rsidR="00674323" w:rsidRPr="00F81DE2" w14:paraId="1A8A88F6" w14:textId="77777777" w:rsidTr="00F83462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vAlign w:val="center"/>
            <w:hideMark/>
          </w:tcPr>
          <w:p w14:paraId="4AC6F2B5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Ammonia</w:t>
            </w:r>
          </w:p>
        </w:tc>
        <w:tc>
          <w:tcPr>
            <w:tcW w:w="897" w:type="dxa"/>
            <w:vAlign w:val="center"/>
          </w:tcPr>
          <w:p w14:paraId="4D59F26E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273</w:t>
            </w:r>
          </w:p>
        </w:tc>
        <w:tc>
          <w:tcPr>
            <w:tcW w:w="897" w:type="dxa"/>
            <w:vAlign w:val="center"/>
          </w:tcPr>
          <w:p w14:paraId="0EB6364A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297</w:t>
            </w:r>
          </w:p>
        </w:tc>
        <w:tc>
          <w:tcPr>
            <w:tcW w:w="897" w:type="dxa"/>
            <w:noWrap/>
            <w:vAlign w:val="center"/>
            <w:hideMark/>
          </w:tcPr>
          <w:p w14:paraId="7F4D5D91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1+3+0</w:t>
            </w:r>
          </w:p>
        </w:tc>
        <w:tc>
          <w:tcPr>
            <w:tcW w:w="897" w:type="dxa"/>
            <w:vAlign w:val="center"/>
          </w:tcPr>
          <w:p w14:paraId="560B75B7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1+4+0</w:t>
            </w:r>
          </w:p>
        </w:tc>
        <w:tc>
          <w:tcPr>
            <w:tcW w:w="897" w:type="dxa"/>
            <w:noWrap/>
            <w:vAlign w:val="center"/>
            <w:hideMark/>
          </w:tcPr>
          <w:p w14:paraId="10AFD901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0.96</w:t>
            </w:r>
          </w:p>
        </w:tc>
        <w:tc>
          <w:tcPr>
            <w:tcW w:w="897" w:type="dxa"/>
            <w:vAlign w:val="center"/>
          </w:tcPr>
          <w:p w14:paraId="4524C7F1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0.96</w:t>
            </w:r>
          </w:p>
        </w:tc>
        <w:tc>
          <w:tcPr>
            <w:tcW w:w="897" w:type="dxa"/>
            <w:noWrap/>
            <w:vAlign w:val="center"/>
            <w:hideMark/>
          </w:tcPr>
          <w:p w14:paraId="2F173474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0.95</w:t>
            </w:r>
          </w:p>
        </w:tc>
        <w:tc>
          <w:tcPr>
            <w:tcW w:w="897" w:type="dxa"/>
            <w:vAlign w:val="center"/>
          </w:tcPr>
          <w:p w14:paraId="2844200E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0.95</w:t>
            </w:r>
          </w:p>
        </w:tc>
        <w:tc>
          <w:tcPr>
            <w:tcW w:w="897" w:type="dxa"/>
            <w:noWrap/>
            <w:vAlign w:val="center"/>
            <w:hideMark/>
          </w:tcPr>
          <w:p w14:paraId="588E91BA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6.0</w:t>
            </w:r>
          </w:p>
        </w:tc>
        <w:tc>
          <w:tcPr>
            <w:tcW w:w="897" w:type="dxa"/>
            <w:vAlign w:val="center"/>
          </w:tcPr>
          <w:p w14:paraId="707961D6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6.1</w:t>
            </w:r>
          </w:p>
        </w:tc>
        <w:tc>
          <w:tcPr>
            <w:tcW w:w="897" w:type="dxa"/>
            <w:noWrap/>
            <w:vAlign w:val="center"/>
            <w:hideMark/>
          </w:tcPr>
          <w:p w14:paraId="7BAB43B4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10.7</w:t>
            </w:r>
          </w:p>
        </w:tc>
        <w:tc>
          <w:tcPr>
            <w:tcW w:w="897" w:type="dxa"/>
            <w:vAlign w:val="center"/>
          </w:tcPr>
          <w:p w14:paraId="74513F0F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8.9</w:t>
            </w:r>
          </w:p>
        </w:tc>
        <w:tc>
          <w:tcPr>
            <w:tcW w:w="897" w:type="dxa"/>
            <w:vAlign w:val="center"/>
          </w:tcPr>
          <w:p w14:paraId="6BED073A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-0.0698</w:t>
            </w:r>
          </w:p>
        </w:tc>
        <w:tc>
          <w:tcPr>
            <w:tcW w:w="897" w:type="dxa"/>
            <w:vAlign w:val="center"/>
          </w:tcPr>
          <w:p w14:paraId="7F3B21BF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-0.0407</w:t>
            </w:r>
          </w:p>
        </w:tc>
      </w:tr>
      <w:tr w:rsidR="00674323" w:rsidRPr="00F81DE2" w14:paraId="0A2F1414" w14:textId="77777777" w:rsidTr="00F83462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vAlign w:val="center"/>
            <w:hideMark/>
          </w:tcPr>
          <w:p w14:paraId="4FB5007C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LDH</w:t>
            </w:r>
          </w:p>
        </w:tc>
        <w:tc>
          <w:tcPr>
            <w:tcW w:w="897" w:type="dxa"/>
            <w:vAlign w:val="center"/>
          </w:tcPr>
          <w:p w14:paraId="6DE07AF2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218</w:t>
            </w:r>
          </w:p>
        </w:tc>
        <w:tc>
          <w:tcPr>
            <w:tcW w:w="897" w:type="dxa"/>
            <w:vAlign w:val="center"/>
          </w:tcPr>
          <w:p w14:paraId="57D99750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235</w:t>
            </w:r>
          </w:p>
        </w:tc>
        <w:tc>
          <w:tcPr>
            <w:tcW w:w="897" w:type="dxa"/>
            <w:noWrap/>
            <w:vAlign w:val="center"/>
            <w:hideMark/>
          </w:tcPr>
          <w:p w14:paraId="518ECC93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1+2+0</w:t>
            </w:r>
          </w:p>
        </w:tc>
        <w:tc>
          <w:tcPr>
            <w:tcW w:w="897" w:type="dxa"/>
            <w:vAlign w:val="center"/>
          </w:tcPr>
          <w:p w14:paraId="6E4B0E8C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1+2+0</w:t>
            </w:r>
          </w:p>
        </w:tc>
        <w:tc>
          <w:tcPr>
            <w:tcW w:w="897" w:type="dxa"/>
            <w:noWrap/>
            <w:vAlign w:val="center"/>
            <w:hideMark/>
          </w:tcPr>
          <w:p w14:paraId="507A0752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0.91</w:t>
            </w:r>
          </w:p>
        </w:tc>
        <w:tc>
          <w:tcPr>
            <w:tcW w:w="897" w:type="dxa"/>
            <w:vAlign w:val="center"/>
          </w:tcPr>
          <w:p w14:paraId="7477B55E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0.91</w:t>
            </w:r>
          </w:p>
        </w:tc>
        <w:tc>
          <w:tcPr>
            <w:tcW w:w="897" w:type="dxa"/>
            <w:noWrap/>
            <w:vAlign w:val="center"/>
            <w:hideMark/>
          </w:tcPr>
          <w:p w14:paraId="2F75DC86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0.89</w:t>
            </w:r>
          </w:p>
        </w:tc>
        <w:tc>
          <w:tcPr>
            <w:tcW w:w="897" w:type="dxa"/>
            <w:vAlign w:val="center"/>
          </w:tcPr>
          <w:p w14:paraId="5799C071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0.90</w:t>
            </w:r>
          </w:p>
        </w:tc>
        <w:tc>
          <w:tcPr>
            <w:tcW w:w="897" w:type="dxa"/>
            <w:noWrap/>
            <w:vAlign w:val="center"/>
            <w:hideMark/>
          </w:tcPr>
          <w:p w14:paraId="40789EFE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5.9</w:t>
            </w:r>
          </w:p>
        </w:tc>
        <w:tc>
          <w:tcPr>
            <w:tcW w:w="897" w:type="dxa"/>
            <w:vAlign w:val="center"/>
          </w:tcPr>
          <w:p w14:paraId="6E785E59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5.4</w:t>
            </w:r>
          </w:p>
        </w:tc>
        <w:tc>
          <w:tcPr>
            <w:tcW w:w="897" w:type="dxa"/>
            <w:noWrap/>
            <w:vAlign w:val="center"/>
            <w:hideMark/>
          </w:tcPr>
          <w:p w14:paraId="1AC861A3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  <w:t>10.7</w:t>
            </w:r>
          </w:p>
        </w:tc>
        <w:tc>
          <w:tcPr>
            <w:tcW w:w="897" w:type="dxa"/>
            <w:vAlign w:val="center"/>
          </w:tcPr>
          <w:p w14:paraId="145673DF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5.8</w:t>
            </w:r>
          </w:p>
        </w:tc>
        <w:tc>
          <w:tcPr>
            <w:tcW w:w="897" w:type="dxa"/>
            <w:vAlign w:val="center"/>
          </w:tcPr>
          <w:p w14:paraId="53A7FAB1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0.0882</w:t>
            </w:r>
          </w:p>
        </w:tc>
        <w:tc>
          <w:tcPr>
            <w:tcW w:w="897" w:type="dxa"/>
            <w:vAlign w:val="center"/>
          </w:tcPr>
          <w:p w14:paraId="6E49397B" w14:textId="77777777" w:rsidR="00674323" w:rsidRPr="00F81DE2" w:rsidRDefault="00674323" w:rsidP="00884AC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 w:themeColor="text1"/>
                <w:kern w:val="0"/>
                <w:sz w:val="18"/>
                <w:szCs w:val="18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 w:val="20"/>
                <w:szCs w:val="20"/>
              </w:rPr>
              <w:t>-0.0381</w:t>
            </w:r>
          </w:p>
        </w:tc>
      </w:tr>
    </w:tbl>
    <w:p w14:paraId="46A50E46" w14:textId="77777777" w:rsidR="00674323" w:rsidRPr="00F81DE2" w:rsidRDefault="00674323" w:rsidP="00674323">
      <w:pPr>
        <w:spacing w:line="480" w:lineRule="auto"/>
        <w:rPr>
          <w:color w:val="000000" w:themeColor="text1"/>
        </w:rPr>
      </w:pPr>
    </w:p>
    <w:p w14:paraId="7D094B8B" w14:textId="77777777" w:rsidR="0027312F" w:rsidRPr="00F81DE2" w:rsidRDefault="0027312F" w:rsidP="008F1F95">
      <w:pPr>
        <w:spacing w:line="480" w:lineRule="auto"/>
        <w:jc w:val="both"/>
        <w:rPr>
          <w:rFonts w:cstheme="minorHAnsi"/>
          <w:b/>
          <w:bCs/>
          <w:color w:val="000000" w:themeColor="text1"/>
        </w:rPr>
      </w:pPr>
    </w:p>
    <w:p w14:paraId="7F3501A3" w14:textId="77777777" w:rsidR="0027312F" w:rsidRPr="00F81DE2" w:rsidRDefault="0027312F" w:rsidP="008F1F95">
      <w:pPr>
        <w:spacing w:line="480" w:lineRule="auto"/>
        <w:jc w:val="both"/>
        <w:rPr>
          <w:rFonts w:cstheme="minorHAnsi"/>
          <w:b/>
          <w:bCs/>
          <w:color w:val="000000" w:themeColor="text1"/>
        </w:rPr>
      </w:pPr>
    </w:p>
    <w:p w14:paraId="09EC5EB8" w14:textId="4409FBCC" w:rsidR="008E0A87" w:rsidRPr="00F81DE2" w:rsidRDefault="008E0A87" w:rsidP="008E0A87">
      <w:pPr>
        <w:spacing w:line="480" w:lineRule="auto"/>
        <w:jc w:val="both"/>
        <w:rPr>
          <w:color w:val="000000" w:themeColor="text1"/>
        </w:rPr>
      </w:pPr>
      <w:bookmarkStart w:id="0" w:name="_Hlk233129198"/>
      <w:r w:rsidRPr="00F81DE2">
        <w:rPr>
          <w:b/>
          <w:bCs/>
          <w:color w:val="000000" w:themeColor="text1"/>
        </w:rPr>
        <w:lastRenderedPageBreak/>
        <w:t>Suppl</w:t>
      </w:r>
      <w:r w:rsidRPr="00F81DE2">
        <w:rPr>
          <w:rFonts w:hint="eastAsia"/>
          <w:b/>
          <w:bCs/>
          <w:color w:val="000000" w:themeColor="text1"/>
        </w:rPr>
        <w:t>.</w:t>
      </w:r>
      <w:r w:rsidRPr="00F81DE2">
        <w:rPr>
          <w:b/>
          <w:bCs/>
          <w:color w:val="000000" w:themeColor="text1"/>
        </w:rPr>
        <w:t xml:space="preserve"> Table </w:t>
      </w:r>
      <w:r w:rsidR="00DA077C">
        <w:rPr>
          <w:rFonts w:hint="eastAsia"/>
          <w:b/>
          <w:bCs/>
          <w:color w:val="000000" w:themeColor="text1"/>
        </w:rPr>
        <w:t>3</w:t>
      </w:r>
      <w:r w:rsidRPr="00F81DE2">
        <w:rPr>
          <w:b/>
          <w:bCs/>
          <w:color w:val="000000" w:themeColor="text1"/>
        </w:rPr>
        <w:t xml:space="preserve">. Comparison of 7-fold and leave-one-group-out (LOGO) cross-validation performance for four representative Ambr® 250 single-scale calibration models. </w:t>
      </w:r>
      <w:r w:rsidRPr="00F81DE2">
        <w:rPr>
          <w:color w:val="000000" w:themeColor="text1"/>
        </w:rPr>
        <w:t xml:space="preserve">Q² and </w:t>
      </w:r>
      <w:proofErr w:type="spellStart"/>
      <w:r w:rsidRPr="00F81DE2">
        <w:rPr>
          <w:color w:val="000000" w:themeColor="text1"/>
        </w:rPr>
        <w:t>RMSE</w:t>
      </w:r>
      <w:r w:rsidR="006B6A9C" w:rsidRPr="00F81DE2">
        <w:rPr>
          <w:rFonts w:hint="eastAsia"/>
          <w:color w:val="000000" w:themeColor="text1"/>
        </w:rPr>
        <w:t>cv</w:t>
      </w:r>
      <w:proofErr w:type="spellEnd"/>
      <w:r w:rsidRPr="00F81DE2">
        <w:rPr>
          <w:color w:val="000000" w:themeColor="text1"/>
        </w:rPr>
        <w:t xml:space="preserve"> (%) values are shown for VCD, glucose, lactate, and glutamate using the standard and optimized preprocessing pipelines. LOGO cross-validation was performed using the 23 Ambr® 250 culture batches as groups to assess whether internal validation performance for these representative target outputs was substantially affected by within-batch correlations in the time-course calibration dataset.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342"/>
        <w:gridCol w:w="1343"/>
        <w:gridCol w:w="1363"/>
        <w:gridCol w:w="1359"/>
        <w:gridCol w:w="1376"/>
        <w:gridCol w:w="9"/>
        <w:gridCol w:w="1368"/>
        <w:gridCol w:w="1372"/>
        <w:gridCol w:w="8"/>
        <w:gridCol w:w="1365"/>
        <w:gridCol w:w="1403"/>
        <w:gridCol w:w="1379"/>
      </w:tblGrid>
      <w:tr w:rsidR="00F81DE2" w:rsidRPr="00F81DE2" w14:paraId="46FD439A" w14:textId="6470E95D" w:rsidTr="00682CB9">
        <w:trPr>
          <w:trHeight w:val="489"/>
        </w:trPr>
        <w:tc>
          <w:tcPr>
            <w:tcW w:w="1342" w:type="dxa"/>
            <w:vMerge w:val="restart"/>
            <w:vAlign w:val="center"/>
          </w:tcPr>
          <w:p w14:paraId="68394ECC" w14:textId="545C42BE" w:rsidR="00682CB9" w:rsidRPr="00F81DE2" w:rsidRDefault="002413FC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cs="Times New Roman" w:hint="eastAsia"/>
                <w:color w:val="000000" w:themeColor="text1"/>
              </w:rPr>
              <w:t>M</w:t>
            </w:r>
            <w:r w:rsidR="00087406" w:rsidRPr="00F81DE2">
              <w:rPr>
                <w:rFonts w:cs="Times New Roman"/>
                <w:color w:val="000000" w:themeColor="text1"/>
              </w:rPr>
              <w:t>etrics</w:t>
            </w:r>
          </w:p>
        </w:tc>
        <w:tc>
          <w:tcPr>
            <w:tcW w:w="1343" w:type="dxa"/>
            <w:vMerge w:val="restart"/>
            <w:vAlign w:val="center"/>
          </w:tcPr>
          <w:p w14:paraId="202A283A" w14:textId="7538FE77" w:rsidR="00682CB9" w:rsidRPr="00F81DE2" w:rsidRDefault="00682CB9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Model</w:t>
            </w:r>
          </w:p>
        </w:tc>
        <w:tc>
          <w:tcPr>
            <w:tcW w:w="2722" w:type="dxa"/>
            <w:gridSpan w:val="2"/>
            <w:vAlign w:val="center"/>
          </w:tcPr>
          <w:p w14:paraId="58633CE4" w14:textId="570F21E5" w:rsidR="00682CB9" w:rsidRPr="00F81DE2" w:rsidRDefault="00682CB9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VCD</w:t>
            </w:r>
          </w:p>
        </w:tc>
        <w:tc>
          <w:tcPr>
            <w:tcW w:w="2753" w:type="dxa"/>
            <w:gridSpan w:val="3"/>
            <w:vAlign w:val="center"/>
          </w:tcPr>
          <w:p w14:paraId="64E06C95" w14:textId="37ADB47E" w:rsidR="00682CB9" w:rsidRPr="00F81DE2" w:rsidRDefault="00682CB9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Glucose</w:t>
            </w:r>
          </w:p>
        </w:tc>
        <w:tc>
          <w:tcPr>
            <w:tcW w:w="2745" w:type="dxa"/>
            <w:gridSpan w:val="3"/>
            <w:vAlign w:val="center"/>
          </w:tcPr>
          <w:p w14:paraId="29C007F0" w14:textId="1FAB0E75" w:rsidR="00682CB9" w:rsidRPr="00F81DE2" w:rsidRDefault="00682CB9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Lactate</w:t>
            </w:r>
          </w:p>
        </w:tc>
        <w:tc>
          <w:tcPr>
            <w:tcW w:w="2782" w:type="dxa"/>
            <w:gridSpan w:val="2"/>
            <w:vAlign w:val="center"/>
          </w:tcPr>
          <w:p w14:paraId="7DDD5C3B" w14:textId="4FE76D88" w:rsidR="00682CB9" w:rsidRPr="00F81DE2" w:rsidRDefault="00682CB9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Glutamate</w:t>
            </w:r>
          </w:p>
        </w:tc>
      </w:tr>
      <w:tr w:rsidR="00F81DE2" w:rsidRPr="00F81DE2" w14:paraId="19CE1AFE" w14:textId="77777777" w:rsidTr="00682CB9">
        <w:trPr>
          <w:trHeight w:val="489"/>
        </w:trPr>
        <w:tc>
          <w:tcPr>
            <w:tcW w:w="1342" w:type="dxa"/>
            <w:vMerge/>
            <w:vAlign w:val="center"/>
          </w:tcPr>
          <w:p w14:paraId="6EF770AF" w14:textId="77777777" w:rsidR="00682CB9" w:rsidRPr="00F81DE2" w:rsidRDefault="00682CB9" w:rsidP="00682CB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43" w:type="dxa"/>
            <w:vMerge/>
            <w:vAlign w:val="center"/>
          </w:tcPr>
          <w:p w14:paraId="25AADEC4" w14:textId="77777777" w:rsidR="00682CB9" w:rsidRPr="00F81DE2" w:rsidRDefault="00682CB9" w:rsidP="00682CB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3" w:type="dxa"/>
            <w:vAlign w:val="center"/>
          </w:tcPr>
          <w:p w14:paraId="1166D928" w14:textId="0AE10905" w:rsidR="00682CB9" w:rsidRPr="00F81DE2" w:rsidRDefault="00682CB9" w:rsidP="00682CB9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7-fold</w:t>
            </w:r>
          </w:p>
        </w:tc>
        <w:tc>
          <w:tcPr>
            <w:tcW w:w="1359" w:type="dxa"/>
            <w:vAlign w:val="center"/>
          </w:tcPr>
          <w:p w14:paraId="2730BBFA" w14:textId="204DEFC2" w:rsidR="00682CB9" w:rsidRPr="00F81DE2" w:rsidRDefault="00682CB9" w:rsidP="00682CB9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LOGO</w:t>
            </w:r>
          </w:p>
        </w:tc>
        <w:tc>
          <w:tcPr>
            <w:tcW w:w="1376" w:type="dxa"/>
            <w:vAlign w:val="center"/>
          </w:tcPr>
          <w:p w14:paraId="13866C67" w14:textId="72DDC845" w:rsidR="00682CB9" w:rsidRPr="00F81DE2" w:rsidRDefault="00682CB9" w:rsidP="00682CB9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7-fold</w:t>
            </w:r>
          </w:p>
        </w:tc>
        <w:tc>
          <w:tcPr>
            <w:tcW w:w="1377" w:type="dxa"/>
            <w:gridSpan w:val="2"/>
            <w:vAlign w:val="center"/>
          </w:tcPr>
          <w:p w14:paraId="13A83732" w14:textId="4158ECC3" w:rsidR="00682CB9" w:rsidRPr="00F81DE2" w:rsidRDefault="00682CB9" w:rsidP="00682CB9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LOGO</w:t>
            </w:r>
          </w:p>
        </w:tc>
        <w:tc>
          <w:tcPr>
            <w:tcW w:w="1372" w:type="dxa"/>
            <w:vAlign w:val="center"/>
          </w:tcPr>
          <w:p w14:paraId="5F003BF5" w14:textId="50DF546A" w:rsidR="00682CB9" w:rsidRPr="00F81DE2" w:rsidRDefault="00682CB9" w:rsidP="00682CB9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7-fold</w:t>
            </w:r>
          </w:p>
        </w:tc>
        <w:tc>
          <w:tcPr>
            <w:tcW w:w="1373" w:type="dxa"/>
            <w:gridSpan w:val="2"/>
            <w:vAlign w:val="center"/>
          </w:tcPr>
          <w:p w14:paraId="375A36AE" w14:textId="22B64572" w:rsidR="00682CB9" w:rsidRPr="00F81DE2" w:rsidRDefault="00682CB9" w:rsidP="00682CB9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LOGO</w:t>
            </w:r>
          </w:p>
        </w:tc>
        <w:tc>
          <w:tcPr>
            <w:tcW w:w="1403" w:type="dxa"/>
            <w:vAlign w:val="center"/>
          </w:tcPr>
          <w:p w14:paraId="5674A02A" w14:textId="43AA25CD" w:rsidR="00682CB9" w:rsidRPr="00F81DE2" w:rsidRDefault="00682CB9" w:rsidP="00682CB9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7-fold</w:t>
            </w:r>
          </w:p>
        </w:tc>
        <w:tc>
          <w:tcPr>
            <w:tcW w:w="1379" w:type="dxa"/>
            <w:vAlign w:val="center"/>
          </w:tcPr>
          <w:p w14:paraId="1AF08FEC" w14:textId="71790269" w:rsidR="00682CB9" w:rsidRPr="00F81DE2" w:rsidRDefault="00682CB9" w:rsidP="00682CB9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LOGO</w:t>
            </w:r>
          </w:p>
        </w:tc>
      </w:tr>
      <w:tr w:rsidR="00F81DE2" w:rsidRPr="00F81DE2" w14:paraId="79310502" w14:textId="20DB3D2C" w:rsidTr="00682CB9">
        <w:trPr>
          <w:trHeight w:val="524"/>
        </w:trPr>
        <w:tc>
          <w:tcPr>
            <w:tcW w:w="1342" w:type="dxa"/>
            <w:vMerge w:val="restart"/>
            <w:vAlign w:val="center"/>
          </w:tcPr>
          <w:p w14:paraId="227D4629" w14:textId="16E00B07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Q</w:t>
            </w:r>
            <w:r w:rsidRPr="00F81DE2">
              <w:rPr>
                <w:rFonts w:hint="eastAsia"/>
                <w:color w:val="000000" w:themeColor="text1"/>
                <w:vertAlign w:val="superscript"/>
              </w:rPr>
              <w:t>2</w:t>
            </w:r>
          </w:p>
        </w:tc>
        <w:tc>
          <w:tcPr>
            <w:tcW w:w="1343" w:type="dxa"/>
            <w:vAlign w:val="center"/>
          </w:tcPr>
          <w:p w14:paraId="7D17345F" w14:textId="77BC6F6E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Std. Single</w:t>
            </w:r>
          </w:p>
        </w:tc>
        <w:tc>
          <w:tcPr>
            <w:tcW w:w="1363" w:type="dxa"/>
            <w:vAlign w:val="center"/>
          </w:tcPr>
          <w:p w14:paraId="7E412103" w14:textId="64A4BB49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0.942</w:t>
            </w:r>
          </w:p>
        </w:tc>
        <w:tc>
          <w:tcPr>
            <w:tcW w:w="1359" w:type="dxa"/>
            <w:vAlign w:val="center"/>
          </w:tcPr>
          <w:p w14:paraId="239C5DB6" w14:textId="224096DA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0.934</w:t>
            </w:r>
          </w:p>
        </w:tc>
        <w:tc>
          <w:tcPr>
            <w:tcW w:w="1385" w:type="dxa"/>
            <w:gridSpan w:val="2"/>
            <w:vAlign w:val="center"/>
          </w:tcPr>
          <w:p w14:paraId="40C3DF11" w14:textId="67CD4F5E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0.976</w:t>
            </w:r>
          </w:p>
        </w:tc>
        <w:tc>
          <w:tcPr>
            <w:tcW w:w="1368" w:type="dxa"/>
            <w:vAlign w:val="center"/>
          </w:tcPr>
          <w:p w14:paraId="355161BF" w14:textId="6F065ADC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0.972</w:t>
            </w:r>
          </w:p>
        </w:tc>
        <w:tc>
          <w:tcPr>
            <w:tcW w:w="1380" w:type="dxa"/>
            <w:gridSpan w:val="2"/>
            <w:vAlign w:val="center"/>
          </w:tcPr>
          <w:p w14:paraId="0E1FBCAC" w14:textId="1A0B848E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0.975</w:t>
            </w:r>
          </w:p>
        </w:tc>
        <w:tc>
          <w:tcPr>
            <w:tcW w:w="1365" w:type="dxa"/>
            <w:vAlign w:val="center"/>
          </w:tcPr>
          <w:p w14:paraId="7295D59E" w14:textId="477A0D07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0.974</w:t>
            </w:r>
          </w:p>
        </w:tc>
        <w:tc>
          <w:tcPr>
            <w:tcW w:w="1403" w:type="dxa"/>
            <w:vAlign w:val="center"/>
          </w:tcPr>
          <w:p w14:paraId="15C691E9" w14:textId="781A68BE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0.955</w:t>
            </w:r>
          </w:p>
        </w:tc>
        <w:tc>
          <w:tcPr>
            <w:tcW w:w="1379" w:type="dxa"/>
            <w:vAlign w:val="center"/>
          </w:tcPr>
          <w:p w14:paraId="7DD851B6" w14:textId="0964A0C5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0.950</w:t>
            </w:r>
          </w:p>
        </w:tc>
      </w:tr>
      <w:tr w:rsidR="00F81DE2" w:rsidRPr="00F81DE2" w14:paraId="4543CC9F" w14:textId="46E53CDD" w:rsidTr="00682CB9">
        <w:trPr>
          <w:trHeight w:val="524"/>
        </w:trPr>
        <w:tc>
          <w:tcPr>
            <w:tcW w:w="1342" w:type="dxa"/>
            <w:vMerge/>
            <w:vAlign w:val="center"/>
          </w:tcPr>
          <w:p w14:paraId="3C186BCA" w14:textId="77777777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43" w:type="dxa"/>
            <w:vAlign w:val="center"/>
          </w:tcPr>
          <w:p w14:paraId="689A0C3E" w14:textId="5840C908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O</w:t>
            </w:r>
            <w:r w:rsidR="00682CB9" w:rsidRPr="00F81DE2">
              <w:rPr>
                <w:rFonts w:hint="eastAsia"/>
                <w:color w:val="000000" w:themeColor="text1"/>
              </w:rPr>
              <w:t>pt</w:t>
            </w:r>
            <w:r w:rsidRPr="00F81DE2">
              <w:rPr>
                <w:rFonts w:hint="eastAsia"/>
                <w:color w:val="000000" w:themeColor="text1"/>
              </w:rPr>
              <w:t>. Single</w:t>
            </w:r>
          </w:p>
        </w:tc>
        <w:tc>
          <w:tcPr>
            <w:tcW w:w="1363" w:type="dxa"/>
            <w:vAlign w:val="center"/>
          </w:tcPr>
          <w:p w14:paraId="78D4A3BA" w14:textId="4E292ABA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0.939</w:t>
            </w:r>
          </w:p>
        </w:tc>
        <w:tc>
          <w:tcPr>
            <w:tcW w:w="1359" w:type="dxa"/>
            <w:vAlign w:val="center"/>
          </w:tcPr>
          <w:p w14:paraId="109A046B" w14:textId="561ACEE2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0.933</w:t>
            </w:r>
          </w:p>
        </w:tc>
        <w:tc>
          <w:tcPr>
            <w:tcW w:w="1385" w:type="dxa"/>
            <w:gridSpan w:val="2"/>
            <w:vAlign w:val="center"/>
          </w:tcPr>
          <w:p w14:paraId="7FA83B6F" w14:textId="568AF39E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0.975</w:t>
            </w:r>
          </w:p>
        </w:tc>
        <w:tc>
          <w:tcPr>
            <w:tcW w:w="1368" w:type="dxa"/>
            <w:vAlign w:val="center"/>
          </w:tcPr>
          <w:p w14:paraId="73FD04DC" w14:textId="36C03EB9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0.971</w:t>
            </w:r>
          </w:p>
        </w:tc>
        <w:tc>
          <w:tcPr>
            <w:tcW w:w="1380" w:type="dxa"/>
            <w:gridSpan w:val="2"/>
            <w:vAlign w:val="center"/>
          </w:tcPr>
          <w:p w14:paraId="4CB06FB8" w14:textId="3C94C379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0.974</w:t>
            </w:r>
          </w:p>
        </w:tc>
        <w:tc>
          <w:tcPr>
            <w:tcW w:w="1365" w:type="dxa"/>
            <w:vAlign w:val="center"/>
          </w:tcPr>
          <w:p w14:paraId="27BAD32A" w14:textId="6F5ADDB9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0.973</w:t>
            </w:r>
          </w:p>
        </w:tc>
        <w:tc>
          <w:tcPr>
            <w:tcW w:w="1403" w:type="dxa"/>
            <w:vAlign w:val="center"/>
          </w:tcPr>
          <w:p w14:paraId="635CD821" w14:textId="1EDB6E21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0.954</w:t>
            </w:r>
          </w:p>
        </w:tc>
        <w:tc>
          <w:tcPr>
            <w:tcW w:w="1379" w:type="dxa"/>
            <w:vAlign w:val="center"/>
          </w:tcPr>
          <w:p w14:paraId="7BDC4EC3" w14:textId="480A592B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0.950</w:t>
            </w:r>
          </w:p>
        </w:tc>
      </w:tr>
      <w:tr w:rsidR="00F81DE2" w:rsidRPr="00F81DE2" w14:paraId="581E80BB" w14:textId="0FB9EC59" w:rsidTr="00682CB9">
        <w:trPr>
          <w:trHeight w:val="524"/>
        </w:trPr>
        <w:tc>
          <w:tcPr>
            <w:tcW w:w="1342" w:type="dxa"/>
            <w:vMerge w:val="restart"/>
            <w:vAlign w:val="center"/>
          </w:tcPr>
          <w:p w14:paraId="32F352F9" w14:textId="06AF69EE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proofErr w:type="spellStart"/>
            <w:r w:rsidRPr="00F81DE2">
              <w:rPr>
                <w:rFonts w:hint="eastAsia"/>
                <w:color w:val="000000" w:themeColor="text1"/>
              </w:rPr>
              <w:t>RMSEcv</w:t>
            </w:r>
            <w:proofErr w:type="spellEnd"/>
          </w:p>
        </w:tc>
        <w:tc>
          <w:tcPr>
            <w:tcW w:w="1343" w:type="dxa"/>
            <w:vAlign w:val="center"/>
          </w:tcPr>
          <w:p w14:paraId="550DCBD9" w14:textId="7456771F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Std. Single</w:t>
            </w:r>
          </w:p>
        </w:tc>
        <w:tc>
          <w:tcPr>
            <w:tcW w:w="1363" w:type="dxa"/>
            <w:vAlign w:val="center"/>
          </w:tcPr>
          <w:p w14:paraId="0D5226BE" w14:textId="35536D77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5.62</w:t>
            </w:r>
          </w:p>
        </w:tc>
        <w:tc>
          <w:tcPr>
            <w:tcW w:w="1359" w:type="dxa"/>
            <w:vAlign w:val="center"/>
          </w:tcPr>
          <w:p w14:paraId="23A4F183" w14:textId="389CAD64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5.97</w:t>
            </w:r>
          </w:p>
        </w:tc>
        <w:tc>
          <w:tcPr>
            <w:tcW w:w="1385" w:type="dxa"/>
            <w:gridSpan w:val="2"/>
            <w:vAlign w:val="center"/>
          </w:tcPr>
          <w:p w14:paraId="09D1E1B2" w14:textId="3FA15362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4.01</w:t>
            </w:r>
          </w:p>
        </w:tc>
        <w:tc>
          <w:tcPr>
            <w:tcW w:w="1368" w:type="dxa"/>
            <w:vAlign w:val="center"/>
          </w:tcPr>
          <w:p w14:paraId="53CC187E" w14:textId="4FE36F5B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4.29</w:t>
            </w:r>
          </w:p>
        </w:tc>
        <w:tc>
          <w:tcPr>
            <w:tcW w:w="1380" w:type="dxa"/>
            <w:gridSpan w:val="2"/>
            <w:vAlign w:val="center"/>
          </w:tcPr>
          <w:p w14:paraId="57D487C4" w14:textId="5350A1FC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3.42</w:t>
            </w:r>
          </w:p>
        </w:tc>
        <w:tc>
          <w:tcPr>
            <w:tcW w:w="1365" w:type="dxa"/>
            <w:vAlign w:val="center"/>
          </w:tcPr>
          <w:p w14:paraId="0F695CEC" w14:textId="3B6D2CA9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3.50</w:t>
            </w:r>
          </w:p>
        </w:tc>
        <w:tc>
          <w:tcPr>
            <w:tcW w:w="1403" w:type="dxa"/>
            <w:vAlign w:val="center"/>
          </w:tcPr>
          <w:p w14:paraId="6AACCEA6" w14:textId="78C0DE60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4.30</w:t>
            </w:r>
          </w:p>
        </w:tc>
        <w:tc>
          <w:tcPr>
            <w:tcW w:w="1379" w:type="dxa"/>
            <w:vAlign w:val="center"/>
          </w:tcPr>
          <w:p w14:paraId="0280989D" w14:textId="0DFBEFAD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4.51</w:t>
            </w:r>
          </w:p>
        </w:tc>
      </w:tr>
      <w:tr w:rsidR="00F81DE2" w:rsidRPr="00F81DE2" w14:paraId="1DB143E3" w14:textId="527B723D" w:rsidTr="00682CB9">
        <w:trPr>
          <w:trHeight w:val="524"/>
        </w:trPr>
        <w:tc>
          <w:tcPr>
            <w:tcW w:w="1342" w:type="dxa"/>
            <w:vMerge/>
          </w:tcPr>
          <w:p w14:paraId="413F3A27" w14:textId="77777777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43" w:type="dxa"/>
            <w:vAlign w:val="center"/>
          </w:tcPr>
          <w:p w14:paraId="253D6C36" w14:textId="41B3768B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O</w:t>
            </w:r>
            <w:r w:rsidR="00682CB9" w:rsidRPr="00F81DE2">
              <w:rPr>
                <w:rFonts w:hint="eastAsia"/>
                <w:color w:val="000000" w:themeColor="text1"/>
              </w:rPr>
              <w:t>pt</w:t>
            </w:r>
            <w:r w:rsidRPr="00F81DE2">
              <w:rPr>
                <w:rFonts w:hint="eastAsia"/>
                <w:color w:val="000000" w:themeColor="text1"/>
              </w:rPr>
              <w:t>. Single</w:t>
            </w:r>
          </w:p>
        </w:tc>
        <w:tc>
          <w:tcPr>
            <w:tcW w:w="1363" w:type="dxa"/>
            <w:vAlign w:val="center"/>
          </w:tcPr>
          <w:p w14:paraId="406D2B22" w14:textId="26D69056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5.76</w:t>
            </w:r>
          </w:p>
        </w:tc>
        <w:tc>
          <w:tcPr>
            <w:tcW w:w="1359" w:type="dxa"/>
            <w:vAlign w:val="center"/>
          </w:tcPr>
          <w:p w14:paraId="371C9730" w14:textId="7D86915D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6.04</w:t>
            </w:r>
          </w:p>
        </w:tc>
        <w:tc>
          <w:tcPr>
            <w:tcW w:w="1385" w:type="dxa"/>
            <w:gridSpan w:val="2"/>
            <w:vAlign w:val="center"/>
          </w:tcPr>
          <w:p w14:paraId="5EE0CC20" w14:textId="41D334BC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4.11</w:t>
            </w:r>
          </w:p>
        </w:tc>
        <w:tc>
          <w:tcPr>
            <w:tcW w:w="1368" w:type="dxa"/>
            <w:vAlign w:val="center"/>
          </w:tcPr>
          <w:p w14:paraId="7103D099" w14:textId="078385EB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4.38</w:t>
            </w:r>
          </w:p>
        </w:tc>
        <w:tc>
          <w:tcPr>
            <w:tcW w:w="1380" w:type="dxa"/>
            <w:gridSpan w:val="2"/>
            <w:vAlign w:val="center"/>
          </w:tcPr>
          <w:p w14:paraId="3A6669C7" w14:textId="2B735169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3.46</w:t>
            </w:r>
          </w:p>
        </w:tc>
        <w:tc>
          <w:tcPr>
            <w:tcW w:w="1365" w:type="dxa"/>
            <w:vAlign w:val="center"/>
          </w:tcPr>
          <w:p w14:paraId="05F4DC3A" w14:textId="568128C3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3.53</w:t>
            </w:r>
          </w:p>
        </w:tc>
        <w:tc>
          <w:tcPr>
            <w:tcW w:w="1403" w:type="dxa"/>
            <w:vAlign w:val="center"/>
          </w:tcPr>
          <w:p w14:paraId="64DA68E5" w14:textId="1960E5B3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4.37</w:t>
            </w:r>
          </w:p>
        </w:tc>
        <w:tc>
          <w:tcPr>
            <w:tcW w:w="1379" w:type="dxa"/>
            <w:vAlign w:val="center"/>
          </w:tcPr>
          <w:p w14:paraId="29F7181F" w14:textId="58C40276" w:rsidR="008E0A87" w:rsidRPr="00F81DE2" w:rsidRDefault="008E0A87" w:rsidP="008E0A87">
            <w:pPr>
              <w:jc w:val="center"/>
              <w:rPr>
                <w:color w:val="000000" w:themeColor="text1"/>
              </w:rPr>
            </w:pPr>
            <w:r w:rsidRPr="00F81DE2">
              <w:rPr>
                <w:rFonts w:hint="eastAsia"/>
                <w:color w:val="000000" w:themeColor="text1"/>
              </w:rPr>
              <w:t>4.56</w:t>
            </w:r>
          </w:p>
        </w:tc>
      </w:tr>
      <w:bookmarkEnd w:id="0"/>
    </w:tbl>
    <w:p w14:paraId="2715FF7E" w14:textId="77777777" w:rsidR="008E0A87" w:rsidRDefault="008E0A87" w:rsidP="00674323">
      <w:pPr>
        <w:spacing w:line="480" w:lineRule="auto"/>
      </w:pPr>
    </w:p>
    <w:p w14:paraId="453D8F93" w14:textId="77777777" w:rsidR="00B31A10" w:rsidRDefault="00B31A10" w:rsidP="00674323">
      <w:pPr>
        <w:spacing w:line="480" w:lineRule="auto"/>
      </w:pPr>
    </w:p>
    <w:p w14:paraId="74B61CE3" w14:textId="77777777" w:rsidR="00B31A10" w:rsidRDefault="00B31A10" w:rsidP="00674323">
      <w:pPr>
        <w:spacing w:line="480" w:lineRule="auto"/>
      </w:pPr>
    </w:p>
    <w:p w14:paraId="38A7BBB5" w14:textId="77777777" w:rsidR="00B31A10" w:rsidRDefault="00B31A10" w:rsidP="00674323">
      <w:pPr>
        <w:spacing w:line="480" w:lineRule="auto"/>
      </w:pPr>
    </w:p>
    <w:p w14:paraId="6ED19B27" w14:textId="77777777" w:rsidR="00B31A10" w:rsidRDefault="00B31A10" w:rsidP="00674323">
      <w:pPr>
        <w:spacing w:line="480" w:lineRule="auto"/>
      </w:pPr>
    </w:p>
    <w:p w14:paraId="7081A824" w14:textId="5565B08D" w:rsidR="00DA077C" w:rsidRPr="00F81DE2" w:rsidRDefault="00DA077C" w:rsidP="00DA077C">
      <w:pPr>
        <w:spacing w:line="480" w:lineRule="auto"/>
        <w:jc w:val="both"/>
        <w:rPr>
          <w:rFonts w:cstheme="minorHAnsi"/>
          <w:color w:val="000000" w:themeColor="text1"/>
        </w:rPr>
      </w:pPr>
      <w:r w:rsidRPr="00F81DE2">
        <w:rPr>
          <w:rFonts w:cstheme="minorHAnsi"/>
          <w:b/>
          <w:bCs/>
          <w:color w:val="000000" w:themeColor="text1"/>
        </w:rPr>
        <w:lastRenderedPageBreak/>
        <w:t>Suppl</w:t>
      </w:r>
      <w:r w:rsidRPr="00F81DE2">
        <w:rPr>
          <w:rFonts w:cstheme="minorHAnsi" w:hint="eastAsia"/>
          <w:b/>
          <w:bCs/>
          <w:color w:val="000000" w:themeColor="text1"/>
        </w:rPr>
        <w:t>.</w:t>
      </w:r>
      <w:r w:rsidRPr="00F81DE2">
        <w:rPr>
          <w:rFonts w:cstheme="minorHAnsi"/>
          <w:b/>
          <w:bCs/>
          <w:color w:val="000000" w:themeColor="text1"/>
        </w:rPr>
        <w:t xml:space="preserve"> Table </w:t>
      </w:r>
      <w:r>
        <w:rPr>
          <w:rFonts w:cstheme="minorHAnsi" w:hint="eastAsia"/>
          <w:b/>
          <w:bCs/>
          <w:color w:val="000000" w:themeColor="text1"/>
        </w:rPr>
        <w:t>4</w:t>
      </w:r>
      <w:r w:rsidRPr="00F81DE2">
        <w:rPr>
          <w:rFonts w:cstheme="minorHAnsi"/>
          <w:b/>
          <w:bCs/>
          <w:color w:val="000000" w:themeColor="text1"/>
        </w:rPr>
        <w:t>.</w:t>
      </w:r>
      <w:r w:rsidRPr="00F81DE2">
        <w:rPr>
          <w:rFonts w:cstheme="minorHAnsi"/>
          <w:color w:val="000000" w:themeColor="text1"/>
        </w:rPr>
        <w:t xml:space="preserve"> </w:t>
      </w:r>
      <w:r w:rsidRPr="00F81DE2">
        <w:rPr>
          <w:rFonts w:cstheme="minorHAnsi"/>
          <w:b/>
          <w:bCs/>
          <w:color w:val="000000" w:themeColor="text1"/>
        </w:rPr>
        <w:t>Quantitative comparison of cross-scale prediction performance among the standard single-scale, optimized single-scale, and combined-scale Raman models.</w:t>
      </w:r>
      <w:r w:rsidRPr="00F81DE2">
        <w:rPr>
          <w:rFonts w:cstheme="minorHAnsi"/>
          <w:color w:val="000000" w:themeColor="text1"/>
        </w:rPr>
        <w:t xml:space="preserve"> RMSEP reduction (%) was calculated relative to the standard single-scale model as [(</w:t>
      </w:r>
      <w:proofErr w:type="spellStart"/>
      <w:proofErr w:type="gramStart"/>
      <w:r w:rsidRPr="00F81DE2">
        <w:rPr>
          <w:rFonts w:cstheme="minorHAnsi"/>
          <w:color w:val="000000" w:themeColor="text1"/>
        </w:rPr>
        <w:t>RMSEP</w:t>
      </w:r>
      <w:r w:rsidRPr="00F81DE2">
        <w:rPr>
          <w:rFonts w:cstheme="minorHAnsi" w:hint="eastAsia"/>
          <w:color w:val="000000" w:themeColor="text1"/>
        </w:rPr>
        <w:t>std</w:t>
      </w:r>
      <w:proofErr w:type="spellEnd"/>
      <w:r w:rsidRPr="00F81DE2">
        <w:rPr>
          <w:rFonts w:cstheme="minorHAnsi" w:hint="eastAsia"/>
          <w:color w:val="000000" w:themeColor="text1"/>
        </w:rPr>
        <w:t>.</w:t>
      </w:r>
      <w:r w:rsidRPr="00F81DE2">
        <w:rPr>
          <w:rFonts w:cstheme="minorHAnsi"/>
          <w:color w:val="000000" w:themeColor="text1"/>
        </w:rPr>
        <w:t>–</w:t>
      </w:r>
      <w:proofErr w:type="spellStart"/>
      <w:proofErr w:type="gramEnd"/>
      <w:r w:rsidRPr="00F81DE2">
        <w:rPr>
          <w:rFonts w:cstheme="minorHAnsi"/>
          <w:color w:val="000000" w:themeColor="text1"/>
        </w:rPr>
        <w:t>RMSEPopt</w:t>
      </w:r>
      <w:proofErr w:type="spellEnd"/>
      <w:r w:rsidRPr="00F81DE2">
        <w:rPr>
          <w:rFonts w:cstheme="minorHAnsi" w:hint="eastAsia"/>
          <w:color w:val="000000" w:themeColor="text1"/>
        </w:rPr>
        <w:t>,</w:t>
      </w:r>
      <w:r w:rsidRPr="00F81DE2">
        <w:rPr>
          <w:rFonts w:cstheme="minorHAnsi"/>
          <w:color w:val="000000" w:themeColor="text1"/>
        </w:rPr>
        <w:t>)/</w:t>
      </w:r>
      <w:r w:rsidRPr="00F81DE2">
        <w:rPr>
          <w:rFonts w:cstheme="minorHAnsi" w:hint="eastAsia"/>
          <w:color w:val="000000" w:themeColor="text1"/>
        </w:rPr>
        <w:t xml:space="preserve"> </w:t>
      </w:r>
      <w:proofErr w:type="spellStart"/>
      <w:r w:rsidRPr="00F81DE2">
        <w:rPr>
          <w:rFonts w:cstheme="minorHAnsi"/>
          <w:color w:val="000000" w:themeColor="text1"/>
        </w:rPr>
        <w:t>RMSEPstd</w:t>
      </w:r>
      <w:proofErr w:type="spellEnd"/>
      <w:proofErr w:type="gramStart"/>
      <w:r w:rsidRPr="00F81DE2">
        <w:rPr>
          <w:rFonts w:cstheme="minorHAnsi" w:hint="eastAsia"/>
          <w:color w:val="000000" w:themeColor="text1"/>
        </w:rPr>
        <w:t>.</w:t>
      </w:r>
      <w:r w:rsidRPr="00F81DE2">
        <w:rPr>
          <w:rFonts w:cstheme="minorHAnsi"/>
          <w:color w:val="000000" w:themeColor="text1"/>
        </w:rPr>
        <w:t>]×</w:t>
      </w:r>
      <w:proofErr w:type="gramEnd"/>
      <w:r w:rsidRPr="00F81DE2">
        <w:rPr>
          <w:rFonts w:cstheme="minorHAnsi"/>
          <w:color w:val="000000" w:themeColor="text1"/>
        </w:rPr>
        <w:t>100. Gap closure versus the combined-scale benchmark (%) was calculated as [(</w:t>
      </w:r>
      <w:proofErr w:type="spellStart"/>
      <w:proofErr w:type="gramStart"/>
      <w:r w:rsidRPr="00F81DE2">
        <w:rPr>
          <w:rFonts w:cstheme="minorHAnsi"/>
          <w:color w:val="000000" w:themeColor="text1"/>
        </w:rPr>
        <w:t>RMSEPstd</w:t>
      </w:r>
      <w:proofErr w:type="spellEnd"/>
      <w:r w:rsidRPr="00F81DE2">
        <w:rPr>
          <w:rFonts w:cstheme="minorHAnsi" w:hint="eastAsia"/>
          <w:color w:val="000000" w:themeColor="text1"/>
        </w:rPr>
        <w:t>.</w:t>
      </w:r>
      <w:r w:rsidRPr="00F81DE2">
        <w:rPr>
          <w:rFonts w:cstheme="minorHAnsi"/>
          <w:color w:val="000000" w:themeColor="text1"/>
        </w:rPr>
        <w:t>−</w:t>
      </w:r>
      <w:proofErr w:type="spellStart"/>
      <w:proofErr w:type="gramEnd"/>
      <w:r w:rsidRPr="00F81DE2">
        <w:rPr>
          <w:rFonts w:cstheme="minorHAnsi"/>
          <w:color w:val="000000" w:themeColor="text1"/>
        </w:rPr>
        <w:t>RMSEPopt</w:t>
      </w:r>
      <w:proofErr w:type="spellEnd"/>
      <w:r w:rsidRPr="00F81DE2">
        <w:rPr>
          <w:rFonts w:cstheme="minorHAnsi" w:hint="eastAsia"/>
          <w:color w:val="000000" w:themeColor="text1"/>
        </w:rPr>
        <w:t>.</w:t>
      </w:r>
      <w:r w:rsidRPr="00F81DE2">
        <w:rPr>
          <w:rFonts w:cstheme="minorHAnsi"/>
          <w:color w:val="000000" w:themeColor="text1"/>
        </w:rPr>
        <w:t>)/(</w:t>
      </w:r>
      <w:proofErr w:type="spellStart"/>
      <w:r w:rsidRPr="00F81DE2">
        <w:rPr>
          <w:rFonts w:cstheme="minorHAnsi"/>
          <w:color w:val="000000" w:themeColor="text1"/>
        </w:rPr>
        <w:t>RMSEPstd−RMSEPcombined</w:t>
      </w:r>
      <w:proofErr w:type="spellEnd"/>
      <w:r w:rsidRPr="00F81DE2">
        <w:rPr>
          <w:rFonts w:cstheme="minorHAnsi"/>
          <w:color w:val="000000" w:themeColor="text1"/>
        </w:rPr>
        <w:t>)]</w:t>
      </w:r>
      <w:r w:rsidRPr="00F81DE2">
        <w:rPr>
          <w:rFonts w:cstheme="minorHAnsi" w:hint="eastAsia"/>
          <w:color w:val="000000" w:themeColor="text1"/>
        </w:rPr>
        <w:t xml:space="preserve"> </w:t>
      </w:r>
      <w:r w:rsidRPr="00F81DE2">
        <w:rPr>
          <w:rFonts w:cstheme="minorHAnsi"/>
          <w:color w:val="000000" w:themeColor="text1"/>
        </w:rPr>
        <w:t>×100. A value of 100% indicates that the optimized single-scale model achieved the same RMSEP as the combined-scale benchmark; values between 0% and 100% indicate partial gap closure, and values greater than 100% indicate performance exceeding the combined-scale benchmark.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81"/>
        <w:gridCol w:w="2281"/>
        <w:gridCol w:w="2281"/>
        <w:gridCol w:w="2281"/>
        <w:gridCol w:w="2281"/>
        <w:gridCol w:w="2282"/>
      </w:tblGrid>
      <w:tr w:rsidR="00DA077C" w:rsidRPr="00F81DE2" w14:paraId="075355A4" w14:textId="77777777" w:rsidTr="00A40B9C">
        <w:trPr>
          <w:trHeight w:val="722"/>
        </w:trPr>
        <w:tc>
          <w:tcPr>
            <w:tcW w:w="2281" w:type="dxa"/>
            <w:vAlign w:val="center"/>
          </w:tcPr>
          <w:p w14:paraId="391C595A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cstheme="minorHAnsi" w:hint="eastAsia"/>
                <w:color w:val="000000" w:themeColor="text1"/>
                <w:szCs w:val="22"/>
              </w:rPr>
              <w:t>Target</w:t>
            </w:r>
          </w:p>
          <w:p w14:paraId="0F9C974F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cstheme="minorHAnsi" w:hint="eastAsia"/>
                <w:color w:val="000000" w:themeColor="text1"/>
                <w:szCs w:val="22"/>
              </w:rPr>
              <w:t>Outputs</w:t>
            </w:r>
          </w:p>
        </w:tc>
        <w:tc>
          <w:tcPr>
            <w:tcW w:w="2281" w:type="dxa"/>
            <w:vAlign w:val="center"/>
          </w:tcPr>
          <w:p w14:paraId="05655B5D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cstheme="minorHAnsi" w:hint="eastAsia"/>
                <w:color w:val="000000" w:themeColor="text1"/>
                <w:szCs w:val="22"/>
              </w:rPr>
              <w:t>Std. Single</w:t>
            </w:r>
          </w:p>
          <w:p w14:paraId="1C6EB1F7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proofErr w:type="gramStart"/>
            <w:r w:rsidRPr="00F81DE2">
              <w:rPr>
                <w:rFonts w:cstheme="minorHAnsi" w:hint="eastAsia"/>
                <w:color w:val="000000" w:themeColor="text1"/>
                <w:szCs w:val="22"/>
              </w:rPr>
              <w:t>RMSEP(</w:t>
            </w:r>
            <w:proofErr w:type="gramEnd"/>
            <w:r w:rsidRPr="00F81DE2">
              <w:rPr>
                <w:rFonts w:cstheme="minorHAnsi" w:hint="eastAsia"/>
                <w:color w:val="000000" w:themeColor="text1"/>
                <w:szCs w:val="22"/>
              </w:rPr>
              <w:t>%)</w:t>
            </w:r>
          </w:p>
        </w:tc>
        <w:tc>
          <w:tcPr>
            <w:tcW w:w="2281" w:type="dxa"/>
            <w:vAlign w:val="center"/>
          </w:tcPr>
          <w:p w14:paraId="5DAE0687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cstheme="minorHAnsi" w:hint="eastAsia"/>
                <w:color w:val="000000" w:themeColor="text1"/>
                <w:szCs w:val="22"/>
              </w:rPr>
              <w:t>Opt. Single</w:t>
            </w:r>
          </w:p>
          <w:p w14:paraId="783D52EA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proofErr w:type="gramStart"/>
            <w:r w:rsidRPr="00F81DE2">
              <w:rPr>
                <w:rFonts w:cstheme="minorHAnsi" w:hint="eastAsia"/>
                <w:color w:val="000000" w:themeColor="text1"/>
                <w:szCs w:val="22"/>
              </w:rPr>
              <w:t>RMSEP(</w:t>
            </w:r>
            <w:proofErr w:type="gramEnd"/>
            <w:r w:rsidRPr="00F81DE2">
              <w:rPr>
                <w:rFonts w:cstheme="minorHAnsi" w:hint="eastAsia"/>
                <w:color w:val="000000" w:themeColor="text1"/>
                <w:szCs w:val="22"/>
              </w:rPr>
              <w:t>%)</w:t>
            </w:r>
          </w:p>
        </w:tc>
        <w:tc>
          <w:tcPr>
            <w:tcW w:w="2281" w:type="dxa"/>
            <w:vAlign w:val="center"/>
          </w:tcPr>
          <w:p w14:paraId="63A2CE19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proofErr w:type="gramStart"/>
            <w:r w:rsidRPr="00F81DE2">
              <w:rPr>
                <w:rFonts w:cstheme="minorHAnsi" w:hint="eastAsia"/>
                <w:color w:val="000000" w:themeColor="text1"/>
                <w:szCs w:val="22"/>
              </w:rPr>
              <w:t>Combined-scale</w:t>
            </w:r>
            <w:proofErr w:type="gramEnd"/>
          </w:p>
          <w:p w14:paraId="77C96EEB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proofErr w:type="gramStart"/>
            <w:r w:rsidRPr="00F81DE2">
              <w:rPr>
                <w:rFonts w:cstheme="minorHAnsi" w:hint="eastAsia"/>
                <w:color w:val="000000" w:themeColor="text1"/>
                <w:szCs w:val="22"/>
              </w:rPr>
              <w:t>RMSEP(</w:t>
            </w:r>
            <w:proofErr w:type="gramEnd"/>
            <w:r w:rsidRPr="00F81DE2">
              <w:rPr>
                <w:rFonts w:cstheme="minorHAnsi" w:hint="eastAsia"/>
                <w:color w:val="000000" w:themeColor="text1"/>
                <w:szCs w:val="22"/>
              </w:rPr>
              <w:t>%)</w:t>
            </w:r>
          </w:p>
        </w:tc>
        <w:tc>
          <w:tcPr>
            <w:tcW w:w="2281" w:type="dxa"/>
            <w:vAlign w:val="center"/>
          </w:tcPr>
          <w:p w14:paraId="05B12569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cstheme="minorHAnsi" w:hint="eastAsia"/>
                <w:color w:val="000000" w:themeColor="text1"/>
                <w:szCs w:val="22"/>
              </w:rPr>
              <w:t>RMSEP reduction</w:t>
            </w:r>
          </w:p>
          <w:p w14:paraId="77F4E051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cstheme="minorHAnsi" w:hint="eastAsia"/>
                <w:color w:val="000000" w:themeColor="text1"/>
                <w:szCs w:val="22"/>
              </w:rPr>
              <w:t>vs. Std. (%)</w:t>
            </w:r>
          </w:p>
        </w:tc>
        <w:tc>
          <w:tcPr>
            <w:tcW w:w="2282" w:type="dxa"/>
            <w:vAlign w:val="center"/>
          </w:tcPr>
          <w:p w14:paraId="084E85F4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cstheme="minorHAnsi" w:hint="eastAsia"/>
                <w:color w:val="000000" w:themeColor="text1"/>
                <w:szCs w:val="22"/>
              </w:rPr>
              <w:t>Gap closure</w:t>
            </w:r>
          </w:p>
          <w:p w14:paraId="4775A54D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cstheme="minorHAnsi" w:hint="eastAsia"/>
                <w:color w:val="000000" w:themeColor="text1"/>
                <w:szCs w:val="22"/>
              </w:rPr>
              <w:t>vs. Combined (%)</w:t>
            </w:r>
          </w:p>
        </w:tc>
      </w:tr>
      <w:tr w:rsidR="00DA077C" w:rsidRPr="00F81DE2" w14:paraId="1CA1A07F" w14:textId="77777777" w:rsidTr="00A40B9C">
        <w:trPr>
          <w:trHeight w:val="471"/>
        </w:trPr>
        <w:tc>
          <w:tcPr>
            <w:tcW w:w="2281" w:type="dxa"/>
            <w:vAlign w:val="center"/>
          </w:tcPr>
          <w:p w14:paraId="23091FD0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cstheme="minorHAnsi" w:hint="eastAsia"/>
                <w:color w:val="000000" w:themeColor="text1"/>
                <w:szCs w:val="22"/>
              </w:rPr>
              <w:t>Viability</w:t>
            </w:r>
          </w:p>
        </w:tc>
        <w:tc>
          <w:tcPr>
            <w:tcW w:w="2281" w:type="dxa"/>
            <w:vAlign w:val="center"/>
          </w:tcPr>
          <w:p w14:paraId="301640FC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Cs w:val="22"/>
              </w:rPr>
              <w:t>15.8</w:t>
            </w:r>
          </w:p>
        </w:tc>
        <w:tc>
          <w:tcPr>
            <w:tcW w:w="2281" w:type="dxa"/>
            <w:vAlign w:val="center"/>
          </w:tcPr>
          <w:p w14:paraId="60C7D5E4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10.0</w:t>
            </w:r>
          </w:p>
        </w:tc>
        <w:tc>
          <w:tcPr>
            <w:tcW w:w="2281" w:type="dxa"/>
            <w:vAlign w:val="center"/>
          </w:tcPr>
          <w:p w14:paraId="6D657D91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Cs w:val="22"/>
              </w:rPr>
              <w:t>4.4</w:t>
            </w:r>
          </w:p>
        </w:tc>
        <w:tc>
          <w:tcPr>
            <w:tcW w:w="2281" w:type="dxa"/>
            <w:vAlign w:val="center"/>
          </w:tcPr>
          <w:p w14:paraId="698F1989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36.7</w:t>
            </w:r>
          </w:p>
        </w:tc>
        <w:tc>
          <w:tcPr>
            <w:tcW w:w="2282" w:type="dxa"/>
            <w:vAlign w:val="center"/>
          </w:tcPr>
          <w:p w14:paraId="31D39255" w14:textId="77777777" w:rsidR="00DA077C" w:rsidRPr="00F81DE2" w:rsidRDefault="00DA077C" w:rsidP="00A40B9C">
            <w:pPr>
              <w:jc w:val="center"/>
              <w:rPr>
                <w:rFonts w:cs="Times New Roman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50.9</w:t>
            </w:r>
          </w:p>
        </w:tc>
      </w:tr>
      <w:tr w:rsidR="00DA077C" w:rsidRPr="00F81DE2" w14:paraId="13DDCC79" w14:textId="77777777" w:rsidTr="00A40B9C">
        <w:trPr>
          <w:trHeight w:val="471"/>
        </w:trPr>
        <w:tc>
          <w:tcPr>
            <w:tcW w:w="2281" w:type="dxa"/>
            <w:vAlign w:val="center"/>
          </w:tcPr>
          <w:p w14:paraId="7F96E4E6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cstheme="minorHAnsi" w:hint="eastAsia"/>
                <w:color w:val="000000" w:themeColor="text1"/>
                <w:szCs w:val="22"/>
              </w:rPr>
              <w:t>Glutamine</w:t>
            </w:r>
          </w:p>
        </w:tc>
        <w:tc>
          <w:tcPr>
            <w:tcW w:w="2281" w:type="dxa"/>
            <w:vAlign w:val="center"/>
          </w:tcPr>
          <w:p w14:paraId="5AD857AB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Cs w:val="22"/>
              </w:rPr>
              <w:t>18.0</w:t>
            </w:r>
          </w:p>
        </w:tc>
        <w:tc>
          <w:tcPr>
            <w:tcW w:w="2281" w:type="dxa"/>
            <w:vAlign w:val="center"/>
          </w:tcPr>
          <w:p w14:paraId="38A82EBC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11.7</w:t>
            </w:r>
          </w:p>
        </w:tc>
        <w:tc>
          <w:tcPr>
            <w:tcW w:w="2281" w:type="dxa"/>
            <w:vAlign w:val="center"/>
          </w:tcPr>
          <w:p w14:paraId="2715C68E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Cs w:val="22"/>
              </w:rPr>
              <w:t>7.9</w:t>
            </w:r>
          </w:p>
        </w:tc>
        <w:tc>
          <w:tcPr>
            <w:tcW w:w="2281" w:type="dxa"/>
            <w:vAlign w:val="center"/>
          </w:tcPr>
          <w:p w14:paraId="096EEA6A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35.0</w:t>
            </w:r>
          </w:p>
        </w:tc>
        <w:tc>
          <w:tcPr>
            <w:tcW w:w="2282" w:type="dxa"/>
            <w:vAlign w:val="center"/>
          </w:tcPr>
          <w:p w14:paraId="7F239A27" w14:textId="77777777" w:rsidR="00DA077C" w:rsidRPr="00F81DE2" w:rsidRDefault="00DA077C" w:rsidP="00A40B9C">
            <w:pPr>
              <w:jc w:val="center"/>
              <w:rPr>
                <w:rFonts w:cs="Times New Roman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62.4</w:t>
            </w:r>
          </w:p>
        </w:tc>
      </w:tr>
      <w:tr w:rsidR="00DA077C" w:rsidRPr="00F81DE2" w14:paraId="03E0C234" w14:textId="77777777" w:rsidTr="00A40B9C">
        <w:trPr>
          <w:trHeight w:val="471"/>
        </w:trPr>
        <w:tc>
          <w:tcPr>
            <w:tcW w:w="2281" w:type="dxa"/>
            <w:vAlign w:val="center"/>
          </w:tcPr>
          <w:p w14:paraId="3EF9ECA3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cstheme="minorHAnsi" w:hint="eastAsia"/>
                <w:color w:val="000000" w:themeColor="text1"/>
                <w:szCs w:val="22"/>
              </w:rPr>
              <w:t>Glutamate</w:t>
            </w:r>
          </w:p>
        </w:tc>
        <w:tc>
          <w:tcPr>
            <w:tcW w:w="2281" w:type="dxa"/>
            <w:vAlign w:val="center"/>
          </w:tcPr>
          <w:p w14:paraId="14F80947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Cs w:val="22"/>
              </w:rPr>
              <w:t>13.5</w:t>
            </w:r>
          </w:p>
        </w:tc>
        <w:tc>
          <w:tcPr>
            <w:tcW w:w="2281" w:type="dxa"/>
            <w:vAlign w:val="center"/>
          </w:tcPr>
          <w:p w14:paraId="0A889707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7.3</w:t>
            </w:r>
          </w:p>
        </w:tc>
        <w:tc>
          <w:tcPr>
            <w:tcW w:w="2281" w:type="dxa"/>
            <w:vAlign w:val="center"/>
          </w:tcPr>
          <w:p w14:paraId="35169DCB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Cs w:val="22"/>
              </w:rPr>
              <w:t>8.4</w:t>
            </w:r>
          </w:p>
        </w:tc>
        <w:tc>
          <w:tcPr>
            <w:tcW w:w="2281" w:type="dxa"/>
            <w:vAlign w:val="center"/>
          </w:tcPr>
          <w:p w14:paraId="3FB03BB4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45.9</w:t>
            </w:r>
          </w:p>
        </w:tc>
        <w:tc>
          <w:tcPr>
            <w:tcW w:w="2282" w:type="dxa"/>
            <w:vAlign w:val="center"/>
          </w:tcPr>
          <w:p w14:paraId="66EF42C1" w14:textId="77777777" w:rsidR="00DA077C" w:rsidRPr="00F81DE2" w:rsidRDefault="00DA077C" w:rsidP="00A40B9C">
            <w:pPr>
              <w:jc w:val="center"/>
              <w:rPr>
                <w:rFonts w:cs="Times New Roman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121.6</w:t>
            </w:r>
          </w:p>
        </w:tc>
      </w:tr>
      <w:tr w:rsidR="00DA077C" w:rsidRPr="00F81DE2" w14:paraId="60727C1D" w14:textId="77777777" w:rsidTr="00A40B9C">
        <w:trPr>
          <w:trHeight w:val="471"/>
        </w:trPr>
        <w:tc>
          <w:tcPr>
            <w:tcW w:w="2281" w:type="dxa"/>
            <w:vAlign w:val="center"/>
          </w:tcPr>
          <w:p w14:paraId="6087016E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cstheme="minorHAnsi" w:hint="eastAsia"/>
                <w:color w:val="000000" w:themeColor="text1"/>
                <w:szCs w:val="22"/>
              </w:rPr>
              <w:t>Ammonia</w:t>
            </w:r>
          </w:p>
        </w:tc>
        <w:tc>
          <w:tcPr>
            <w:tcW w:w="2281" w:type="dxa"/>
            <w:vAlign w:val="center"/>
          </w:tcPr>
          <w:p w14:paraId="364ED02C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Cs w:val="22"/>
              </w:rPr>
              <w:t>10.7</w:t>
            </w:r>
          </w:p>
        </w:tc>
        <w:tc>
          <w:tcPr>
            <w:tcW w:w="2281" w:type="dxa"/>
            <w:vAlign w:val="center"/>
          </w:tcPr>
          <w:p w14:paraId="08950174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9.2</w:t>
            </w:r>
          </w:p>
        </w:tc>
        <w:tc>
          <w:tcPr>
            <w:tcW w:w="2281" w:type="dxa"/>
            <w:vAlign w:val="center"/>
          </w:tcPr>
          <w:p w14:paraId="57656DF8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Cs w:val="22"/>
              </w:rPr>
              <w:t>8.9</w:t>
            </w:r>
          </w:p>
        </w:tc>
        <w:tc>
          <w:tcPr>
            <w:tcW w:w="2281" w:type="dxa"/>
            <w:vAlign w:val="center"/>
          </w:tcPr>
          <w:p w14:paraId="6938B116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14.0</w:t>
            </w:r>
          </w:p>
        </w:tc>
        <w:tc>
          <w:tcPr>
            <w:tcW w:w="2282" w:type="dxa"/>
            <w:vAlign w:val="center"/>
          </w:tcPr>
          <w:p w14:paraId="3EEE8BB5" w14:textId="77777777" w:rsidR="00DA077C" w:rsidRPr="00F81DE2" w:rsidRDefault="00DA077C" w:rsidP="00A40B9C">
            <w:pPr>
              <w:jc w:val="center"/>
              <w:rPr>
                <w:rFonts w:cs="Times New Roman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83.3</w:t>
            </w:r>
          </w:p>
        </w:tc>
      </w:tr>
      <w:tr w:rsidR="00DA077C" w:rsidRPr="00F81DE2" w14:paraId="026BB944" w14:textId="77777777" w:rsidTr="00A40B9C">
        <w:trPr>
          <w:trHeight w:val="471"/>
        </w:trPr>
        <w:tc>
          <w:tcPr>
            <w:tcW w:w="2281" w:type="dxa"/>
            <w:vAlign w:val="center"/>
          </w:tcPr>
          <w:p w14:paraId="23104AD0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cstheme="minorHAnsi" w:hint="eastAsia"/>
                <w:color w:val="000000" w:themeColor="text1"/>
                <w:szCs w:val="22"/>
              </w:rPr>
              <w:t>LDH</w:t>
            </w:r>
          </w:p>
        </w:tc>
        <w:tc>
          <w:tcPr>
            <w:tcW w:w="2281" w:type="dxa"/>
            <w:vAlign w:val="center"/>
          </w:tcPr>
          <w:p w14:paraId="4312E514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Cs w:val="22"/>
              </w:rPr>
              <w:t>10.7</w:t>
            </w:r>
          </w:p>
        </w:tc>
        <w:tc>
          <w:tcPr>
            <w:tcW w:w="2281" w:type="dxa"/>
            <w:vAlign w:val="center"/>
          </w:tcPr>
          <w:p w14:paraId="46EB1019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4.7</w:t>
            </w:r>
          </w:p>
        </w:tc>
        <w:tc>
          <w:tcPr>
            <w:tcW w:w="2281" w:type="dxa"/>
            <w:vAlign w:val="center"/>
          </w:tcPr>
          <w:p w14:paraId="42D57522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kern w:val="0"/>
                <w:szCs w:val="22"/>
              </w:rPr>
              <w:t>5.8</w:t>
            </w:r>
          </w:p>
        </w:tc>
        <w:tc>
          <w:tcPr>
            <w:tcW w:w="2281" w:type="dxa"/>
            <w:vAlign w:val="center"/>
          </w:tcPr>
          <w:p w14:paraId="11FB8254" w14:textId="77777777" w:rsidR="00DA077C" w:rsidRPr="00F81DE2" w:rsidRDefault="00DA077C" w:rsidP="00A40B9C">
            <w:pPr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56.1</w:t>
            </w:r>
          </w:p>
        </w:tc>
        <w:tc>
          <w:tcPr>
            <w:tcW w:w="2282" w:type="dxa"/>
            <w:vAlign w:val="center"/>
          </w:tcPr>
          <w:p w14:paraId="78C39658" w14:textId="77777777" w:rsidR="00DA077C" w:rsidRPr="00F81DE2" w:rsidRDefault="00DA077C" w:rsidP="00A40B9C">
            <w:pPr>
              <w:jc w:val="center"/>
              <w:rPr>
                <w:rFonts w:cs="Times New Roman"/>
                <w:color w:val="000000" w:themeColor="text1"/>
                <w:szCs w:val="22"/>
              </w:rPr>
            </w:pPr>
            <w:r w:rsidRPr="00F81DE2">
              <w:rPr>
                <w:rFonts w:eastAsia="맑은 고딕" w:cs="Times New Roman"/>
                <w:color w:val="000000" w:themeColor="text1"/>
                <w:szCs w:val="22"/>
              </w:rPr>
              <w:t>122.4</w:t>
            </w:r>
          </w:p>
        </w:tc>
      </w:tr>
    </w:tbl>
    <w:p w14:paraId="7EA58CB5" w14:textId="77777777" w:rsidR="00DA077C" w:rsidRDefault="00DA077C" w:rsidP="00674323">
      <w:pPr>
        <w:spacing w:line="480" w:lineRule="auto"/>
      </w:pPr>
    </w:p>
    <w:p w14:paraId="2B308B3D" w14:textId="77777777" w:rsidR="00DA077C" w:rsidRDefault="00DA077C" w:rsidP="00674323">
      <w:pPr>
        <w:spacing w:line="480" w:lineRule="auto"/>
      </w:pPr>
    </w:p>
    <w:p w14:paraId="55CDEDE2" w14:textId="77777777" w:rsidR="00DA077C" w:rsidRDefault="00DA077C" w:rsidP="00674323">
      <w:pPr>
        <w:spacing w:line="480" w:lineRule="auto"/>
      </w:pPr>
    </w:p>
    <w:p w14:paraId="201CE5F2" w14:textId="77777777" w:rsidR="00DA077C" w:rsidRPr="00197CED" w:rsidRDefault="00DA077C" w:rsidP="00674323">
      <w:pPr>
        <w:spacing w:line="480" w:lineRule="auto"/>
        <w:rPr>
          <w:rFonts w:hint="eastAsia"/>
        </w:rPr>
      </w:pPr>
    </w:p>
    <w:p w14:paraId="4482C695" w14:textId="4CF4451E" w:rsidR="00674323" w:rsidRDefault="00674323" w:rsidP="00674323">
      <w:pPr>
        <w:spacing w:line="480" w:lineRule="auto"/>
        <w:jc w:val="center"/>
      </w:pPr>
      <w:r>
        <w:rPr>
          <w:rFonts w:cs="Times New Roman"/>
          <w:b/>
          <w:bCs/>
          <w:noProof/>
          <w:szCs w:val="22"/>
        </w:rPr>
        <w:lastRenderedPageBreak/>
        <w:drawing>
          <wp:inline distT="0" distB="0" distL="0" distR="0" wp14:anchorId="520C70DB" wp14:editId="38A15BAC">
            <wp:extent cx="3044333" cy="4057650"/>
            <wp:effectExtent l="0" t="0" r="3810" b="0"/>
            <wp:docPr id="80368137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366" cy="409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0F017" w14:textId="2AE51A34" w:rsidR="00674323" w:rsidRPr="00B25EFA" w:rsidRDefault="00674323" w:rsidP="00B25EFA">
      <w:pPr>
        <w:spacing w:line="480" w:lineRule="auto"/>
        <w:jc w:val="both"/>
        <w:rPr>
          <w:rFonts w:cs="Times New Roman"/>
          <w:b/>
          <w:bCs/>
          <w:szCs w:val="22"/>
        </w:rPr>
      </w:pPr>
      <w:r w:rsidRPr="00674323">
        <w:rPr>
          <w:rFonts w:hint="eastAsia"/>
          <w:b/>
          <w:bCs/>
        </w:rPr>
        <w:t>Suppl. Figure 1</w:t>
      </w:r>
      <w:r w:rsidRPr="0029093D">
        <w:rPr>
          <w:rFonts w:hint="eastAsia"/>
          <w:b/>
          <w:bCs/>
        </w:rPr>
        <w:t xml:space="preserve">. </w:t>
      </w:r>
      <w:r w:rsidR="0029093D" w:rsidRPr="0029093D">
        <w:rPr>
          <w:b/>
          <w:bCs/>
        </w:rPr>
        <w:t>Workflow of the standardized Raman spectral data preprocessing and quality control.</w:t>
      </w:r>
      <w:r w:rsidR="0029093D">
        <w:rPr>
          <w:rFonts w:hint="eastAsia"/>
        </w:rPr>
        <w:t xml:space="preserve"> </w:t>
      </w:r>
      <w:r w:rsidR="0029093D" w:rsidRPr="0029093D">
        <w:t>Step-by-step schematic of the preprocessing workflow applied to the raw Raman spectra. Prior to baseline correction and normalization, all acquired spectra underwent a standardized quality control procedure to identify and remove cosmic spikes and other pronounced spectral artifacts that are unrelated to chemical composition.</w:t>
      </w:r>
    </w:p>
    <w:p w14:paraId="2AFAF8E2" w14:textId="629F8DDF" w:rsidR="009E4E4C" w:rsidRDefault="002846C8" w:rsidP="00DA077C">
      <w:pPr>
        <w:spacing w:line="480" w:lineRule="auto"/>
        <w:jc w:val="center"/>
        <w:rPr>
          <w:rFonts w:cstheme="minorHAnsi"/>
          <w:b/>
          <w:bCs/>
          <w:color w:val="EE0000"/>
        </w:rPr>
      </w:pPr>
      <w:r>
        <w:rPr>
          <w:rFonts w:cs="Times New Roman"/>
          <w:noProof/>
          <w:color w:val="EE0000"/>
        </w:rPr>
        <w:lastRenderedPageBreak/>
        <w:drawing>
          <wp:inline distT="0" distB="0" distL="0" distR="0" wp14:anchorId="1E128FC3" wp14:editId="029C8438">
            <wp:extent cx="8305800" cy="3435325"/>
            <wp:effectExtent l="0" t="0" r="0" b="0"/>
            <wp:docPr id="18443550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5850" cy="343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FE176" w14:textId="64F7279F" w:rsidR="0068194E" w:rsidRDefault="0068194E" w:rsidP="00525894">
      <w:pPr>
        <w:spacing w:line="480" w:lineRule="auto"/>
        <w:jc w:val="both"/>
        <w:rPr>
          <w:rFonts w:cstheme="minorHAnsi"/>
          <w:color w:val="000000" w:themeColor="text1"/>
        </w:rPr>
      </w:pPr>
      <w:r w:rsidRPr="00F81DE2">
        <w:rPr>
          <w:rFonts w:cstheme="minorHAnsi" w:hint="eastAsia"/>
          <w:b/>
          <w:bCs/>
          <w:color w:val="000000" w:themeColor="text1"/>
        </w:rPr>
        <w:t xml:space="preserve">Suppl. Figure </w:t>
      </w:r>
      <w:r w:rsidR="00DA077C">
        <w:rPr>
          <w:rFonts w:cstheme="minorHAnsi" w:hint="eastAsia"/>
          <w:b/>
          <w:bCs/>
          <w:color w:val="000000" w:themeColor="text1"/>
        </w:rPr>
        <w:t>2</w:t>
      </w:r>
      <w:r w:rsidRPr="00F81DE2">
        <w:rPr>
          <w:rFonts w:cstheme="minorHAnsi" w:hint="eastAsia"/>
          <w:b/>
          <w:bCs/>
          <w:color w:val="000000" w:themeColor="text1"/>
        </w:rPr>
        <w:t>.</w:t>
      </w:r>
      <w:r w:rsidRPr="00F81DE2">
        <w:rPr>
          <w:rFonts w:cstheme="minorHAnsi" w:hint="eastAsia"/>
          <w:color w:val="000000" w:themeColor="text1"/>
        </w:rPr>
        <w:t xml:space="preserve"> </w:t>
      </w:r>
      <w:r w:rsidR="0071754C" w:rsidRPr="00F81DE2">
        <w:rPr>
          <w:rFonts w:cstheme="minorHAnsi"/>
          <w:b/>
          <w:bCs/>
          <w:color w:val="000000" w:themeColor="text1"/>
        </w:rPr>
        <w:t>Heatmap-based comparison of VIP-derived regions and coefficient patterns within VIP &gt; 1 Raman shift regions for representative target outputs.</w:t>
      </w:r>
      <w:r w:rsidR="0071754C" w:rsidRPr="00F81DE2">
        <w:rPr>
          <w:rFonts w:cstheme="minorHAnsi"/>
          <w:color w:val="000000" w:themeColor="text1"/>
        </w:rPr>
        <w:t xml:space="preserve"> (A) Heatmap of Raman shift regions with VIP scores greater than 1 for glucose, lactate, glutamate, and VCD. High-VIP regions were broadly shared among the target outputs, indicating that VIP primarily captured common process-related spectral variance in the cell culture dataset. (B) Heatmap of model coefficient values within the VIP &gt; 1 Raman shift regions. In contrast to the VIP-based pattern, coefficient values within these regions showed more target-dependent distributions, supporting the use of coefficient-based analysis to further interpret Raman regions contributing to target-specific model predictions.</w:t>
      </w:r>
    </w:p>
    <w:p w14:paraId="67EBC31D" w14:textId="510DB59B" w:rsidR="00DA077C" w:rsidRDefault="00DA077C" w:rsidP="00DA077C">
      <w:pPr>
        <w:spacing w:line="480" w:lineRule="auto"/>
        <w:jc w:val="center"/>
        <w:rPr>
          <w:color w:val="000000" w:themeColor="text1"/>
        </w:rPr>
      </w:pPr>
      <w:r>
        <w:rPr>
          <w:rFonts w:cs="Times New Roman"/>
          <w:b/>
          <w:bCs/>
          <w:noProof/>
          <w:szCs w:val="22"/>
        </w:rPr>
        <w:lastRenderedPageBreak/>
        <w:drawing>
          <wp:inline distT="0" distB="0" distL="0" distR="0" wp14:anchorId="74007A92" wp14:editId="78435F11">
            <wp:extent cx="6465030" cy="4067175"/>
            <wp:effectExtent l="0" t="0" r="0" b="0"/>
            <wp:docPr id="1833793122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03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24A62" w14:textId="762C8D0F" w:rsidR="00DA077C" w:rsidRPr="00F81DE2" w:rsidRDefault="00DA077C" w:rsidP="00DA077C">
      <w:pPr>
        <w:spacing w:line="480" w:lineRule="auto"/>
        <w:jc w:val="both"/>
        <w:rPr>
          <w:rFonts w:hint="eastAsia"/>
          <w:color w:val="000000" w:themeColor="text1"/>
        </w:rPr>
      </w:pPr>
      <w:r w:rsidRPr="00C11EE7">
        <w:rPr>
          <w:rFonts w:hint="eastAsia"/>
          <w:b/>
          <w:bCs/>
        </w:rPr>
        <w:t xml:space="preserve">Suppl. Figure </w:t>
      </w:r>
      <w:r>
        <w:rPr>
          <w:rFonts w:hint="eastAsia"/>
          <w:b/>
          <w:bCs/>
        </w:rPr>
        <w:t>3</w:t>
      </w:r>
      <w:r w:rsidRPr="00C11EE7">
        <w:rPr>
          <w:rFonts w:hint="eastAsia"/>
          <w:b/>
          <w:bCs/>
        </w:rPr>
        <w:t>.</w:t>
      </w:r>
      <w:r>
        <w:rPr>
          <w:rFonts w:hint="eastAsia"/>
        </w:rPr>
        <w:t xml:space="preserve"> </w:t>
      </w:r>
      <w:r w:rsidRPr="00525894">
        <w:rPr>
          <w:rFonts w:cs="Times New Roman"/>
          <w:b/>
          <w:bCs/>
          <w:szCs w:val="22"/>
        </w:rPr>
        <w:t>Raw Raman spectra from Ambr® 250 and bench-scale bioreactors.</w:t>
      </w:r>
      <w:r>
        <w:rPr>
          <w:rFonts w:cs="Times New Roman" w:hint="eastAsia"/>
          <w:b/>
          <w:bCs/>
          <w:szCs w:val="22"/>
        </w:rPr>
        <w:t xml:space="preserve"> </w:t>
      </w:r>
      <w:r w:rsidRPr="00525894">
        <w:rPr>
          <w:rFonts w:cs="Times New Roman"/>
          <w:szCs w:val="22"/>
        </w:rPr>
        <w:t>Raw Raman spectra acquired from the Ambr® 250 high-throughput system (blue lines) and the bench-scale bioreactors (green lines). The spectral overlay reveals distinct differences in baseline levels, fluorescence background, and overall signal intensity between the two systems. These variations represent the cross-condition challenge inherently present during model transfer, underscoring the necessity for robust spectral preprocessing.</w:t>
      </w:r>
    </w:p>
    <w:sectPr w:rsidR="00DA077C" w:rsidRPr="00F81DE2" w:rsidSect="00674323">
      <w:footerReference w:type="default" r:id="rId13"/>
      <w:pgSz w:w="16838" w:h="11906" w:orient="landscape"/>
      <w:pgMar w:top="1440" w:right="1701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FA845" w14:textId="77777777" w:rsidR="00FA23B3" w:rsidRDefault="00FA23B3" w:rsidP="008573EE">
      <w:pPr>
        <w:spacing w:after="0"/>
      </w:pPr>
      <w:r>
        <w:separator/>
      </w:r>
    </w:p>
  </w:endnote>
  <w:endnote w:type="continuationSeparator" w:id="0">
    <w:p w14:paraId="449176CE" w14:textId="77777777" w:rsidR="00FA23B3" w:rsidRDefault="00FA23B3" w:rsidP="008573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2169719"/>
      <w:docPartObj>
        <w:docPartGallery w:val="Page Numbers (Bottom of Page)"/>
        <w:docPartUnique/>
      </w:docPartObj>
    </w:sdtPr>
    <w:sdtEndPr/>
    <w:sdtContent>
      <w:p w14:paraId="5326E703" w14:textId="43ED70ED" w:rsidR="0068194E" w:rsidRDefault="0068194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860D8B4" w14:textId="77777777" w:rsidR="0068194E" w:rsidRDefault="0068194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1B2AB" w14:textId="77777777" w:rsidR="00FA23B3" w:rsidRDefault="00FA23B3" w:rsidP="008573EE">
      <w:pPr>
        <w:spacing w:after="0"/>
      </w:pPr>
      <w:r>
        <w:separator/>
      </w:r>
    </w:p>
  </w:footnote>
  <w:footnote w:type="continuationSeparator" w:id="0">
    <w:p w14:paraId="23D59F00" w14:textId="77777777" w:rsidR="00FA23B3" w:rsidRDefault="00FA23B3" w:rsidP="008573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323"/>
    <w:rsid w:val="0000509E"/>
    <w:rsid w:val="00074200"/>
    <w:rsid w:val="00087406"/>
    <w:rsid w:val="000E7BCD"/>
    <w:rsid w:val="00160E5D"/>
    <w:rsid w:val="00197CED"/>
    <w:rsid w:val="001D0666"/>
    <w:rsid w:val="002413FC"/>
    <w:rsid w:val="0027312F"/>
    <w:rsid w:val="002846C8"/>
    <w:rsid w:val="0029093D"/>
    <w:rsid w:val="0030226A"/>
    <w:rsid w:val="003D69CB"/>
    <w:rsid w:val="004074C0"/>
    <w:rsid w:val="004805E5"/>
    <w:rsid w:val="004B21B0"/>
    <w:rsid w:val="00525894"/>
    <w:rsid w:val="00544C93"/>
    <w:rsid w:val="00552BE3"/>
    <w:rsid w:val="0057513F"/>
    <w:rsid w:val="006154AD"/>
    <w:rsid w:val="0062622A"/>
    <w:rsid w:val="00646BDC"/>
    <w:rsid w:val="00674323"/>
    <w:rsid w:val="00674E8A"/>
    <w:rsid w:val="0068194E"/>
    <w:rsid w:val="00682CB9"/>
    <w:rsid w:val="006B6A9C"/>
    <w:rsid w:val="006E0BCF"/>
    <w:rsid w:val="0071628F"/>
    <w:rsid w:val="0071754C"/>
    <w:rsid w:val="00722D9B"/>
    <w:rsid w:val="007F1781"/>
    <w:rsid w:val="007F4588"/>
    <w:rsid w:val="0080537E"/>
    <w:rsid w:val="00805797"/>
    <w:rsid w:val="0083128C"/>
    <w:rsid w:val="008573EE"/>
    <w:rsid w:val="00884AC7"/>
    <w:rsid w:val="008B3A4D"/>
    <w:rsid w:val="008E0A87"/>
    <w:rsid w:val="008F1F95"/>
    <w:rsid w:val="009545A3"/>
    <w:rsid w:val="009A434C"/>
    <w:rsid w:val="009E4E4C"/>
    <w:rsid w:val="00A338A3"/>
    <w:rsid w:val="00AC4DE9"/>
    <w:rsid w:val="00B25EFA"/>
    <w:rsid w:val="00B31A10"/>
    <w:rsid w:val="00B44D63"/>
    <w:rsid w:val="00B642D6"/>
    <w:rsid w:val="00C01A09"/>
    <w:rsid w:val="00C11EE7"/>
    <w:rsid w:val="00C4601E"/>
    <w:rsid w:val="00C72DC3"/>
    <w:rsid w:val="00C97ACB"/>
    <w:rsid w:val="00CB4CE5"/>
    <w:rsid w:val="00DA077C"/>
    <w:rsid w:val="00DB2F35"/>
    <w:rsid w:val="00DE082D"/>
    <w:rsid w:val="00EC029F"/>
    <w:rsid w:val="00ED0ED8"/>
    <w:rsid w:val="00F07258"/>
    <w:rsid w:val="00F81DE2"/>
    <w:rsid w:val="00F83462"/>
    <w:rsid w:val="00FA23B3"/>
    <w:rsid w:val="00FA73C0"/>
    <w:rsid w:val="00FE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E1157"/>
  <w15:chartTrackingRefBased/>
  <w15:docId w15:val="{C1AEE1CE-DAAB-4C5F-A4D2-E7BF640E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323"/>
    <w:pPr>
      <w:widowControl w:val="0"/>
      <w:wordWrap w:val="0"/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Char"/>
    <w:uiPriority w:val="9"/>
    <w:qFormat/>
    <w:rsid w:val="0067432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74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43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432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432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432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7432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7432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7432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7432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7432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7432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743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743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743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743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743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7432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7432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74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7432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743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74323"/>
    <w:pPr>
      <w:spacing w:before="160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7432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74323"/>
    <w:pPr>
      <w:ind w:left="720"/>
      <w:contextualSpacing/>
    </w:pPr>
    <w:rPr>
      <w:rFonts w:asciiTheme="minorHAnsi" w:hAnsiTheme="minorHAnsi"/>
    </w:rPr>
  </w:style>
  <w:style w:type="character" w:styleId="a7">
    <w:name w:val="Intense Emphasis"/>
    <w:basedOn w:val="a0"/>
    <w:uiPriority w:val="21"/>
    <w:qFormat/>
    <w:rsid w:val="0067432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74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7432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74323"/>
    <w:rPr>
      <w:b/>
      <w:bCs/>
      <w:smallCaps/>
      <w:color w:val="0F4761" w:themeColor="accent1" w:themeShade="BF"/>
      <w:spacing w:val="5"/>
    </w:rPr>
  </w:style>
  <w:style w:type="table" w:styleId="10">
    <w:name w:val="Grid Table 1 Light"/>
    <w:basedOn w:val="a1"/>
    <w:uiPriority w:val="46"/>
    <w:rsid w:val="0067432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a">
    <w:name w:val="line number"/>
    <w:basedOn w:val="a0"/>
    <w:uiPriority w:val="99"/>
    <w:semiHidden/>
    <w:unhideWhenUsed/>
    <w:rsid w:val="00674323"/>
  </w:style>
  <w:style w:type="paragraph" w:styleId="ab">
    <w:name w:val="header"/>
    <w:basedOn w:val="a"/>
    <w:link w:val="Char3"/>
    <w:uiPriority w:val="99"/>
    <w:unhideWhenUsed/>
    <w:rsid w:val="008573E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8573EE"/>
    <w:rPr>
      <w:rFonts w:ascii="Times New Roman" w:hAnsi="Times New Roman"/>
    </w:rPr>
  </w:style>
  <w:style w:type="paragraph" w:styleId="ac">
    <w:name w:val="footer"/>
    <w:basedOn w:val="a"/>
    <w:link w:val="Char4"/>
    <w:uiPriority w:val="99"/>
    <w:unhideWhenUsed/>
    <w:rsid w:val="008573E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8573EE"/>
    <w:rPr>
      <w:rFonts w:ascii="Times New Roman" w:hAnsi="Times New Roman"/>
    </w:rPr>
  </w:style>
  <w:style w:type="character" w:styleId="ad">
    <w:name w:val="annotation reference"/>
    <w:basedOn w:val="a0"/>
    <w:uiPriority w:val="99"/>
    <w:semiHidden/>
    <w:unhideWhenUsed/>
    <w:rsid w:val="00F07258"/>
    <w:rPr>
      <w:sz w:val="18"/>
      <w:szCs w:val="18"/>
    </w:rPr>
  </w:style>
  <w:style w:type="paragraph" w:styleId="ae">
    <w:name w:val="annotation text"/>
    <w:basedOn w:val="a"/>
    <w:link w:val="Char5"/>
    <w:uiPriority w:val="99"/>
    <w:semiHidden/>
    <w:unhideWhenUsed/>
    <w:rsid w:val="00F07258"/>
  </w:style>
  <w:style w:type="character" w:customStyle="1" w:styleId="Char5">
    <w:name w:val="메모 텍스트 Char"/>
    <w:basedOn w:val="a0"/>
    <w:link w:val="ae"/>
    <w:uiPriority w:val="99"/>
    <w:semiHidden/>
    <w:rsid w:val="00F07258"/>
    <w:rPr>
      <w:rFonts w:ascii="Times New Roman" w:hAnsi="Times New Roman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F07258"/>
    <w:rPr>
      <w:b/>
      <w:bCs/>
    </w:rPr>
  </w:style>
  <w:style w:type="character" w:customStyle="1" w:styleId="Char6">
    <w:name w:val="메모 주제 Char"/>
    <w:basedOn w:val="Char5"/>
    <w:link w:val="af"/>
    <w:uiPriority w:val="99"/>
    <w:semiHidden/>
    <w:rsid w:val="00F07258"/>
    <w:rPr>
      <w:rFonts w:ascii="Times New Roman" w:hAnsi="Times New Roman"/>
      <w:b/>
      <w:bCs/>
    </w:rPr>
  </w:style>
  <w:style w:type="table" w:styleId="af0">
    <w:name w:val="Table Grid"/>
    <w:basedOn w:val="a1"/>
    <w:uiPriority w:val="39"/>
    <w:rsid w:val="004805E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tif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675615F48FE7040BC7FF26621012636" ma:contentTypeVersion="9" ma:contentTypeDescription="새 문서를 만듭니다." ma:contentTypeScope="" ma:versionID="d02dde0fa3a350461db3a6a0056eec30">
  <xsd:schema xmlns:xsd="http://www.w3.org/2001/XMLSchema" xmlns:xs="http://www.w3.org/2001/XMLSchema" xmlns:p="http://schemas.microsoft.com/office/2006/metadata/properties" xmlns:ns2="1e1b606f-8ca3-42c4-a71b-75a96c784107" targetNamespace="http://schemas.microsoft.com/office/2006/metadata/properties" ma:root="true" ma:fieldsID="9510323cf122e697a1d2780d0ba06204" ns2:_="">
    <xsd:import namespace="1e1b606f-8ca3-42c4-a71b-75a96c784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b606f-8ca3-42c4-a71b-75a96c784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443a4e8f-5f1e-42e5-b319-b6df23f6bd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1b606f-8ca3-42c4-a71b-75a96c7841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C5B4AB-6AC7-4EC1-8B8D-618759D53C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6A54B3-D667-4C4C-A0D5-9C3F3DE06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b606f-8ca3-42c4-a71b-75a96c784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0E4F8E-C5FE-4EEC-914E-55F962D2C5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44EE99-A2BB-4FB7-8A21-93E170EE3C1D}">
  <ds:schemaRefs>
    <ds:schemaRef ds:uri="http://schemas.microsoft.com/office/2006/metadata/properties"/>
    <ds:schemaRef ds:uri="http://schemas.microsoft.com/office/infopath/2007/PartnerControls"/>
    <ds:schemaRef ds:uri="1e1b606f-8ca3-42c4-a71b-75a96c7841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한성혁 (Sung-hyuk Han)</dc:creator>
  <cp:keywords/>
  <dc:description/>
  <cp:lastModifiedBy>한성혁 (Sung-hyuk Han)</cp:lastModifiedBy>
  <cp:revision>2</cp:revision>
  <cp:lastPrinted>2026-06-26T13:17:00Z</cp:lastPrinted>
  <dcterms:created xsi:type="dcterms:W3CDTF">2026-08-24T01:14:00Z</dcterms:created>
  <dcterms:modified xsi:type="dcterms:W3CDTF">2026-08-24T01:14:00Z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0x0101002675615F48FE7040BC7FF26621012636</vt:lpwstr>
  </property>
  <property fmtid="{D5CDD505-2E9C-101B-9397-08002B2CF9AE}" pid="3" name="MediaServiceImageTags">
    <vt:lpwstr/>
  </property>
</Properties>
</file>