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FBC" w:rsidRPr="00DC47B9" w:rsidRDefault="00DC47B9" w:rsidP="00DC47B9">
      <w:pPr>
        <w:ind w:leftChars="-350" w:left="-735"/>
        <w:rPr>
          <w:rFonts w:ascii="Times New Roman" w:hAnsi="Times New Roman" w:cs="Times New Roman"/>
          <w:b/>
          <w:sz w:val="18"/>
        </w:rPr>
      </w:pPr>
      <w:bookmarkStart w:id="0" w:name="_GoBack"/>
      <w:r w:rsidRPr="00DC47B9">
        <w:rPr>
          <w:rFonts w:ascii="Times New Roman" w:hAnsi="Times New Roman" w:cs="Times New Roman"/>
          <w:b/>
          <w:sz w:val="18"/>
        </w:rPr>
        <w:t>S-table 1. Details of Examination Techniques</w:t>
      </w:r>
    </w:p>
    <w:bookmarkEnd w:id="0"/>
    <w:tbl>
      <w:tblPr>
        <w:tblStyle w:val="a7"/>
        <w:tblW w:w="10916" w:type="dxa"/>
        <w:tblInd w:w="-856" w:type="dxa"/>
        <w:tblLook w:val="04A0" w:firstRow="1" w:lastRow="0" w:firstColumn="1" w:lastColumn="0" w:noHBand="0" w:noVBand="1"/>
      </w:tblPr>
      <w:tblGrid>
        <w:gridCol w:w="1560"/>
        <w:gridCol w:w="2339"/>
        <w:gridCol w:w="2339"/>
        <w:gridCol w:w="2339"/>
        <w:gridCol w:w="2339"/>
      </w:tblGrid>
      <w:tr w:rsidR="00DA3D91" w:rsidRPr="00B54821" w:rsidTr="00DC47B9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39" w:type="dxa"/>
            <w:tcBorders>
              <w:left w:val="nil"/>
              <w:bottom w:val="single" w:sz="4" w:space="0" w:color="auto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Second Affiliated Hospital of Zhejiang University School of Medicine</w:t>
            </w:r>
          </w:p>
        </w:tc>
        <w:tc>
          <w:tcPr>
            <w:tcW w:w="2339" w:type="dxa"/>
            <w:tcBorders>
              <w:left w:val="nil"/>
              <w:bottom w:val="single" w:sz="4" w:space="0" w:color="auto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Eastern Hepatobiliary Surgery Hospital</w:t>
            </w:r>
          </w:p>
        </w:tc>
        <w:tc>
          <w:tcPr>
            <w:tcW w:w="2339" w:type="dxa"/>
            <w:tcBorders>
              <w:left w:val="nil"/>
              <w:bottom w:val="single" w:sz="4" w:space="0" w:color="auto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Tongji Hospital</w:t>
            </w:r>
          </w:p>
        </w:tc>
        <w:tc>
          <w:tcPr>
            <w:tcW w:w="2339" w:type="dxa"/>
            <w:tcBorders>
              <w:left w:val="nil"/>
              <w:bottom w:val="single" w:sz="4" w:space="0" w:color="auto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Changhai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 xml:space="preserve"> Hospital</w:t>
            </w:r>
          </w:p>
        </w:tc>
      </w:tr>
      <w:tr w:rsidR="00DA3D91" w:rsidRPr="00B54821" w:rsidTr="00DC47B9">
        <w:trPr>
          <w:trHeight w:val="976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CT-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equipments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All examinations were performed with a multidetector CT scanner (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Somatom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 xml:space="preserve"> Definition Flash Dual Source 64-row, Siemens Medical Systems, Erlangen, Germany).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All examinations were performed with a multidetector CT scanner (GE Lightspeed 64-row, GE Healthcare, USA).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DA3D91">
              <w:rPr>
                <w:rFonts w:ascii="Times New Roman" w:hAnsi="Times New Roman" w:cs="Times New Roman"/>
                <w:sz w:val="18"/>
              </w:rPr>
              <w:t>All examinations were performed with a multidetector CT scanner (</w:t>
            </w:r>
            <w:proofErr w:type="spellStart"/>
            <w:r w:rsidRPr="00DA3D91">
              <w:rPr>
                <w:rFonts w:ascii="Times New Roman" w:hAnsi="Times New Roman" w:cs="Times New Roman"/>
                <w:sz w:val="18"/>
              </w:rPr>
              <w:t>Somatom</w:t>
            </w:r>
            <w:proofErr w:type="spellEnd"/>
            <w:r w:rsidRPr="00DA3D91">
              <w:rPr>
                <w:rFonts w:ascii="Times New Roman" w:hAnsi="Times New Roman" w:cs="Times New Roman"/>
                <w:sz w:val="18"/>
              </w:rPr>
              <w:t xml:space="preserve"> Definition Flash 64-row, Siemens Medical Systems, Erlangen, Germany).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All examinations were performed with a multidetector CT scanner (GE Lightspeed 64-row, GE Healthcare, USA).</w:t>
            </w:r>
          </w:p>
        </w:tc>
      </w:tr>
      <w:tr w:rsidR="00DA3D91" w:rsidRPr="00B54821" w:rsidTr="00DC47B9">
        <w:trPr>
          <w:trHeight w:val="210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</w:t>
            </w:r>
            <w:r w:rsidRPr="00B54821">
              <w:rPr>
                <w:rFonts w:ascii="Times New Roman" w:hAnsi="Times New Roman" w:cs="Times New Roman"/>
                <w:sz w:val="18"/>
              </w:rPr>
              <w:t>ontrast injection protocols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Nonionic contrast medium (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Iopamiro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>, 370 mg/ml, Bracco S.P.A.) 100ml was injected using a high-pressure injector at a rate of 3 mL/s.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Nonionic contrast medium (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Omnipaque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 xml:space="preserve"> 350mg/ml; GE Healthcare, Milwaukee, WI, USA) 100ml was injected using a high-pressure injector at a rate of 3 mL/s.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DA3D91">
              <w:rPr>
                <w:rFonts w:ascii="Times New Roman" w:hAnsi="Times New Roman" w:cs="Times New Roman"/>
                <w:sz w:val="18"/>
              </w:rPr>
              <w:t>Nonionic contrast medium (</w:t>
            </w:r>
            <w:proofErr w:type="spellStart"/>
            <w:r w:rsidRPr="00DA3D91">
              <w:rPr>
                <w:rFonts w:ascii="Times New Roman" w:hAnsi="Times New Roman" w:cs="Times New Roman"/>
                <w:sz w:val="18"/>
              </w:rPr>
              <w:t>Ultravist</w:t>
            </w:r>
            <w:proofErr w:type="spellEnd"/>
            <w:r w:rsidRPr="00DA3D91">
              <w:rPr>
                <w:rFonts w:ascii="Times New Roman" w:hAnsi="Times New Roman" w:cs="Times New Roman"/>
                <w:sz w:val="18"/>
              </w:rPr>
              <w:t xml:space="preserve"> 370 mg/mL; Bayer Healthcare, Berlin, Germany) 100ml was injected using a high-pressure injector at a rate of 3 mL/s.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>Nonionic contrast medium (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Omnipaque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 xml:space="preserve"> 350mg/ml; GE Healthcare, Milwaukee, WI, USA) 100ml was injected using a high-pressure injector at a rate of 3 mL/s.</w:t>
            </w:r>
          </w:p>
        </w:tc>
      </w:tr>
      <w:tr w:rsidR="00DA3D91" w:rsidRPr="00B54821" w:rsidTr="00DC47B9">
        <w:trPr>
          <w:trHeight w:val="1700"/>
        </w:trPr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</w:t>
            </w:r>
            <w:r w:rsidRPr="00B54821">
              <w:rPr>
                <w:rFonts w:ascii="Times New Roman" w:hAnsi="Times New Roman" w:cs="Times New Roman"/>
                <w:sz w:val="18"/>
              </w:rPr>
              <w:t>maging protocols</w:t>
            </w:r>
          </w:p>
        </w:tc>
        <w:tc>
          <w:tcPr>
            <w:tcW w:w="2339" w:type="dxa"/>
            <w:tcBorders>
              <w:top w:val="nil"/>
              <w:left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 xml:space="preserve">The CT studies were performed with pre-contrast scans, arterial phase (25 s after injection), pancreatic phase (45 s after injection) and portal venous phase (65 s after injection). Scanning parameters were as follows: slice thickness, 0.6 mm; slice gap, 0.6 mm; 170 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mAs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 xml:space="preserve">, 120 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kVp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>. Axial images and multiplanar reformats in the coronal plane at 3mm interval were reconstructed. MIP and CPR</w:t>
            </w:r>
            <w:r w:rsidR="00DC47B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B54821">
              <w:rPr>
                <w:rFonts w:ascii="Times New Roman" w:hAnsi="Times New Roman" w:cs="Times New Roman"/>
                <w:sz w:val="18"/>
              </w:rPr>
              <w:t>were used for vascular evaluation.</w:t>
            </w:r>
          </w:p>
        </w:tc>
        <w:tc>
          <w:tcPr>
            <w:tcW w:w="2339" w:type="dxa"/>
            <w:tcBorders>
              <w:top w:val="nil"/>
              <w:left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 xml:space="preserve">The CT studies were performed with pre-contrast scans, arterial phase (25 s after injection), pancreatic phase (45 s after injection) and portal venous phase (65 s after injection). Scanning parameters were as follows: slice thickness, 1.0 mm; slice gap, 1.0 mm; 146 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mAs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 xml:space="preserve">, 120 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kVp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>. Axial images and multiplanar reformats in the coronal plane at 3mm interval were reconstructed. MIP and CPR were used for vascular evaluation.</w:t>
            </w:r>
          </w:p>
        </w:tc>
        <w:tc>
          <w:tcPr>
            <w:tcW w:w="2339" w:type="dxa"/>
            <w:tcBorders>
              <w:top w:val="nil"/>
              <w:left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DA3D91">
              <w:rPr>
                <w:rFonts w:ascii="Times New Roman" w:hAnsi="Times New Roman" w:cs="Times New Roman"/>
                <w:sz w:val="18"/>
              </w:rPr>
              <w:t xml:space="preserve">The CT studies were performed with pre-contrast scans, arterial phase (25 s after injection), pancreatic phase (45 s after injection) and portal venous phase (65 s after injection). Scanning parameters were as follows: slice thickness, 1.0 mm; slice gap, 1.0 mm; 160 </w:t>
            </w:r>
            <w:proofErr w:type="spellStart"/>
            <w:r w:rsidRPr="00DA3D91">
              <w:rPr>
                <w:rFonts w:ascii="Times New Roman" w:hAnsi="Times New Roman" w:cs="Times New Roman"/>
                <w:sz w:val="18"/>
              </w:rPr>
              <w:t>mAs</w:t>
            </w:r>
            <w:proofErr w:type="spellEnd"/>
            <w:r w:rsidRPr="00DA3D91">
              <w:rPr>
                <w:rFonts w:ascii="Times New Roman" w:hAnsi="Times New Roman" w:cs="Times New Roman"/>
                <w:sz w:val="18"/>
              </w:rPr>
              <w:t xml:space="preserve">, 120 </w:t>
            </w:r>
            <w:proofErr w:type="spellStart"/>
            <w:r w:rsidRPr="00DA3D91">
              <w:rPr>
                <w:rFonts w:ascii="Times New Roman" w:hAnsi="Times New Roman" w:cs="Times New Roman"/>
                <w:sz w:val="18"/>
              </w:rPr>
              <w:t>kVp</w:t>
            </w:r>
            <w:proofErr w:type="spellEnd"/>
            <w:r w:rsidRPr="00DA3D91">
              <w:rPr>
                <w:rFonts w:ascii="Times New Roman" w:hAnsi="Times New Roman" w:cs="Times New Roman"/>
                <w:sz w:val="18"/>
              </w:rPr>
              <w:t>. Axial images and multiplanar reformats in the coronal plane at 3mm interval were reconstructed. MIP and CPR were used for vascular evaluation.</w:t>
            </w:r>
          </w:p>
        </w:tc>
        <w:tc>
          <w:tcPr>
            <w:tcW w:w="2339" w:type="dxa"/>
            <w:tcBorders>
              <w:top w:val="nil"/>
              <w:left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 w:rsidRPr="00B54821">
              <w:rPr>
                <w:rFonts w:ascii="Times New Roman" w:hAnsi="Times New Roman" w:cs="Times New Roman"/>
                <w:sz w:val="18"/>
              </w:rPr>
              <w:t xml:space="preserve">The CT studies were performed with pre-contrast scans, arterial phase (25 s after injection), pancreatic phase (45 s after injection) and portal venous phase (65 s after injection). Scanning parameters were as follows: slice thickness, 0.6 mm; slice gap, 0.6 mm; 160 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mAs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 xml:space="preserve">, 120 </w:t>
            </w:r>
            <w:proofErr w:type="spellStart"/>
            <w:r w:rsidRPr="00B54821">
              <w:rPr>
                <w:rFonts w:ascii="Times New Roman" w:hAnsi="Times New Roman" w:cs="Times New Roman"/>
                <w:sz w:val="18"/>
              </w:rPr>
              <w:t>kVp</w:t>
            </w:r>
            <w:proofErr w:type="spellEnd"/>
            <w:r w:rsidRPr="00B54821">
              <w:rPr>
                <w:rFonts w:ascii="Times New Roman" w:hAnsi="Times New Roman" w:cs="Times New Roman"/>
                <w:sz w:val="18"/>
              </w:rPr>
              <w:t>. Axial images and multiplanar reformats in the coronal plane at 3mm interval were reconstructed. MIP and CPR were used for vascular evaluation.</w:t>
            </w:r>
          </w:p>
        </w:tc>
      </w:tr>
      <w:tr w:rsidR="00DA3D91" w:rsidRPr="00B54821" w:rsidTr="00DC47B9">
        <w:trPr>
          <w:trHeight w:val="353"/>
        </w:trPr>
        <w:tc>
          <w:tcPr>
            <w:tcW w:w="10916" w:type="dxa"/>
            <w:gridSpan w:val="5"/>
            <w:tcBorders>
              <w:left w:val="nil"/>
              <w:right w:val="nil"/>
            </w:tcBorders>
          </w:tcPr>
          <w:p w:rsidR="00DA3D91" w:rsidRPr="00B54821" w:rsidRDefault="00DA3D91" w:rsidP="00DA3D9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M</w:t>
            </w:r>
            <w:r>
              <w:rPr>
                <w:rFonts w:ascii="Times New Roman" w:hAnsi="Times New Roman" w:cs="Times New Roman"/>
                <w:sz w:val="18"/>
              </w:rPr>
              <w:t xml:space="preserve">IP, </w:t>
            </w:r>
            <w:r w:rsidR="00DC47B9">
              <w:rPr>
                <w:rFonts w:ascii="Times New Roman" w:hAnsi="Times New Roman" w:cs="Times New Roman"/>
                <w:sz w:val="18"/>
              </w:rPr>
              <w:t>m</w:t>
            </w:r>
            <w:r w:rsidRPr="00DA3D91">
              <w:rPr>
                <w:rFonts w:ascii="Times New Roman" w:hAnsi="Times New Roman" w:cs="Times New Roman"/>
                <w:sz w:val="18"/>
              </w:rPr>
              <w:t>aximum-intensity projections</w:t>
            </w:r>
            <w:r>
              <w:rPr>
                <w:rFonts w:ascii="Times New Roman" w:hAnsi="Times New Roman" w:cs="Times New Roman"/>
                <w:sz w:val="18"/>
              </w:rPr>
              <w:t xml:space="preserve">; CPR, </w:t>
            </w:r>
            <w:r w:rsidRPr="00DA3D91">
              <w:rPr>
                <w:rFonts w:ascii="Times New Roman" w:hAnsi="Times New Roman" w:cs="Times New Roman"/>
                <w:sz w:val="18"/>
              </w:rPr>
              <w:t>curve planar reconstruction</w:t>
            </w:r>
          </w:p>
        </w:tc>
      </w:tr>
    </w:tbl>
    <w:p w:rsidR="00B54821" w:rsidRPr="00DC47B9" w:rsidRDefault="00B54821">
      <w:pPr>
        <w:rPr>
          <w:rFonts w:ascii="Times New Roman" w:hAnsi="Times New Roman" w:cs="Times New Roman"/>
          <w:sz w:val="18"/>
        </w:rPr>
      </w:pPr>
    </w:p>
    <w:sectPr w:rsidR="00B54821" w:rsidRPr="00DC47B9" w:rsidSect="00CA64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A37" w:rsidRDefault="006A0A37" w:rsidP="00B54821">
      <w:r>
        <w:separator/>
      </w:r>
    </w:p>
  </w:endnote>
  <w:endnote w:type="continuationSeparator" w:id="0">
    <w:p w:rsidR="006A0A37" w:rsidRDefault="006A0A37" w:rsidP="00B5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Calibri Light">
    <w:panose1 w:val="020F0302020204030204"/>
    <w:charset w:val="00"/>
    <w:family w:val="swiss"/>
    <w:pitch w:val="variable"/>
    <w:sig w:usb0="20002A87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821" w:rsidRDefault="00B5482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821" w:rsidRDefault="00B5482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821" w:rsidRDefault="00B548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A37" w:rsidRDefault="006A0A37" w:rsidP="00B54821">
      <w:r>
        <w:separator/>
      </w:r>
    </w:p>
  </w:footnote>
  <w:footnote w:type="continuationSeparator" w:id="0">
    <w:p w:rsidR="006A0A37" w:rsidRDefault="006A0A37" w:rsidP="00B54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821" w:rsidRDefault="00B5482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821" w:rsidRDefault="00B5482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821" w:rsidRDefault="00B548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21"/>
    <w:rsid w:val="006A0A37"/>
    <w:rsid w:val="00B54821"/>
    <w:rsid w:val="00CA640F"/>
    <w:rsid w:val="00DA3D91"/>
    <w:rsid w:val="00DC47B9"/>
    <w:rsid w:val="00EA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CE83"/>
  <w15:chartTrackingRefBased/>
  <w15:docId w15:val="{9B0B01E6-0E73-443F-8A81-DD397CFD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821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8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4821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4821"/>
    <w:rPr>
      <w:sz w:val="18"/>
      <w:szCs w:val="18"/>
    </w:rPr>
  </w:style>
  <w:style w:type="table" w:styleId="a7">
    <w:name w:val="Table Grid"/>
    <w:basedOn w:val="a1"/>
    <w:uiPriority w:val="39"/>
    <w:rsid w:val="00B54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 艺南</dc:creator>
  <cp:keywords/>
  <dc:description/>
  <cp:lastModifiedBy>沈 艺南</cp:lastModifiedBy>
  <cp:revision>1</cp:revision>
  <dcterms:created xsi:type="dcterms:W3CDTF">2018-09-25T15:33:00Z</dcterms:created>
  <dcterms:modified xsi:type="dcterms:W3CDTF">2018-09-25T16:05:00Z</dcterms:modified>
</cp:coreProperties>
</file>