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86F418" w14:textId="77777777" w:rsidR="00C635FF" w:rsidRPr="00821999" w:rsidRDefault="00C635FF" w:rsidP="00C635FF">
      <w:pPr>
        <w:wordWrap/>
        <w:spacing w:line="360" w:lineRule="auto"/>
        <w:rPr>
          <w:rFonts w:ascii="Times New Roman" w:hAnsi="Times New Roman" w:cs="Times New Roman"/>
          <w:b/>
          <w:sz w:val="24"/>
          <w:szCs w:val="24"/>
        </w:rPr>
      </w:pPr>
      <w:r w:rsidRPr="00821999">
        <w:rPr>
          <w:rFonts w:ascii="Times New Roman" w:hAnsi="Times New Roman" w:cs="Times New Roman"/>
          <w:b/>
          <w:sz w:val="24"/>
          <w:szCs w:val="24"/>
        </w:rPr>
        <w:t>Supplementary Material for:</w:t>
      </w:r>
    </w:p>
    <w:p w14:paraId="0E4EF3CB" w14:textId="77777777" w:rsidR="00C635FF" w:rsidRPr="00821999" w:rsidRDefault="00C635FF" w:rsidP="00C635FF">
      <w:pPr>
        <w:spacing w:line="480" w:lineRule="auto"/>
        <w:rPr>
          <w:rFonts w:ascii="Times New Roman" w:eastAsiaTheme="minorHAnsi" w:hAnsi="Times New Roman" w:cs="Times New Roman"/>
          <w:b/>
          <w:bCs/>
          <w:sz w:val="24"/>
          <w:szCs w:val="24"/>
        </w:rPr>
      </w:pPr>
      <w:r w:rsidRPr="00821999">
        <w:rPr>
          <w:rFonts w:ascii="Times New Roman" w:eastAsiaTheme="minorHAnsi" w:hAnsi="Times New Roman" w:cs="Times New Roman"/>
          <w:b/>
          <w:bCs/>
          <w:sz w:val="24"/>
          <w:szCs w:val="24"/>
        </w:rPr>
        <w:t>Are radiomics features universally applicable</w:t>
      </w:r>
      <w:r>
        <w:rPr>
          <w:rFonts w:ascii="Times New Roman" w:eastAsiaTheme="minorHAnsi" w:hAnsi="Times New Roman" w:cs="Times New Roman"/>
          <w:b/>
          <w:bCs/>
          <w:sz w:val="24"/>
          <w:szCs w:val="24"/>
        </w:rPr>
        <w:t xml:space="preserve"> to different organs</w:t>
      </w:r>
      <w:r w:rsidRPr="00821999">
        <w:rPr>
          <w:rFonts w:ascii="Times New Roman" w:eastAsiaTheme="minorHAnsi" w:hAnsi="Times New Roman" w:cs="Times New Roman"/>
          <w:b/>
          <w:bCs/>
          <w:sz w:val="24"/>
          <w:szCs w:val="24"/>
        </w:rPr>
        <w:t>?</w:t>
      </w:r>
    </w:p>
    <w:p w14:paraId="05EB79A2" w14:textId="77777777" w:rsidR="00C635FF" w:rsidRPr="00821999" w:rsidRDefault="00C635FF" w:rsidP="00C635FF">
      <w:pPr>
        <w:rPr>
          <w:rStyle w:val="Char2"/>
          <w:rFonts w:ascii="Times New Roman" w:hAnsi="Times New Roman" w:cs="Times New Roman"/>
          <w:b/>
        </w:rPr>
      </w:pPr>
    </w:p>
    <w:p w14:paraId="35A5FFE3" w14:textId="25C42740" w:rsidR="00C635FF" w:rsidRPr="00BA2127" w:rsidRDefault="00C635FF" w:rsidP="00C635FF">
      <w:pPr>
        <w:rPr>
          <w:rStyle w:val="Char2"/>
          <w:rFonts w:ascii="Times New Roman" w:hAnsi="Times New Roman" w:cs="Times New Roman"/>
          <w:b/>
          <w:sz w:val="24"/>
          <w:szCs w:val="24"/>
        </w:rPr>
      </w:pPr>
      <w:r w:rsidRPr="00BA2127">
        <w:rPr>
          <w:rStyle w:val="Char2"/>
          <w:rFonts w:ascii="Times New Roman" w:hAnsi="Times New Roman" w:cs="Times New Roman"/>
          <w:b/>
          <w:sz w:val="24"/>
          <w:szCs w:val="24"/>
        </w:rPr>
        <w:t>Supplementary table</w:t>
      </w:r>
    </w:p>
    <w:p w14:paraId="3C567E9B" w14:textId="77777777" w:rsidR="00C635FF" w:rsidRPr="00C635FF" w:rsidRDefault="00C635FF" w:rsidP="00C635FF">
      <w:pPr>
        <w:keepNext/>
        <w:rPr>
          <w:rFonts w:ascii="Times New Roman" w:hAnsi="Times New Roman" w:cs="Times New Roman"/>
          <w:b/>
          <w:bCs/>
          <w:sz w:val="24"/>
          <w:szCs w:val="24"/>
        </w:rPr>
      </w:pPr>
      <w:r w:rsidRPr="00C635FF">
        <w:rPr>
          <w:rFonts w:ascii="Times New Roman" w:hAnsi="Times New Roman" w:cs="Times New Roman"/>
          <w:b/>
          <w:bCs/>
          <w:sz w:val="24"/>
          <w:szCs w:val="24"/>
        </w:rPr>
        <w:t xml:space="preserve">TABLE 1 </w:t>
      </w:r>
      <w:r w:rsidRPr="00C635FF">
        <w:rPr>
          <w:rFonts w:ascii="Times New Roman" w:hAnsi="Times New Roman" w:cs="Times New Roman"/>
          <w:sz w:val="24"/>
          <w:szCs w:val="24"/>
        </w:rPr>
        <w:t>Definition of extracted radiomics features</w:t>
      </w:r>
    </w:p>
    <w:tbl>
      <w:tblPr>
        <w:tblW w:w="5000" w:type="pct"/>
        <w:tblBorders>
          <w:top w:val="single" w:sz="18" w:space="0" w:color="auto"/>
          <w:bottom w:val="single" w:sz="18" w:space="0" w:color="auto"/>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1660"/>
        <w:gridCol w:w="2737"/>
        <w:gridCol w:w="4876"/>
        <w:gridCol w:w="2213"/>
        <w:gridCol w:w="2211"/>
      </w:tblGrid>
      <w:tr w:rsidR="00C635FF" w:rsidRPr="00821999" w14:paraId="5FF0034D" w14:textId="77777777" w:rsidTr="001F380A">
        <w:trPr>
          <w:trHeight w:val="562"/>
        </w:trPr>
        <w:tc>
          <w:tcPr>
            <w:tcW w:w="606" w:type="pct"/>
            <w:vAlign w:val="center"/>
          </w:tcPr>
          <w:p w14:paraId="5D43E3A9"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1081C50E" w14:textId="77777777" w:rsidR="00C635FF" w:rsidRPr="00821999" w:rsidRDefault="00C635FF" w:rsidP="001F380A">
            <w:pPr>
              <w:spacing w:after="0"/>
              <w:jc w:val="center"/>
              <w:rPr>
                <w:rFonts w:ascii="Times New Roman" w:hAnsi="Times New Roman" w:cs="Times New Roman"/>
                <w:b/>
                <w:sz w:val="24"/>
                <w:szCs w:val="24"/>
              </w:rPr>
            </w:pPr>
            <w:r w:rsidRPr="00821999">
              <w:rPr>
                <w:rFonts w:ascii="Times New Roman" w:hAnsi="Times New Roman" w:cs="Times New Roman"/>
                <w:b/>
                <w:sz w:val="24"/>
                <w:szCs w:val="24"/>
              </w:rPr>
              <w:t>Parameter</w:t>
            </w:r>
          </w:p>
        </w:tc>
        <w:tc>
          <w:tcPr>
            <w:tcW w:w="1780" w:type="pct"/>
            <w:vAlign w:val="center"/>
            <w:hideMark/>
          </w:tcPr>
          <w:p w14:paraId="5D716AD3" w14:textId="77777777" w:rsidR="00C635FF" w:rsidRPr="00821999" w:rsidRDefault="00C635FF" w:rsidP="001F380A">
            <w:pPr>
              <w:spacing w:after="0"/>
              <w:jc w:val="center"/>
              <w:rPr>
                <w:rFonts w:ascii="Times New Roman" w:hAnsi="Times New Roman" w:cs="Times New Roman"/>
                <w:b/>
                <w:sz w:val="24"/>
                <w:szCs w:val="24"/>
              </w:rPr>
            </w:pPr>
            <w:r w:rsidRPr="00821999">
              <w:rPr>
                <w:rFonts w:ascii="Times New Roman" w:hAnsi="Times New Roman" w:cs="Times New Roman"/>
                <w:b/>
                <w:sz w:val="24"/>
                <w:szCs w:val="24"/>
              </w:rPr>
              <w:t>Formula</w:t>
            </w:r>
          </w:p>
        </w:tc>
        <w:tc>
          <w:tcPr>
            <w:tcW w:w="808" w:type="pct"/>
            <w:vAlign w:val="center"/>
            <w:hideMark/>
          </w:tcPr>
          <w:p w14:paraId="631BF818" w14:textId="77777777" w:rsidR="00C635FF" w:rsidRPr="00821999" w:rsidRDefault="00C635FF" w:rsidP="001F380A">
            <w:pPr>
              <w:spacing w:after="0"/>
              <w:jc w:val="center"/>
              <w:rPr>
                <w:rFonts w:ascii="Times New Roman" w:hAnsi="Times New Roman" w:cs="Times New Roman"/>
                <w:b/>
                <w:sz w:val="24"/>
                <w:szCs w:val="24"/>
              </w:rPr>
            </w:pPr>
            <w:r w:rsidRPr="00821999">
              <w:rPr>
                <w:rFonts w:ascii="Times New Roman" w:hAnsi="Times New Roman" w:cs="Times New Roman"/>
                <w:b/>
                <w:sz w:val="24"/>
                <w:szCs w:val="24"/>
              </w:rPr>
              <w:t>Description</w:t>
            </w:r>
          </w:p>
        </w:tc>
        <w:tc>
          <w:tcPr>
            <w:tcW w:w="807" w:type="pct"/>
            <w:vAlign w:val="center"/>
          </w:tcPr>
          <w:p w14:paraId="43098995" w14:textId="77777777" w:rsidR="00C635FF" w:rsidRPr="00821999" w:rsidRDefault="00C635FF" w:rsidP="001F380A">
            <w:pPr>
              <w:spacing w:after="0"/>
              <w:jc w:val="center"/>
              <w:rPr>
                <w:rFonts w:ascii="Times New Roman" w:hAnsi="Times New Roman" w:cs="Times New Roman"/>
                <w:b/>
                <w:sz w:val="24"/>
                <w:szCs w:val="24"/>
              </w:rPr>
            </w:pPr>
            <w:r w:rsidRPr="00821999">
              <w:rPr>
                <w:rFonts w:ascii="Times New Roman" w:hAnsi="Times New Roman" w:cs="Times New Roman"/>
                <w:b/>
                <w:sz w:val="24"/>
                <w:szCs w:val="24"/>
              </w:rPr>
              <w:t xml:space="preserve">IBSI </w:t>
            </w:r>
            <w:bookmarkStart w:id="0" w:name="_Hlk11147884"/>
            <w:r w:rsidRPr="00821999">
              <w:rPr>
                <w:rFonts w:ascii="Times New Roman" w:hAnsi="Times New Roman" w:cs="Times New Roman"/>
                <w:b/>
                <w:sz w:val="24"/>
                <w:szCs w:val="24"/>
              </w:rPr>
              <w:fldChar w:fldCharType="begin" w:fldLock="1"/>
            </w:r>
            <w:r w:rsidRPr="00821999">
              <w:rPr>
                <w:rFonts w:ascii="Times New Roman" w:hAnsi="Times New Roman" w:cs="Times New Roman"/>
                <w:b/>
                <w:sz w:val="24"/>
                <w:szCs w:val="24"/>
              </w:rPr>
              <w:instrText>ADDIN CSL_CITATION {"citationItems":[{"id":"ITEM-1","itemData":{"DOI":"10.1148/radiol.2020191145","ISSN":"0033-8419","PMID":"32154773","abstract":"Background Radiomic features may quantify characteristics present in medical imaging. However, the lack of standardized definitions and validated reference values have hampered clinical use. Purpose To standardize a set of 174 radiomic features. Materials and Methods Radiomic features were assessed in three phases. In phase I, 487 features were derived from the basic set of 174 features. Twenty-five research teams with unique radiomics software implementations computed feature values directly from a digital phantom, without any additional image processing. In phase II, 15 teams computed values for 1347 derived features using a CT image of a patient with lung cancer and predefined image processing configurations. In both phases, consensus among the teams on the validity of tentative reference values was measured through the frequency of the modal value and classified as follows: less than three matches, weak; three to five matches, moderate; six to nine matches, strong; 10 or more matches, very strong. In the final phase (phase III), a public data set of multimodality images (CT, fluorine 18 fluorodeoxyglucose PET, and T1-weighted MRI) from 51 patients with soft-tissue sarcoma was used to prospectively assess reproducibility of standardized features. Results Consensus on reference values was initially weak for 232 of 302 features (76.8%) at phase I and 703 of 1075 features (65.4%) at phase II. At the final iteration, weak consensus remained for only two of 487 features (0.4%) at phase I and 19 of 1347 features (1.4%) at phase II. Strong or better consensus was achieved for 463 of 487 features (95.1%) at phase I and 1220 of 1347 features (90.6%) at phase II. Overall, 169 of 174 features were standardized in the first two phases. In the final validation phase (phase III), most of the 169 standardized features could be excellently reproduced (166 with CT; 164 with PET; and 164 with MRI). Conclusion A set of 169 radiomics features was standardized, which enabled verification and calibration of different radiomics software. © RSNA, 2020 Online supplemental material is available for this article. See also the editorial by Kuhl and Truhn in this issue.","author":[{"dropping-particle":"","family":"Zwanenburg","given":"Alex","non-dropping-particle":"","parse-names":false,"suffix":""},{"dropping-particle":"","family":"Vallières","given":"Martin","non-dropping-particle":"","parse-names":false,"suffix":""},{"dropping-particle":"","family":"Abdalah","given":"Mahmoud A.","non-dropping-particle":"","parse-names":false,"suffix":""},{"dropping-particle":"","family":"Aerts","given":"Hugo J. W. L.","non-dropping-particle":"","parse-names":false,"suffix":""},{"dropping-particle":"","family":"Andrearczyk","given":"Vincent","non-dropping-particle":"","parse-names":false,"suffix":""},{"dropping-particle":"","family":"Apte","given":"Aditya","non-dropping-particle":"","parse-names":false,"suffix":""},{"dropping-particle":"","family":"Ashrafinia","given":"Saeed","non-dropping-particle":"","parse-names":false,"suffix":""},{"dropping-particle":"","family":"Bakas","given":"Spyridon","non-dropping-particle":"","parse-names":false,"suffix":""},{"dropping-particle":"","family":"Beukinga","given":"Roelof J.","non-dropping-particle":"","parse-names":false,"suffix":""},{"dropping-particle":"","family":"Boellaard","given":"Ronald","non-dropping-particle":"","parse-names":false,"suffix":""},{"dropping-particle":"","family":"Bogowicz","given":"Marta","non-dropping-particle":"","parse-names":false,"suffix":""},{"dropping-particle":"","family":"Boldrini","given":"Luca","non-dropping-particle":"","parse-names":false,"suffix":""},{"dropping-particle":"","family":"Buvat","given":"Irène","non-dropping-particle":"","parse-names":false,"suffix":""},{"dropping-particle":"","family":"Cook","given":"Gary J. R.","non-dropping-particle":"","parse-names":false,"suffix":""},{"dropping-particle":"","family":"Davatzikos","given":"Christos","non-dropping-particle":"","parse-names":false,"suffix":""},{"dropping-particle":"","family":"Depeursinge","given":"Adrien","non-dropping-particle":"","parse-names":false,"suffix":""},{"dropping-particle":"","family":"Desseroit","given":"Marie-Charlotte","non-dropping-particle":"","parse-names":false,"suffix":""},{"dropping-particle":"","family":"Dinapoli","given":"Nicola","non-dropping-particle":"","parse-names":false,"suffix":""},{"dropping-particle":"","family":"Dinh","given":"Cuong Viet","non-dropping-particle":"","parse-names":false,"suffix":""},{"dropping-particle":"","family":"Echegaray","given":"Sebastian","non-dropping-particle":"","parse-names":false,"suffix":""},{"dropping-particle":"","family":"Naqa","given":"Issam","non-dropping-particle":"El","parse-names":false,"suffix":""},{"dropping-particle":"","family":"Fedorov","given":"Andriy Y.","non-dropping-particle":"","parse-names":false,"suffix":""},{"dropping-particle":"","family":"Gatta","given":"Roberto","non-dropping-particle":"","parse-names":false,"suffix":""},{"dropping-particle":"","family":"Gillies","given":"Robert J.","non-dropping-particle":"","parse-names":false,"suffix":""},{"dropping-particle":"","family":"Goh","given":"Vicky","non-dropping-particle":"","parse-names":false,"suffix":""},{"dropping-particle":"","family":"Götz","given":"Michael","non-dropping-particle":"","parse-names":false,"suffix":""},{"dropping-particle":"","family":"Guckenberger","given":"Matthias","non-dropping-particle":"","parse-names":false,"suffix":""},{"dropping-particle":"","family":"Ha","given":"Sung Min","non-dropping-particle":"","parse-names":false,"suffix":""},{"dropping-particle":"","family":"Hatt","given":"Mathieu","non-dropping-particle":"","parse-names":false,"suffix":""},{"dropping-particle":"","family":"Isensee","given":"Fabian","non-dropping-particle":"","parse-names":false,"suffix":""},{"dropping-particle":"","family":"Lambin","given":"Philippe","non-dropping-particle":"","parse-names":false,"suffix":""},{"dropping-particle":"","family":"Leger","given":"Stefan","non-dropping-particle":"","parse-names":false,"suffix":""},{"dropping-particle":"","family":"Leijenaar","given":"Ralph T.H.","non-dropping-particle":"","parse-names":false,"suffix":""},{"dropping-particle":"","family":"Lenkowicz","given":"Jacopo","non-dropping-particle":"","parse-names":false,"suffix":""},{"dropping-particle":"","family":"Lippert","given":"Fiona","non-dropping-particle":"","parse-names":false,"suffix":""},{"dropping-particle":"","family":"Losnegård","given":"Are","non-dropping-particle":"","parse-names":false,"suffix":""},{"dropping-particle":"","family":"Maier-Hein","given":"Klaus H.","non-dropping-particle":"","parse-names":false,"suffix":""},{"dropping-particle":"","family":"Morin","given":"Olivier","non-dropping-particle":"","parse-names":false,"suffix":""},{"dropping-particle":"","family":"Müller","given":"Henning","non-dropping-particle":"","parse-names":false,"suffix":""},{"dropping-particle":"","family":"Napel","given":"Sandy","non-dropping-particle":"","parse-names":false,"suffix":""},{"dropping-particle":"","family":"Nioche","given":"Christophe","non-dropping-particle":"","parse-names":false,"suffix":""},{"dropping-particle":"","family":"Orlhac","given":"Fanny","non-dropping-particle":"","parse-names":false,"suffix":""},{"dropping-particle":"","family":"Pati","given":"Sarthak","non-dropping-particle":"","parse-names":false,"suffix":""},{"dropping-particle":"","family":"Pfaehler","given":"Elisabeth A.G.","non-dropping-particle":"","parse-names":false,"suffix":""},{"dropping-particle":"","family":"Rahmim","given":"Arman","non-dropping-particle":"","parse-names":false,"suffix":""},{"dropping-particle":"","family":"Rao","given":"Arvind U.K.","non-dropping-particle":"","parse-names":false,"suffix":""},{"dropping-particle":"","family":"Scherer","given":"Jonas","non-dropping-particle":"","parse-names":false,"suffix":""},{"dropping-particle":"","family":"Siddique","given":"Muhammad Musib","non-dropping-particle":"","parse-names":false,"suffix":""},{"dropping-particle":"","family":"Sijtsema","given":"Nanna M.","non-dropping-particle":"","parse-names":false,"suffix":""},{"dropping-particle":"","family":"Socarras Fernandez","given":"Jairo","non-dropping-particle":"","parse-names":false,"suffix":""},{"dropping-particle":"","family":"Spezi","given":"Emiliano","non-dropping-particle":"","parse-names":false,"suffix":""},{"dropping-particle":"","family":"Steenbakkers","given":"Roel J.H.M.","non-dropping-particle":"","parse-names":false,"suffix":""},{"dropping-particle":"","family":"Tanadini-Lang","given":"Stephanie","non-dropping-particle":"","parse-names":false,"suffix":""},{"dropping-particle":"","family":"Thorwarth","given":"Daniela","non-dropping-particle":"","parse-names":false,"suffix":""},{"dropping-particle":"","family":"Troost","given":"Esther G.C.","non-dropping-particle":"","parse-names":false,"suffix":""},{"dropping-particle":"","family":"Upadhaya","given":"Taman","non-dropping-particle":"","parse-names":false,"suffix":""},{"dropping-particle":"","family":"Valentini","given":"Vincenzo","non-dropping-particle":"","parse-names":false,"suffix":""},{"dropping-particle":"V.","family":"Dijk","given":"Lisanne","non-dropping-particle":"van","parse-names":false,"suffix":""},{"dropping-particle":"","family":"Griethuysen","given":"Joost","non-dropping-particle":"van","parse-names":false,"suffix":""},{"dropping-particle":"","family":"Velden","given":"Floris H.P.","non-dropping-particle":"van","parse-names":false,"suffix":""},{"dropping-particle":"","family":"Whybra","given":"Philip","non-dropping-particle":"","parse-names":false,"suffix":""},{"dropping-particle":"","family":"Richter","given":"Christian","non-dropping-particle":"","parse-names":false,"suffix":""},{"dropping-particle":"","family":"Löck","given":"Steffen","non-dropping-particle":"","parse-names":false,"suffix":""}],"container-title":"Radiology","id":"ITEM-1","issue":"5","issued":{"date-parts":[["2020"]]},"page":"191145","title":"The Image Biomarker Standardization Initiative: Standardized Quantitative Radiomics for High-Throughput Image-based Phenotyping","type":"article-journal"},"uris":["http://www.mendeley.com/documents/?uuid=192a0f5d-6877-496d-8125-0dabf6744f66"]}],"mendeley":{"formattedCitation":"[1]","plainTextFormattedCitation":"[1]","previouslyFormattedCitation":"[1]"},"properties":{"noteIndex":0},"schema":"https://github.com/citation-style-language/schema/raw/master/csl-citation.json"}</w:instrText>
            </w:r>
            <w:r w:rsidRPr="00821999">
              <w:rPr>
                <w:rFonts w:ascii="Times New Roman" w:hAnsi="Times New Roman" w:cs="Times New Roman"/>
                <w:b/>
                <w:sz w:val="24"/>
                <w:szCs w:val="24"/>
              </w:rPr>
              <w:fldChar w:fldCharType="separate"/>
            </w:r>
            <w:r w:rsidRPr="00821999">
              <w:rPr>
                <w:rFonts w:ascii="Times New Roman" w:hAnsi="Times New Roman" w:cs="Times New Roman"/>
                <w:noProof/>
                <w:sz w:val="24"/>
                <w:szCs w:val="24"/>
              </w:rPr>
              <w:t>[1]</w:t>
            </w:r>
            <w:r w:rsidRPr="00821999">
              <w:rPr>
                <w:rFonts w:ascii="Times New Roman" w:hAnsi="Times New Roman" w:cs="Times New Roman"/>
                <w:b/>
                <w:sz w:val="24"/>
                <w:szCs w:val="24"/>
              </w:rPr>
              <w:fldChar w:fldCharType="end"/>
            </w:r>
            <w:r w:rsidRPr="00821999">
              <w:rPr>
                <w:rFonts w:ascii="Times New Roman" w:hAnsi="Times New Roman" w:cs="Times New Roman"/>
                <w:b/>
                <w:sz w:val="24"/>
                <w:szCs w:val="24"/>
              </w:rPr>
              <w:t xml:space="preserve"> compliant</w:t>
            </w:r>
            <w:bookmarkEnd w:id="0"/>
          </w:p>
        </w:tc>
      </w:tr>
      <w:tr w:rsidR="00C635FF" w:rsidRPr="00821999" w14:paraId="63F2E4FC" w14:textId="77777777" w:rsidTr="001F380A">
        <w:trPr>
          <w:trHeight w:val="1285"/>
        </w:trPr>
        <w:tc>
          <w:tcPr>
            <w:tcW w:w="606" w:type="pct"/>
            <w:vMerge w:val="restart"/>
            <w:vAlign w:val="center"/>
            <w:hideMark/>
          </w:tcPr>
          <w:p w14:paraId="15BB8993" w14:textId="77777777" w:rsidR="00C635FF" w:rsidRPr="00821999" w:rsidRDefault="00C635FF" w:rsidP="001F380A">
            <w:pPr>
              <w:spacing w:after="0"/>
              <w:jc w:val="center"/>
              <w:rPr>
                <w:rFonts w:ascii="Times New Roman" w:hAnsi="Times New Roman" w:cs="Times New Roman"/>
                <w:b/>
                <w:sz w:val="24"/>
                <w:szCs w:val="24"/>
              </w:rPr>
            </w:pPr>
            <w:r w:rsidRPr="00821999">
              <w:rPr>
                <w:rFonts w:ascii="Times New Roman" w:hAnsi="Times New Roman" w:cs="Times New Roman"/>
                <w:b/>
                <w:sz w:val="24"/>
                <w:szCs w:val="24"/>
              </w:rPr>
              <w:t>Histogram-based features (4096 bins)</w:t>
            </w:r>
            <w:r w:rsidRPr="00821999">
              <w:rPr>
                <w:rFonts w:ascii="Times New Roman" w:hAnsi="Times New Roman" w:cs="Times New Roman"/>
                <w:sz w:val="24"/>
                <w:szCs w:val="24"/>
              </w:rPr>
              <w:t xml:space="preserve"> </w:t>
            </w:r>
            <w:r w:rsidRPr="00821999">
              <w:rPr>
                <w:rFonts w:ascii="Times New Roman" w:hAnsi="Times New Roman" w:cs="Times New Roman"/>
                <w:sz w:val="24"/>
                <w:szCs w:val="24"/>
              </w:rPr>
              <w:fldChar w:fldCharType="begin" w:fldLock="1"/>
            </w:r>
            <w:r w:rsidRPr="00821999">
              <w:rPr>
                <w:rFonts w:ascii="Times New Roman" w:hAnsi="Times New Roman" w:cs="Times New Roman"/>
                <w:sz w:val="24"/>
                <w:szCs w:val="24"/>
              </w:rPr>
              <w:instrText>ADDIN CSL_CITATION {"citationItems":[{"id":"ITEM-1","itemData":{"DOI":"10.1038/ncomms5006","ISBN":"2041-1723 (Electronic)\\r2041-1723 (Linking)","ISSN":"2041-1723","PMID":"24892406","abstract":"Human cancers exhibit strong phenotypic differences that can be visualized noninvasively by medical imaging. Radiomics refers to the comprehensive quantification of tumour phenotypes by applying a large number of quantitative image features. Here we present a radiomic analysis of 440 features quantifying tumour image intensity, shape and texture, which are extracted from computed tomography data of 1,019 patients with lung or head-and-neck cancer. We find that a large number of radiomic features have prognostic power in independent data sets of lung and head-and-neck cancer patients, many of which were not identified as significant before. Radiogenomics analysis reveals that a prognostic radiomic signature, capturing intratumour heterogeneity, is associated with underlying gene-expression patterns. These data suggest that radiomics identifies a general prognostic phenotype existing in both lung and head-and-neck cancer. This may have a clinical impact as imaging is routinely used in clinical practice, providing an unprecedented opportunity to improve decision-support in cancer treatment at low cost.","author":[{"dropping-particle":"","family":"Aerts","given":"Hugo J.W.L.","non-dropping-particle":"","parse-names":false,"suffix":""},{"dropping-particle":"","family":"Velazquez","given":"E R","non-dropping-particle":"","parse-names":false,"suffix":""},{"dropping-particle":"","family":"Leijenaar","given":"R T","non-dropping-particle":"","parse-names":false,"suffix":""},{"dropping-particle":"","family":"Parmar","given":"C","non-dropping-particle":"","parse-names":false,"suffix":""},{"dropping-particle":"","family":"Grossmann","given":"P","non-dropping-particle":"","parse-names":false,"suffix":""},{"dropping-particle":"","family":"Carvalho","given":"S","non-dropping-particle":"","parse-names":false,"suffix":""},{"dropping-particle":"","family":"Bussink","given":"J","non-dropping-particle":"","parse-names":false,"suffix":""},{"dropping-particle":"","family":"Monshouwer","given":"R","non-dropping-particle":"","parse-names":false,"suffix":""},{"dropping-particle":"","family":"Haibe-Kains","given":"B","non-dropping-particle":"","parse-names":false,"suffix":""},{"dropping-particle":"","family":"Rietveld","given":"D","non-dropping-particle":"","parse-names":false,"suffix":""},{"dropping-particle":"","family":"Hoebers","given":"F","non-dropping-particle":"","parse-names":false,"suffix":""},{"dropping-particle":"","family":"Rietbergen","given":"M M","non-dropping-particle":"","parse-names":false,"suffix":""},{"dropping-particle":"","family":"Leemans","given":"C R","non-dropping-particle":"","parse-names":false,"suffix":""},{"dropping-particle":"","family":"Dekker","given":"A","non-dropping-particle":"","parse-names":false,"suffix":""},{"dropping-particle":"","family":"Quackenbush","given":"J","non-dropping-particle":"","parse-names":false,"suffix":""},{"dropping-particle":"","family":"Gillies","given":"R J","non-dropping-particle":"","parse-names":false,"suffix":""},{"dropping-particle":"","family":"Lambin","given":"P","non-dropping-particle":"","parse-names":false,"suffix":""}],"container-title":"Nat Commun","id":"ITEM-1","issued":{"date-parts":[["2014"]]},"page":"4006","title":"Decoding tumour phenotype by noninvasive imaging using a quantitative radiomics approach","type":"article-journal","volume":"5"},"uris":["http://www.mendeley.com/documents/?uuid=91e78ca7-57e5-498b-a578-c000cffef616"]}],"mendeley":{"formattedCitation":"[2]","plainTextFormattedCitation":"[2]","previouslyFormattedCitation":"[2]"},"properties":{"noteIndex":0},"schema":"https://github.com/citation-style-language/schema/raw/master/csl-citation.json"}</w:instrText>
            </w:r>
            <w:r w:rsidRPr="00821999">
              <w:rPr>
                <w:rFonts w:ascii="Times New Roman" w:hAnsi="Times New Roman" w:cs="Times New Roman"/>
                <w:sz w:val="24"/>
                <w:szCs w:val="24"/>
              </w:rPr>
              <w:fldChar w:fldCharType="separate"/>
            </w:r>
            <w:r w:rsidRPr="00821999">
              <w:rPr>
                <w:rFonts w:ascii="Times New Roman" w:hAnsi="Times New Roman" w:cs="Times New Roman"/>
                <w:noProof/>
                <w:sz w:val="24"/>
                <w:szCs w:val="24"/>
              </w:rPr>
              <w:t>[2]</w:t>
            </w:r>
            <w:r w:rsidRPr="00821999">
              <w:rPr>
                <w:rFonts w:ascii="Times New Roman" w:hAnsi="Times New Roman" w:cs="Times New Roman"/>
                <w:sz w:val="24"/>
                <w:szCs w:val="24"/>
              </w:rPr>
              <w:fldChar w:fldCharType="end"/>
            </w:r>
          </w:p>
        </w:tc>
        <w:tc>
          <w:tcPr>
            <w:tcW w:w="999" w:type="pct"/>
            <w:vAlign w:val="center"/>
            <w:hideMark/>
          </w:tcPr>
          <w:p w14:paraId="569995C2"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Max, Min</w:t>
            </w:r>
          </w:p>
        </w:tc>
        <w:tc>
          <w:tcPr>
            <w:tcW w:w="1780" w:type="pct"/>
            <w:vAlign w:val="center"/>
            <w:hideMark/>
          </w:tcPr>
          <w:p w14:paraId="5D1306A5" w14:textId="77777777" w:rsidR="00C635FF" w:rsidRPr="00821999" w:rsidRDefault="00C635FF" w:rsidP="001F380A">
            <w:pPr>
              <w:spacing w:after="0"/>
              <w:jc w:val="center"/>
              <w:rPr>
                <w:rFonts w:ascii="Times New Roman" w:hAnsi="Times New Roman" w:cs="Times New Roman"/>
                <w:sz w:val="24"/>
                <w:szCs w:val="24"/>
              </w:rPr>
            </w:pPr>
            <m:oMath>
              <m:r>
                <m:rPr>
                  <m:sty m:val="p"/>
                </m:rPr>
                <w:rPr>
                  <w:rFonts w:ascii="Cambria Math" w:hAnsi="Cambria Math" w:cs="Times New Roman"/>
                  <w:sz w:val="24"/>
                  <w:szCs w:val="24"/>
                </w:rPr>
                <m:t>Max</m:t>
              </m:r>
              <m:r>
                <w:rPr>
                  <w:rFonts w:ascii="Cambria Math" w:hAnsi="Cambria Math" w:cs="Times New Roman"/>
                  <w:sz w:val="24"/>
                  <w:szCs w:val="24"/>
                </w:rPr>
                <m:t>=Max(X(i))</m:t>
              </m:r>
            </m:oMath>
            <w:r w:rsidRPr="00821999">
              <w:rPr>
                <w:rFonts w:ascii="Times New Roman" w:hAnsi="Times New Roman" w:cs="Times New Roman"/>
                <w:sz w:val="24"/>
                <w:szCs w:val="24"/>
              </w:rPr>
              <w:t xml:space="preserve"> or </w:t>
            </w:r>
            <m:oMath>
              <m:r>
                <m:rPr>
                  <m:sty m:val="p"/>
                </m:rPr>
                <w:rPr>
                  <w:rFonts w:ascii="Cambria Math" w:hAnsi="Cambria Math" w:cs="Times New Roman"/>
                  <w:sz w:val="24"/>
                  <w:szCs w:val="24"/>
                </w:rPr>
                <m:t>Min</m:t>
              </m:r>
              <m:r>
                <w:rPr>
                  <w:rFonts w:ascii="Cambria Math" w:hAnsi="Cambria Math" w:cs="Times New Roman"/>
                  <w:sz w:val="24"/>
                  <w:szCs w:val="24"/>
                </w:rPr>
                <m:t>=Min(X(i))</m:t>
              </m:r>
            </m:oMath>
          </w:p>
          <w:p w14:paraId="3DF2D99C"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X</m:t>
              </m:r>
            </m:oMath>
            <w:r w:rsidRPr="00821999">
              <w:rPr>
                <w:rFonts w:ascii="Times New Roman" w:hAnsi="Times New Roman" w:cs="Times New Roman"/>
                <w:sz w:val="24"/>
                <w:szCs w:val="24"/>
              </w:rPr>
              <w:t xml:space="preserve"> denotes the 3d image matrix with </w:t>
            </w:r>
            <m:oMath>
              <m:r>
                <w:rPr>
                  <w:rFonts w:ascii="Cambria Math" w:hAnsi="Cambria Math" w:cs="Times New Roman"/>
                  <w:sz w:val="24"/>
                  <w:szCs w:val="24"/>
                </w:rPr>
                <m:t>N</m:t>
              </m:r>
            </m:oMath>
            <w:r w:rsidRPr="00821999">
              <w:rPr>
                <w:rFonts w:ascii="Times New Roman" w:hAnsi="Times New Roman" w:cs="Times New Roman"/>
                <w:sz w:val="24"/>
                <w:szCs w:val="24"/>
              </w:rPr>
              <w:t xml:space="preserve"> voxel.</w:t>
            </w:r>
          </w:p>
        </w:tc>
        <w:tc>
          <w:tcPr>
            <w:tcW w:w="808" w:type="pct"/>
            <w:vAlign w:val="center"/>
          </w:tcPr>
          <w:p w14:paraId="2892FE34"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Measures maximum or minimum intensity value of a histogram</w:t>
            </w:r>
          </w:p>
        </w:tc>
        <w:tc>
          <w:tcPr>
            <w:tcW w:w="807" w:type="pct"/>
            <w:vAlign w:val="center"/>
          </w:tcPr>
          <w:p w14:paraId="2A2EE423"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hAnsi="Times New Roman" w:cs="Times New Roman"/>
                <w:sz w:val="24"/>
                <w:szCs w:val="24"/>
                <w:shd w:val="clear" w:color="auto" w:fill="FFFFFF"/>
              </w:rPr>
              <w:t>O</w:t>
            </w:r>
          </w:p>
        </w:tc>
      </w:tr>
      <w:tr w:rsidR="00C635FF" w:rsidRPr="00821999" w14:paraId="6BAE44D2" w14:textId="77777777" w:rsidTr="001F380A">
        <w:trPr>
          <w:trHeight w:val="1294"/>
        </w:trPr>
        <w:tc>
          <w:tcPr>
            <w:tcW w:w="606" w:type="pct"/>
            <w:vMerge/>
            <w:vAlign w:val="center"/>
          </w:tcPr>
          <w:p w14:paraId="78478251"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6A5F5768"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Median</w:t>
            </w:r>
          </w:p>
        </w:tc>
        <w:tc>
          <w:tcPr>
            <w:tcW w:w="1780" w:type="pct"/>
            <w:vAlign w:val="center"/>
          </w:tcPr>
          <w:p w14:paraId="66A925E4" w14:textId="77777777" w:rsidR="00C635FF" w:rsidRPr="00821999" w:rsidRDefault="00C635FF" w:rsidP="001F380A">
            <w:pPr>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Median=</m:t>
                </m:r>
                <m:f>
                  <m:fPr>
                    <m:ctrlPr>
                      <w:rPr>
                        <w:rFonts w:ascii="Cambria Math" w:eastAsia="맑은 고딕" w:hAnsi="Cambria Math" w:cs="Times New Roman"/>
                        <w:sz w:val="24"/>
                        <w:szCs w:val="24"/>
                      </w:rPr>
                    </m:ctrlPr>
                  </m:fPr>
                  <m:num>
                    <m:r>
                      <m:rPr>
                        <m:sty m:val="p"/>
                      </m:rPr>
                      <w:rPr>
                        <w:rFonts w:ascii="Cambria Math" w:eastAsia="맑은 고딕" w:hAnsi="Cambria Math" w:cs="Times New Roman"/>
                        <w:sz w:val="24"/>
                        <w:szCs w:val="24"/>
                      </w:rPr>
                      <m:t>X(i)</m:t>
                    </m:r>
                  </m:num>
                  <m:den>
                    <m:r>
                      <m:rPr>
                        <m:sty m:val="p"/>
                      </m:rPr>
                      <w:rPr>
                        <w:rFonts w:ascii="Cambria Math" w:eastAsia="맑은 고딕" w:hAnsi="Cambria Math" w:cs="Times New Roman"/>
                        <w:sz w:val="24"/>
                        <w:szCs w:val="24"/>
                      </w:rPr>
                      <m:t>2</m:t>
                    </m:r>
                  </m:den>
                </m:f>
              </m:oMath>
            </m:oMathPara>
          </w:p>
          <w:p w14:paraId="021F985D" w14:textId="77777777" w:rsidR="00C635FF" w:rsidRPr="00821999" w:rsidRDefault="00C635FF" w:rsidP="001F380A">
            <w:pPr>
              <w:jc w:val="center"/>
              <w:rPr>
                <w:rFonts w:ascii="Times New Roman" w:eastAsia="맑은 고딕" w:hAnsi="Times New Roman" w:cs="Times New Roman"/>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X</m:t>
              </m:r>
            </m:oMath>
            <w:r w:rsidRPr="00821999">
              <w:rPr>
                <w:rFonts w:ascii="Times New Roman" w:hAnsi="Times New Roman" w:cs="Times New Roman"/>
                <w:sz w:val="24"/>
                <w:szCs w:val="24"/>
              </w:rPr>
              <w:t xml:space="preserve"> denote the 3d image matrix</w:t>
            </w:r>
          </w:p>
        </w:tc>
        <w:tc>
          <w:tcPr>
            <w:tcW w:w="808" w:type="pct"/>
            <w:vAlign w:val="center"/>
          </w:tcPr>
          <w:p w14:paraId="1124D6EB"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Measures median intensity value of a histogram</w:t>
            </w:r>
          </w:p>
        </w:tc>
        <w:tc>
          <w:tcPr>
            <w:tcW w:w="807" w:type="pct"/>
            <w:vAlign w:val="center"/>
          </w:tcPr>
          <w:p w14:paraId="4D55B284"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hAnsi="Times New Roman" w:cs="Times New Roman"/>
                <w:sz w:val="24"/>
                <w:szCs w:val="24"/>
                <w:shd w:val="clear" w:color="auto" w:fill="FFFFFF"/>
              </w:rPr>
              <w:t>O</w:t>
            </w:r>
          </w:p>
        </w:tc>
      </w:tr>
      <w:tr w:rsidR="00C635FF" w:rsidRPr="00821999" w14:paraId="64D47B1D" w14:textId="77777777" w:rsidTr="001F380A">
        <w:trPr>
          <w:trHeight w:val="1294"/>
        </w:trPr>
        <w:tc>
          <w:tcPr>
            <w:tcW w:w="606" w:type="pct"/>
            <w:vMerge/>
            <w:vAlign w:val="center"/>
          </w:tcPr>
          <w:p w14:paraId="17932873"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03837682"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Mean</w:t>
            </w:r>
          </w:p>
        </w:tc>
        <w:tc>
          <w:tcPr>
            <w:tcW w:w="1780" w:type="pct"/>
            <w:vAlign w:val="center"/>
          </w:tcPr>
          <w:p w14:paraId="65660B94" w14:textId="77777777" w:rsidR="00C635FF" w:rsidRPr="00821999" w:rsidRDefault="00C635FF" w:rsidP="001F380A">
            <w:pPr>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Mean=</m:t>
                </m:r>
                <m:f>
                  <m:fPr>
                    <m:ctrlPr>
                      <w:rPr>
                        <w:rFonts w:ascii="Cambria Math" w:eastAsia="맑은 고딕" w:hAnsi="Cambria Math" w:cs="Times New Roman"/>
                        <w:sz w:val="24"/>
                        <w:szCs w:val="24"/>
                      </w:rPr>
                    </m:ctrlPr>
                  </m:fPr>
                  <m:num>
                    <m:r>
                      <m:rPr>
                        <m:sty m:val="p"/>
                      </m:rPr>
                      <w:rPr>
                        <w:rFonts w:ascii="Cambria Math" w:eastAsia="맑은 고딕" w:hAnsi="Cambria Math" w:cs="Times New Roman"/>
                        <w:sz w:val="24"/>
                        <w:szCs w:val="24"/>
                      </w:rPr>
                      <m:t>1</m:t>
                    </m:r>
                  </m:num>
                  <m:den>
                    <m:r>
                      <m:rPr>
                        <m:sty m:val="p"/>
                      </m:rPr>
                      <w:rPr>
                        <w:rFonts w:ascii="Cambria Math" w:eastAsia="맑은 고딕" w:hAnsi="Cambria Math" w:cs="Times New Roman"/>
                        <w:sz w:val="24"/>
                        <w:szCs w:val="24"/>
                      </w:rPr>
                      <m:t>N</m:t>
                    </m:r>
                  </m:den>
                </m:f>
                <m:nary>
                  <m:naryPr>
                    <m:chr m:val="∑"/>
                    <m:limLoc m:val="undOvr"/>
                    <m:ctrlPr>
                      <w:rPr>
                        <w:rFonts w:ascii="Cambria Math" w:eastAsia="맑은 고딕" w:hAnsi="Cambria Math" w:cs="Times New Roman"/>
                        <w:sz w:val="24"/>
                        <w:szCs w:val="24"/>
                      </w:rPr>
                    </m:ctrlPr>
                  </m:naryPr>
                  <m:sub>
                    <m:r>
                      <m:rPr>
                        <m:sty m:val="p"/>
                      </m:rPr>
                      <w:rPr>
                        <w:rFonts w:ascii="Cambria Math" w:eastAsia="맑은 고딕" w:hAnsi="Cambria Math" w:cs="Times New Roman"/>
                        <w:sz w:val="24"/>
                        <w:szCs w:val="24"/>
                      </w:rPr>
                      <m:t>i</m:t>
                    </m:r>
                  </m:sub>
                  <m:sup>
                    <m:r>
                      <m:rPr>
                        <m:sty m:val="p"/>
                      </m:rPr>
                      <w:rPr>
                        <w:rFonts w:ascii="Cambria Math" w:eastAsia="맑은 고딕" w:hAnsi="Cambria Math" w:cs="Times New Roman"/>
                        <w:sz w:val="24"/>
                        <w:szCs w:val="24"/>
                      </w:rPr>
                      <m:t>N</m:t>
                    </m:r>
                  </m:sup>
                  <m:e>
                    <m:r>
                      <m:rPr>
                        <m:sty m:val="p"/>
                      </m:rPr>
                      <w:rPr>
                        <w:rFonts w:ascii="Cambria Math" w:eastAsia="맑은 고딕" w:hAnsi="Cambria Math" w:cs="Times New Roman"/>
                        <w:sz w:val="24"/>
                        <w:szCs w:val="24"/>
                      </w:rPr>
                      <m:t>X(i)</m:t>
                    </m:r>
                  </m:e>
                </m:nary>
              </m:oMath>
            </m:oMathPara>
          </w:p>
          <w:p w14:paraId="16D70901" w14:textId="77777777" w:rsidR="00C635FF" w:rsidRPr="00821999" w:rsidRDefault="00C635FF" w:rsidP="001F380A">
            <w:pPr>
              <w:jc w:val="center"/>
              <w:rPr>
                <w:rFonts w:ascii="Times New Roman" w:eastAsia="맑은 고딕" w:hAnsi="Times New Roman" w:cs="Times New Roman"/>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X</m:t>
              </m:r>
            </m:oMath>
            <w:r w:rsidRPr="00821999">
              <w:rPr>
                <w:rFonts w:ascii="Times New Roman" w:hAnsi="Times New Roman" w:cs="Times New Roman"/>
                <w:sz w:val="24"/>
                <w:szCs w:val="24"/>
              </w:rPr>
              <w:t xml:space="preserve"> denote the 3d image matrix with </w:t>
            </w:r>
            <m:oMath>
              <m:r>
                <m:rPr>
                  <m:sty m:val="p"/>
                </m:rPr>
                <w:rPr>
                  <w:rFonts w:ascii="Cambria Math" w:hAnsi="Cambria Math" w:cs="Times New Roman"/>
                  <w:sz w:val="24"/>
                  <w:szCs w:val="24"/>
                </w:rPr>
                <m:t>N</m:t>
              </m:r>
            </m:oMath>
            <w:r w:rsidRPr="00821999">
              <w:rPr>
                <w:rFonts w:ascii="Times New Roman" w:hAnsi="Times New Roman" w:cs="Times New Roman"/>
                <w:sz w:val="24"/>
                <w:szCs w:val="24"/>
              </w:rPr>
              <w:t xml:space="preserve"> voxel.</w:t>
            </w:r>
          </w:p>
        </w:tc>
        <w:tc>
          <w:tcPr>
            <w:tcW w:w="808" w:type="pct"/>
            <w:vAlign w:val="center"/>
          </w:tcPr>
          <w:p w14:paraId="528135D7"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Measures mean intensity value of a histogram</w:t>
            </w:r>
          </w:p>
        </w:tc>
        <w:tc>
          <w:tcPr>
            <w:tcW w:w="807" w:type="pct"/>
            <w:vAlign w:val="center"/>
          </w:tcPr>
          <w:p w14:paraId="41FB6813"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hAnsi="Times New Roman" w:cs="Times New Roman"/>
                <w:sz w:val="24"/>
                <w:szCs w:val="24"/>
                <w:shd w:val="clear" w:color="auto" w:fill="FFFFFF"/>
              </w:rPr>
              <w:t>O</w:t>
            </w:r>
          </w:p>
        </w:tc>
      </w:tr>
      <w:tr w:rsidR="00C635FF" w:rsidRPr="00821999" w14:paraId="3C6B2593" w14:textId="77777777" w:rsidTr="001F380A">
        <w:trPr>
          <w:trHeight w:val="1294"/>
        </w:trPr>
        <w:tc>
          <w:tcPr>
            <w:tcW w:w="606" w:type="pct"/>
            <w:vMerge/>
            <w:vAlign w:val="center"/>
          </w:tcPr>
          <w:p w14:paraId="4683FC0C"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50694382"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Variance</w:t>
            </w:r>
          </w:p>
        </w:tc>
        <w:tc>
          <w:tcPr>
            <w:tcW w:w="1780" w:type="pct"/>
            <w:vAlign w:val="center"/>
          </w:tcPr>
          <w:p w14:paraId="714FA252" w14:textId="77777777" w:rsidR="00C635FF" w:rsidRPr="00821999" w:rsidRDefault="00C635FF" w:rsidP="001F380A">
            <w:pPr>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Variance=</m:t>
                </m:r>
                <m:f>
                  <m:fPr>
                    <m:ctrlPr>
                      <w:rPr>
                        <w:rFonts w:ascii="Cambria Math" w:eastAsia="맑은 고딕" w:hAnsi="Cambria Math" w:cs="Times New Roman"/>
                        <w:sz w:val="24"/>
                        <w:szCs w:val="24"/>
                      </w:rPr>
                    </m:ctrlPr>
                  </m:fPr>
                  <m:num>
                    <m:r>
                      <m:rPr>
                        <m:sty m:val="p"/>
                      </m:rPr>
                      <w:rPr>
                        <w:rFonts w:ascii="Cambria Math" w:eastAsia="맑은 고딕" w:hAnsi="Cambria Math" w:cs="Times New Roman"/>
                        <w:sz w:val="24"/>
                        <w:szCs w:val="24"/>
                      </w:rPr>
                      <m:t>1</m:t>
                    </m:r>
                  </m:num>
                  <m:den>
                    <m:r>
                      <m:rPr>
                        <m:sty m:val="p"/>
                      </m:rPr>
                      <w:rPr>
                        <w:rFonts w:ascii="Cambria Math" w:eastAsia="맑은 고딕" w:hAnsi="Cambria Math" w:cs="Times New Roman"/>
                        <w:sz w:val="24"/>
                        <w:szCs w:val="24"/>
                      </w:rPr>
                      <m:t>N-1</m:t>
                    </m:r>
                  </m:den>
                </m:f>
                <m:nary>
                  <m:naryPr>
                    <m:chr m:val="∑"/>
                    <m:limLoc m:val="undOvr"/>
                    <m:ctrlPr>
                      <w:rPr>
                        <w:rFonts w:ascii="Cambria Math" w:eastAsia="맑은 고딕" w:hAnsi="Cambria Math" w:cs="Times New Roman"/>
                        <w:sz w:val="24"/>
                        <w:szCs w:val="24"/>
                      </w:rPr>
                    </m:ctrlPr>
                  </m:naryPr>
                  <m:sub>
                    <m:r>
                      <m:rPr>
                        <m:sty m:val="p"/>
                      </m:rPr>
                      <w:rPr>
                        <w:rFonts w:ascii="Cambria Math" w:eastAsia="맑은 고딕" w:hAnsi="Cambria Math" w:cs="Times New Roman"/>
                        <w:sz w:val="24"/>
                        <w:szCs w:val="24"/>
                      </w:rPr>
                      <m:t>i=1</m:t>
                    </m:r>
                  </m:sub>
                  <m:sup>
                    <m:r>
                      <m:rPr>
                        <m:sty m:val="p"/>
                      </m:rPr>
                      <w:rPr>
                        <w:rFonts w:ascii="Cambria Math" w:eastAsia="맑은 고딕" w:hAnsi="Cambria Math" w:cs="Times New Roman"/>
                        <w:sz w:val="24"/>
                        <w:szCs w:val="24"/>
                      </w:rPr>
                      <m:t>N</m:t>
                    </m:r>
                  </m:sup>
                  <m:e>
                    <m:r>
                      <m:rPr>
                        <m:sty m:val="p"/>
                      </m:rPr>
                      <w:rPr>
                        <w:rFonts w:ascii="Cambria Math" w:eastAsia="맑은 고딕" w:hAnsi="Cambria Math" w:cs="Times New Roman"/>
                        <w:sz w:val="24"/>
                        <w:szCs w:val="24"/>
                      </w:rPr>
                      <m:t xml:space="preserve"> </m:t>
                    </m:r>
                    <m:sSup>
                      <m:sSupPr>
                        <m:ctrlPr>
                          <w:rPr>
                            <w:rFonts w:ascii="Cambria Math" w:eastAsia="맑은 고딕" w:hAnsi="Cambria Math" w:cs="Times New Roman"/>
                            <w:sz w:val="24"/>
                            <w:szCs w:val="24"/>
                          </w:rPr>
                        </m:ctrlPr>
                      </m:sSupPr>
                      <m:e>
                        <m:d>
                          <m:dPr>
                            <m:ctrlPr>
                              <w:rPr>
                                <w:rFonts w:ascii="Cambria Math" w:eastAsia="맑은 고딕" w:hAnsi="Cambria Math" w:cs="Times New Roman"/>
                                <w:sz w:val="24"/>
                                <w:szCs w:val="24"/>
                              </w:rPr>
                            </m:ctrlPr>
                          </m:dPr>
                          <m:e>
                            <m:r>
                              <m:rPr>
                                <m:sty m:val="p"/>
                              </m:rPr>
                              <w:rPr>
                                <w:rFonts w:ascii="Cambria Math" w:eastAsia="맑은 고딕" w:hAnsi="Cambria Math" w:cs="Times New Roman"/>
                                <w:sz w:val="24"/>
                                <w:szCs w:val="24"/>
                              </w:rPr>
                              <m:t>X</m:t>
                            </m:r>
                            <m:d>
                              <m:dPr>
                                <m:ctrlPr>
                                  <w:rPr>
                                    <w:rFonts w:ascii="Cambria Math" w:eastAsia="맑은 고딕" w:hAnsi="Cambria Math" w:cs="Times New Roman"/>
                                    <w:sz w:val="24"/>
                                    <w:szCs w:val="24"/>
                                  </w:rPr>
                                </m:ctrlPr>
                              </m:dPr>
                              <m:e>
                                <m:r>
                                  <m:rPr>
                                    <m:sty m:val="p"/>
                                  </m:rPr>
                                  <w:rPr>
                                    <w:rFonts w:ascii="Cambria Math" w:eastAsia="맑은 고딕" w:hAnsi="Cambria Math" w:cs="Times New Roman"/>
                                    <w:sz w:val="24"/>
                                    <w:szCs w:val="24"/>
                                  </w:rPr>
                                  <m:t>i</m:t>
                                </m:r>
                              </m:e>
                            </m:d>
                            <m:r>
                              <m:rPr>
                                <m:sty m:val="p"/>
                              </m:rPr>
                              <w:rPr>
                                <w:rFonts w:ascii="Cambria Math" w:eastAsia="맑은 고딕" w:hAnsi="Cambria Math" w:cs="Times New Roman"/>
                                <w:sz w:val="24"/>
                                <w:szCs w:val="24"/>
                              </w:rPr>
                              <m:t>-</m:t>
                            </m:r>
                            <m:acc>
                              <m:accPr>
                                <m:chr m:val="̅"/>
                                <m:ctrlPr>
                                  <w:rPr>
                                    <w:rFonts w:ascii="Cambria Math" w:eastAsia="맑은 고딕" w:hAnsi="Cambria Math" w:cs="Times New Roman"/>
                                    <w:sz w:val="24"/>
                                    <w:szCs w:val="24"/>
                                  </w:rPr>
                                </m:ctrlPr>
                              </m:accPr>
                              <m:e>
                                <m:r>
                                  <m:rPr>
                                    <m:sty m:val="p"/>
                                  </m:rPr>
                                  <w:rPr>
                                    <w:rFonts w:ascii="Cambria Math" w:eastAsia="맑은 고딕" w:hAnsi="Cambria Math" w:cs="Times New Roman"/>
                                    <w:sz w:val="24"/>
                                    <w:szCs w:val="24"/>
                                  </w:rPr>
                                  <m:t>x</m:t>
                                </m:r>
                              </m:e>
                            </m:acc>
                          </m:e>
                        </m:d>
                      </m:e>
                      <m:sup>
                        <m:r>
                          <m:rPr>
                            <m:sty m:val="p"/>
                          </m:rPr>
                          <w:rPr>
                            <w:rFonts w:ascii="Cambria Math" w:eastAsia="맑은 고딕" w:hAnsi="Cambria Math" w:cs="Times New Roman"/>
                            <w:sz w:val="24"/>
                            <w:szCs w:val="24"/>
                          </w:rPr>
                          <m:t>2</m:t>
                        </m:r>
                      </m:sup>
                    </m:sSup>
                  </m:e>
                </m:nary>
              </m:oMath>
            </m:oMathPara>
          </w:p>
        </w:tc>
        <w:tc>
          <w:tcPr>
            <w:tcW w:w="808" w:type="pct"/>
            <w:vAlign w:val="center"/>
          </w:tcPr>
          <w:p w14:paraId="17132AAA"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 xml:space="preserve">Measures squared distances of each value of a histogram from the mean </w:t>
            </w:r>
          </w:p>
        </w:tc>
        <w:tc>
          <w:tcPr>
            <w:tcW w:w="807" w:type="pct"/>
            <w:vAlign w:val="center"/>
          </w:tcPr>
          <w:p w14:paraId="55586D6F"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hAnsi="Times New Roman" w:cs="Times New Roman"/>
                <w:sz w:val="24"/>
                <w:szCs w:val="24"/>
                <w:shd w:val="clear" w:color="auto" w:fill="FFFFFF"/>
              </w:rPr>
              <w:t>O</w:t>
            </w:r>
          </w:p>
        </w:tc>
      </w:tr>
      <w:tr w:rsidR="00C635FF" w:rsidRPr="00821999" w14:paraId="5FA9CE02" w14:textId="77777777" w:rsidTr="001F380A">
        <w:trPr>
          <w:trHeight w:val="1294"/>
        </w:trPr>
        <w:tc>
          <w:tcPr>
            <w:tcW w:w="606" w:type="pct"/>
            <w:vMerge/>
            <w:vAlign w:val="center"/>
          </w:tcPr>
          <w:p w14:paraId="758D419B"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471AC2E8"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Standard deviation</w:t>
            </w:r>
          </w:p>
        </w:tc>
        <w:tc>
          <w:tcPr>
            <w:tcW w:w="1780" w:type="pct"/>
            <w:vAlign w:val="center"/>
          </w:tcPr>
          <w:p w14:paraId="68B411D3" w14:textId="77777777" w:rsidR="00C635FF" w:rsidRPr="00821999" w:rsidRDefault="00C635FF" w:rsidP="001F380A">
            <w:pPr>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Std=</m:t>
                </m:r>
                <m:sSup>
                  <m:sSupPr>
                    <m:ctrlPr>
                      <w:rPr>
                        <w:rFonts w:ascii="Cambria Math" w:eastAsia="맑은 고딕" w:hAnsi="Cambria Math" w:cs="Times New Roman"/>
                        <w:sz w:val="24"/>
                        <w:szCs w:val="24"/>
                      </w:rPr>
                    </m:ctrlPr>
                  </m:sSupPr>
                  <m:e>
                    <m:d>
                      <m:dPr>
                        <m:ctrlPr>
                          <w:rPr>
                            <w:rFonts w:ascii="Cambria Math" w:eastAsia="맑은 고딕" w:hAnsi="Cambria Math" w:cs="Times New Roman"/>
                            <w:sz w:val="24"/>
                            <w:szCs w:val="24"/>
                          </w:rPr>
                        </m:ctrlPr>
                      </m:dPr>
                      <m:e>
                        <m:f>
                          <m:fPr>
                            <m:ctrlPr>
                              <w:rPr>
                                <w:rFonts w:ascii="Cambria Math" w:eastAsia="맑은 고딕" w:hAnsi="Cambria Math" w:cs="Times New Roman"/>
                                <w:sz w:val="24"/>
                                <w:szCs w:val="24"/>
                              </w:rPr>
                            </m:ctrlPr>
                          </m:fPr>
                          <m:num>
                            <m:r>
                              <m:rPr>
                                <m:sty m:val="p"/>
                              </m:rPr>
                              <w:rPr>
                                <w:rFonts w:ascii="Cambria Math" w:eastAsia="맑은 고딕" w:hAnsi="Cambria Math" w:cs="Times New Roman"/>
                                <w:sz w:val="24"/>
                                <w:szCs w:val="24"/>
                              </w:rPr>
                              <m:t>1</m:t>
                            </m:r>
                          </m:num>
                          <m:den>
                            <m:r>
                              <m:rPr>
                                <m:sty m:val="p"/>
                              </m:rPr>
                              <w:rPr>
                                <w:rFonts w:ascii="Cambria Math" w:eastAsia="맑은 고딕" w:hAnsi="Cambria Math" w:cs="Times New Roman"/>
                                <w:sz w:val="24"/>
                                <w:szCs w:val="24"/>
                              </w:rPr>
                              <m:t>N-1</m:t>
                            </m:r>
                          </m:den>
                        </m:f>
                        <m:nary>
                          <m:naryPr>
                            <m:chr m:val="∑"/>
                            <m:limLoc m:val="undOvr"/>
                            <m:ctrlPr>
                              <w:rPr>
                                <w:rFonts w:ascii="Cambria Math" w:eastAsia="맑은 고딕" w:hAnsi="Cambria Math" w:cs="Times New Roman"/>
                                <w:sz w:val="24"/>
                                <w:szCs w:val="24"/>
                              </w:rPr>
                            </m:ctrlPr>
                          </m:naryPr>
                          <m:sub>
                            <m:r>
                              <m:rPr>
                                <m:sty m:val="p"/>
                              </m:rPr>
                              <w:rPr>
                                <w:rFonts w:ascii="Cambria Math" w:eastAsia="맑은 고딕" w:hAnsi="Cambria Math" w:cs="Times New Roman"/>
                                <w:sz w:val="24"/>
                                <w:szCs w:val="24"/>
                              </w:rPr>
                              <m:t>i=1</m:t>
                            </m:r>
                          </m:sub>
                          <m:sup>
                            <m:r>
                              <m:rPr>
                                <m:sty m:val="p"/>
                              </m:rPr>
                              <w:rPr>
                                <w:rFonts w:ascii="Cambria Math" w:eastAsia="맑은 고딕" w:hAnsi="Cambria Math" w:cs="Times New Roman"/>
                                <w:sz w:val="24"/>
                                <w:szCs w:val="24"/>
                              </w:rPr>
                              <m:t>N</m:t>
                            </m:r>
                          </m:sup>
                          <m:e>
                            <m:r>
                              <m:rPr>
                                <m:sty m:val="p"/>
                              </m:rPr>
                              <w:rPr>
                                <w:rFonts w:ascii="Cambria Math" w:eastAsia="맑은 고딕" w:hAnsi="Cambria Math" w:cs="Times New Roman"/>
                                <w:sz w:val="24"/>
                                <w:szCs w:val="24"/>
                              </w:rPr>
                              <m:t xml:space="preserve"> </m:t>
                            </m:r>
                            <m:sSup>
                              <m:sSupPr>
                                <m:ctrlPr>
                                  <w:rPr>
                                    <w:rFonts w:ascii="Cambria Math" w:eastAsia="맑은 고딕" w:hAnsi="Cambria Math" w:cs="Times New Roman"/>
                                    <w:sz w:val="24"/>
                                    <w:szCs w:val="24"/>
                                  </w:rPr>
                                </m:ctrlPr>
                              </m:sSupPr>
                              <m:e>
                                <m:d>
                                  <m:dPr>
                                    <m:ctrlPr>
                                      <w:rPr>
                                        <w:rFonts w:ascii="Cambria Math" w:eastAsia="맑은 고딕" w:hAnsi="Cambria Math" w:cs="Times New Roman"/>
                                        <w:sz w:val="24"/>
                                        <w:szCs w:val="24"/>
                                      </w:rPr>
                                    </m:ctrlPr>
                                  </m:dPr>
                                  <m:e>
                                    <m:r>
                                      <m:rPr>
                                        <m:sty m:val="p"/>
                                      </m:rPr>
                                      <w:rPr>
                                        <w:rFonts w:ascii="Cambria Math" w:eastAsia="맑은 고딕" w:hAnsi="Cambria Math" w:cs="Times New Roman"/>
                                        <w:sz w:val="24"/>
                                        <w:szCs w:val="24"/>
                                      </w:rPr>
                                      <m:t>X</m:t>
                                    </m:r>
                                    <m:d>
                                      <m:dPr>
                                        <m:ctrlPr>
                                          <w:rPr>
                                            <w:rFonts w:ascii="Cambria Math" w:eastAsia="맑은 고딕" w:hAnsi="Cambria Math" w:cs="Times New Roman"/>
                                            <w:sz w:val="24"/>
                                            <w:szCs w:val="24"/>
                                          </w:rPr>
                                        </m:ctrlPr>
                                      </m:dPr>
                                      <m:e>
                                        <m:r>
                                          <m:rPr>
                                            <m:sty m:val="p"/>
                                          </m:rPr>
                                          <w:rPr>
                                            <w:rFonts w:ascii="Cambria Math" w:eastAsia="맑은 고딕" w:hAnsi="Cambria Math" w:cs="Times New Roman"/>
                                            <w:sz w:val="24"/>
                                            <w:szCs w:val="24"/>
                                          </w:rPr>
                                          <m:t>i</m:t>
                                        </m:r>
                                      </m:e>
                                    </m:d>
                                    <m:r>
                                      <m:rPr>
                                        <m:sty m:val="p"/>
                                      </m:rPr>
                                      <w:rPr>
                                        <w:rFonts w:ascii="Cambria Math" w:eastAsia="맑은 고딕" w:hAnsi="Cambria Math" w:cs="Times New Roman"/>
                                        <w:sz w:val="24"/>
                                        <w:szCs w:val="24"/>
                                      </w:rPr>
                                      <m:t>-</m:t>
                                    </m:r>
                                    <m:acc>
                                      <m:accPr>
                                        <m:chr m:val="̅"/>
                                        <m:ctrlPr>
                                          <w:rPr>
                                            <w:rFonts w:ascii="Cambria Math" w:eastAsia="맑은 고딕" w:hAnsi="Cambria Math" w:cs="Times New Roman"/>
                                            <w:sz w:val="24"/>
                                            <w:szCs w:val="24"/>
                                          </w:rPr>
                                        </m:ctrlPr>
                                      </m:accPr>
                                      <m:e>
                                        <m:r>
                                          <m:rPr>
                                            <m:sty m:val="p"/>
                                          </m:rPr>
                                          <w:rPr>
                                            <w:rFonts w:ascii="Cambria Math" w:eastAsia="맑은 고딕" w:hAnsi="Cambria Math" w:cs="Times New Roman"/>
                                            <w:sz w:val="24"/>
                                            <w:szCs w:val="24"/>
                                          </w:rPr>
                                          <m:t>x</m:t>
                                        </m:r>
                                      </m:e>
                                    </m:acc>
                                  </m:e>
                                </m:d>
                              </m:e>
                              <m:sup>
                                <m:r>
                                  <m:rPr>
                                    <m:sty m:val="p"/>
                                  </m:rPr>
                                  <w:rPr>
                                    <w:rFonts w:ascii="Cambria Math" w:eastAsia="맑은 고딕" w:hAnsi="Cambria Math" w:cs="Times New Roman"/>
                                    <w:sz w:val="24"/>
                                    <w:szCs w:val="24"/>
                                  </w:rPr>
                                  <m:t>2</m:t>
                                </m:r>
                              </m:sup>
                            </m:sSup>
                          </m:e>
                        </m:nary>
                      </m:e>
                    </m:d>
                  </m:e>
                  <m:sup>
                    <m:r>
                      <m:rPr>
                        <m:sty m:val="p"/>
                      </m:rPr>
                      <w:rPr>
                        <w:rFonts w:ascii="Cambria Math" w:eastAsia="맑은 고딕" w:hAnsi="Cambria Math" w:cs="Times New Roman"/>
                        <w:sz w:val="24"/>
                        <w:szCs w:val="24"/>
                      </w:rPr>
                      <m:t>1/2</m:t>
                    </m:r>
                  </m:sup>
                </m:sSup>
              </m:oMath>
            </m:oMathPara>
          </w:p>
          <w:p w14:paraId="5F1CB9CC" w14:textId="77777777" w:rsidR="00C635FF" w:rsidRPr="00821999" w:rsidRDefault="00C635FF" w:rsidP="001F380A">
            <w:pPr>
              <w:jc w:val="center"/>
              <w:rPr>
                <w:rFonts w:ascii="Times New Roman" w:eastAsia="맑은 고딕" w:hAnsi="Times New Roman" w:cs="Times New Roman"/>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X</m:t>
              </m:r>
            </m:oMath>
            <w:r w:rsidRPr="00821999">
              <w:rPr>
                <w:rFonts w:ascii="Times New Roman" w:hAnsi="Times New Roman" w:cs="Times New Roman"/>
                <w:sz w:val="24"/>
                <w:szCs w:val="24"/>
              </w:rPr>
              <w:t xml:space="preserve"> denote the 3d image matrix with </w:t>
            </w:r>
            <m:oMath>
              <m:r>
                <m:rPr>
                  <m:sty m:val="p"/>
                </m:rPr>
                <w:rPr>
                  <w:rFonts w:ascii="Cambria Math" w:hAnsi="Cambria Math" w:cs="Times New Roman"/>
                  <w:sz w:val="24"/>
                  <w:szCs w:val="24"/>
                </w:rPr>
                <m:t>N</m:t>
              </m:r>
            </m:oMath>
            <w:r w:rsidRPr="00821999">
              <w:rPr>
                <w:rFonts w:ascii="Times New Roman" w:hAnsi="Times New Roman" w:cs="Times New Roman"/>
                <w:sz w:val="24"/>
                <w:szCs w:val="24"/>
              </w:rPr>
              <w:t xml:space="preserve"> voxel.</w:t>
            </w:r>
          </w:p>
        </w:tc>
        <w:tc>
          <w:tcPr>
            <w:tcW w:w="808" w:type="pct"/>
            <w:vAlign w:val="center"/>
          </w:tcPr>
          <w:p w14:paraId="6C10A165"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eastAsiaTheme="minorHAnsi" w:hAnsi="Times New Roman" w:cs="Times New Roman"/>
                <w:sz w:val="24"/>
                <w:szCs w:val="24"/>
              </w:rPr>
              <w:t>Measures amount of variation of a histogram.</w:t>
            </w:r>
          </w:p>
        </w:tc>
        <w:tc>
          <w:tcPr>
            <w:tcW w:w="807" w:type="pct"/>
            <w:vAlign w:val="center"/>
          </w:tcPr>
          <w:p w14:paraId="550C9B2C"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64A4FE41" w14:textId="77777777" w:rsidTr="001F380A">
        <w:trPr>
          <w:trHeight w:val="1294"/>
        </w:trPr>
        <w:tc>
          <w:tcPr>
            <w:tcW w:w="606" w:type="pct"/>
            <w:vMerge/>
            <w:vAlign w:val="center"/>
            <w:hideMark/>
          </w:tcPr>
          <w:p w14:paraId="10511991"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124E864D"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Energy</w:t>
            </w:r>
          </w:p>
        </w:tc>
        <w:tc>
          <w:tcPr>
            <w:tcW w:w="1780" w:type="pct"/>
            <w:vAlign w:val="center"/>
            <w:hideMark/>
          </w:tcPr>
          <w:p w14:paraId="6982FB68" w14:textId="77777777" w:rsidR="00C635FF" w:rsidRPr="00821999" w:rsidRDefault="00C635FF" w:rsidP="001F380A">
            <w:pPr>
              <w:jc w:val="center"/>
              <w:rPr>
                <w:rFonts w:ascii="Times New Roman" w:eastAsia="맑은 고딕" w:hAnsi="Times New Roman" w:cs="Times New Roman"/>
                <w:sz w:val="24"/>
                <w:szCs w:val="24"/>
              </w:rPr>
            </w:pPr>
            <m:oMathPara>
              <m:oMath>
                <m:r>
                  <m:rPr>
                    <m:sty m:val="p"/>
                  </m:rPr>
                  <w:rPr>
                    <w:rFonts w:ascii="Cambria Math" w:hAnsi="Cambria Math" w:cs="Times New Roman"/>
                    <w:sz w:val="24"/>
                    <w:szCs w:val="24"/>
                  </w:rPr>
                  <m:t>Energy=</m:t>
                </m:r>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i</m:t>
                    </m:r>
                  </m:sub>
                  <m:sup>
                    <m:r>
                      <m:rPr>
                        <m:sty m:val="p"/>
                      </m:rPr>
                      <w:rPr>
                        <w:rFonts w:ascii="Cambria Math" w:hAnsi="Cambria Math" w:cs="Times New Roman"/>
                        <w:sz w:val="24"/>
                        <w:szCs w:val="24"/>
                      </w:rPr>
                      <m:t>N</m:t>
                    </m:r>
                  </m:sup>
                  <m:e>
                    <m:sSup>
                      <m:sSupPr>
                        <m:ctrlPr>
                          <w:rPr>
                            <w:rFonts w:ascii="Cambria Math" w:hAnsi="Cambria Math" w:cs="Times New Roman"/>
                            <w:sz w:val="24"/>
                            <w:szCs w:val="24"/>
                          </w:rPr>
                        </m:ctrlPr>
                      </m:sSupPr>
                      <m:e>
                        <m:r>
                          <m:rPr>
                            <m:sty m:val="p"/>
                          </m:rPr>
                          <w:rPr>
                            <w:rFonts w:ascii="Cambria Math" w:hAnsi="Cambria Math" w:cs="Times New Roman"/>
                            <w:sz w:val="24"/>
                            <w:szCs w:val="24"/>
                          </w:rPr>
                          <m:t>X(i)</m:t>
                        </m:r>
                      </m:e>
                      <m:sup>
                        <m:r>
                          <m:rPr>
                            <m:sty m:val="p"/>
                          </m:rPr>
                          <w:rPr>
                            <w:rFonts w:ascii="Cambria Math" w:hAnsi="Cambria Math" w:cs="Times New Roman"/>
                            <w:sz w:val="24"/>
                            <w:szCs w:val="24"/>
                          </w:rPr>
                          <m:t>2</m:t>
                        </m:r>
                      </m:sup>
                    </m:sSup>
                  </m:e>
                </m:nary>
              </m:oMath>
            </m:oMathPara>
          </w:p>
          <w:p w14:paraId="60F3B0E7"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X</m:t>
              </m:r>
            </m:oMath>
            <w:r w:rsidRPr="00821999">
              <w:rPr>
                <w:rFonts w:ascii="Times New Roman" w:hAnsi="Times New Roman" w:cs="Times New Roman"/>
                <w:sz w:val="24"/>
                <w:szCs w:val="24"/>
              </w:rPr>
              <w:t xml:space="preserve"> denote the 3d image matrix with </w:t>
            </w:r>
            <m:oMath>
              <m:r>
                <m:rPr>
                  <m:sty m:val="p"/>
                </m:rPr>
                <w:rPr>
                  <w:rFonts w:ascii="Cambria Math" w:hAnsi="Cambria Math" w:cs="Times New Roman"/>
                  <w:sz w:val="24"/>
                  <w:szCs w:val="24"/>
                </w:rPr>
                <m:t>N</m:t>
              </m:r>
            </m:oMath>
            <w:r w:rsidRPr="00821999">
              <w:rPr>
                <w:rFonts w:ascii="Times New Roman" w:hAnsi="Times New Roman" w:cs="Times New Roman"/>
                <w:sz w:val="24"/>
                <w:szCs w:val="24"/>
              </w:rPr>
              <w:t xml:space="preserve"> voxel.</w:t>
            </w:r>
          </w:p>
        </w:tc>
        <w:tc>
          <w:tcPr>
            <w:tcW w:w="808" w:type="pct"/>
            <w:vAlign w:val="center"/>
          </w:tcPr>
          <w:p w14:paraId="7FD66BE0"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 xml:space="preserve">Measures squared </w:t>
            </w:r>
            <w:r w:rsidRPr="00821999">
              <w:rPr>
                <w:rFonts w:ascii="Times New Roman" w:hAnsi="Times New Roman" w:cs="Times New Roman"/>
                <w:sz w:val="24"/>
                <w:szCs w:val="24"/>
                <w:shd w:val="clear" w:color="auto" w:fill="FFFFFF"/>
              </w:rPr>
              <w:t>magnitude value of a histogram</w:t>
            </w:r>
          </w:p>
        </w:tc>
        <w:tc>
          <w:tcPr>
            <w:tcW w:w="807" w:type="pct"/>
            <w:vAlign w:val="center"/>
          </w:tcPr>
          <w:p w14:paraId="5FF56809"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5F88C979" w14:textId="77777777" w:rsidTr="001F380A">
        <w:trPr>
          <w:trHeight w:val="1255"/>
        </w:trPr>
        <w:tc>
          <w:tcPr>
            <w:tcW w:w="606" w:type="pct"/>
            <w:vMerge/>
            <w:vAlign w:val="center"/>
            <w:hideMark/>
          </w:tcPr>
          <w:p w14:paraId="28BAED6A"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2632C145"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Skewness</w:t>
            </w:r>
          </w:p>
        </w:tc>
        <w:tc>
          <w:tcPr>
            <w:tcW w:w="1780" w:type="pct"/>
            <w:vAlign w:val="center"/>
            <w:hideMark/>
          </w:tcPr>
          <w:p w14:paraId="042D2BAB" w14:textId="77777777" w:rsidR="00C635FF" w:rsidRPr="00821999" w:rsidRDefault="00C635FF" w:rsidP="001F380A">
            <w:pPr>
              <w:jc w:val="center"/>
              <w:rPr>
                <w:rFonts w:ascii="Times New Roman" w:hAnsi="Times New Roman" w:cs="Times New Roman"/>
                <w:sz w:val="24"/>
                <w:szCs w:val="24"/>
              </w:rPr>
            </w:pPr>
            <m:oMathPara>
              <m:oMath>
                <m:r>
                  <m:rPr>
                    <m:sty m:val="p"/>
                  </m:rPr>
                  <w:rPr>
                    <w:rFonts w:ascii="Cambria Math" w:hAnsi="Cambria Math" w:cs="Times New Roman"/>
                    <w:sz w:val="24"/>
                    <w:szCs w:val="24"/>
                  </w:rPr>
                  <m:t>Skewness=</m:t>
                </m:r>
                <m:f>
                  <m:fPr>
                    <m:ctrlPr>
                      <w:rPr>
                        <w:rFonts w:ascii="Cambria Math" w:hAnsi="Cambria Math" w:cs="Times New Roman"/>
                        <w:sz w:val="24"/>
                        <w:szCs w:val="24"/>
                      </w:rPr>
                    </m:ctrlPr>
                  </m:fPr>
                  <m:num>
                    <m:r>
                      <m:rPr>
                        <m:sty m:val="p"/>
                      </m:rPr>
                      <w:rPr>
                        <w:rFonts w:ascii="Cambria Math" w:hAnsi="Cambria Math" w:cs="Times New Roman"/>
                        <w:sz w:val="24"/>
                        <w:szCs w:val="24"/>
                      </w:rPr>
                      <m:t>E</m:t>
                    </m:r>
                    <m:sSup>
                      <m:sSupPr>
                        <m:ctrlPr>
                          <w:rPr>
                            <w:rFonts w:ascii="Cambria Math" w:hAnsi="Cambria Math" w:cs="Times New Roman"/>
                            <w:sz w:val="24"/>
                            <w:szCs w:val="24"/>
                          </w:rPr>
                        </m:ctrlPr>
                      </m:sSupPr>
                      <m:e>
                        <m:r>
                          <m:rPr>
                            <m:sty m:val="p"/>
                          </m:rPr>
                          <w:rPr>
                            <w:rFonts w:ascii="Cambria Math" w:hAnsi="Cambria Math" w:cs="Times New Roman"/>
                            <w:sz w:val="24"/>
                            <w:szCs w:val="24"/>
                          </w:rPr>
                          <m:t>(x-μ)</m:t>
                        </m:r>
                      </m:e>
                      <m:sup>
                        <m:r>
                          <m:rPr>
                            <m:sty m:val="p"/>
                          </m:rPr>
                          <w:rPr>
                            <w:rFonts w:ascii="Cambria Math" w:hAnsi="Cambria Math" w:cs="Times New Roman"/>
                            <w:sz w:val="24"/>
                            <w:szCs w:val="24"/>
                          </w:rPr>
                          <m:t>3</m:t>
                        </m:r>
                      </m:sup>
                    </m:sSup>
                  </m:num>
                  <m:den>
                    <m:sSup>
                      <m:sSupPr>
                        <m:ctrlPr>
                          <w:rPr>
                            <w:rFonts w:ascii="Cambria Math" w:hAnsi="Cambria Math" w:cs="Times New Roman"/>
                            <w:sz w:val="24"/>
                            <w:szCs w:val="24"/>
                          </w:rPr>
                        </m:ctrlPr>
                      </m:sSupPr>
                      <m:e>
                        <m:r>
                          <m:rPr>
                            <m:sty m:val="p"/>
                          </m:rPr>
                          <w:rPr>
                            <w:rFonts w:ascii="Cambria Math" w:hAnsi="Cambria Math" w:cs="Times New Roman"/>
                            <w:sz w:val="24"/>
                            <w:szCs w:val="24"/>
                          </w:rPr>
                          <m:t>σ</m:t>
                        </m:r>
                      </m:e>
                      <m:sup>
                        <m:r>
                          <m:rPr>
                            <m:sty m:val="p"/>
                          </m:rPr>
                          <w:rPr>
                            <w:rFonts w:ascii="Cambria Math" w:hAnsi="Cambria Math" w:cs="Times New Roman"/>
                            <w:sz w:val="24"/>
                            <w:szCs w:val="24"/>
                          </w:rPr>
                          <m:t>3</m:t>
                        </m:r>
                      </m:sup>
                    </m:sSup>
                  </m:den>
                </m:f>
              </m:oMath>
            </m:oMathPara>
          </w:p>
          <w:p w14:paraId="53F0EA0E"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μ</m:t>
              </m:r>
            </m:oMath>
            <w:r w:rsidRPr="00821999">
              <w:rPr>
                <w:rFonts w:ascii="Times New Roman" w:hAnsi="Times New Roman" w:cs="Times New Roman"/>
                <w:sz w:val="24"/>
                <w:szCs w:val="24"/>
              </w:rPr>
              <w:t xml:space="preserve"> is the mean of </w:t>
            </w:r>
            <m:oMath>
              <m:r>
                <m:rPr>
                  <m:sty m:val="p"/>
                </m:rPr>
                <w:rPr>
                  <w:rFonts w:ascii="Cambria Math" w:hAnsi="Cambria Math" w:cs="Times New Roman"/>
                  <w:sz w:val="24"/>
                  <w:szCs w:val="24"/>
                </w:rPr>
                <m:t>x</m:t>
              </m:r>
            </m:oMath>
            <w:r w:rsidRPr="00821999">
              <w:rPr>
                <w:rFonts w:ascii="Times New Roman" w:hAnsi="Times New Roman" w:cs="Times New Roman"/>
                <w:sz w:val="24"/>
                <w:szCs w:val="24"/>
              </w:rPr>
              <w:t xml:space="preserve">, </w:t>
            </w:r>
            <m:oMath>
              <m:r>
                <m:rPr>
                  <m:sty m:val="p"/>
                </m:rPr>
                <w:rPr>
                  <w:rFonts w:ascii="Cambria Math" w:hAnsi="Cambria Math" w:cs="Times New Roman"/>
                  <w:sz w:val="24"/>
                  <w:szCs w:val="24"/>
                </w:rPr>
                <m:t>σ</m:t>
              </m:r>
            </m:oMath>
            <w:r w:rsidRPr="00821999">
              <w:rPr>
                <w:rFonts w:ascii="Times New Roman" w:hAnsi="Times New Roman" w:cs="Times New Roman"/>
                <w:sz w:val="24"/>
                <w:szCs w:val="24"/>
              </w:rPr>
              <w:t xml:space="preserve"> is the standard deviation of </w:t>
            </w:r>
            <m:oMath>
              <m:r>
                <m:rPr>
                  <m:sty m:val="p"/>
                </m:rPr>
                <w:rPr>
                  <w:rFonts w:ascii="Cambria Math" w:hAnsi="Cambria Math" w:cs="Times New Roman"/>
                  <w:sz w:val="24"/>
                  <w:szCs w:val="24"/>
                </w:rPr>
                <m:t>x</m:t>
              </m:r>
            </m:oMath>
            <w:r w:rsidRPr="00821999">
              <w:rPr>
                <w:rFonts w:ascii="Times New Roman" w:hAnsi="Times New Roman" w:cs="Times New Roman"/>
                <w:sz w:val="24"/>
                <w:szCs w:val="24"/>
              </w:rPr>
              <w:t xml:space="preserve">, </w:t>
            </w:r>
            <m:oMath>
              <m:r>
                <m:rPr>
                  <m:sty m:val="p"/>
                </m:rPr>
                <w:rPr>
                  <w:rFonts w:ascii="Cambria Math" w:hAnsi="Cambria Math" w:cs="Times New Roman"/>
                  <w:sz w:val="24"/>
                  <w:szCs w:val="24"/>
                </w:rPr>
                <m:t>E</m:t>
              </m:r>
            </m:oMath>
            <w:r w:rsidRPr="00821999">
              <w:rPr>
                <w:rFonts w:ascii="Times New Roman" w:hAnsi="Times New Roman" w:cs="Times New Roman"/>
                <w:sz w:val="24"/>
                <w:szCs w:val="24"/>
              </w:rPr>
              <w:t xml:space="preserve"> is the expectation operator.</w:t>
            </w:r>
          </w:p>
        </w:tc>
        <w:tc>
          <w:tcPr>
            <w:tcW w:w="808" w:type="pct"/>
            <w:vAlign w:val="center"/>
            <w:hideMark/>
          </w:tcPr>
          <w:p w14:paraId="5C4FF7FF"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Measures asymmetry of a histogram.</w:t>
            </w:r>
          </w:p>
        </w:tc>
        <w:tc>
          <w:tcPr>
            <w:tcW w:w="807" w:type="pct"/>
            <w:vAlign w:val="center"/>
          </w:tcPr>
          <w:p w14:paraId="02E9D479"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485AA03E" w14:textId="77777777" w:rsidTr="001F380A">
        <w:tc>
          <w:tcPr>
            <w:tcW w:w="606" w:type="pct"/>
            <w:vMerge/>
            <w:vAlign w:val="center"/>
            <w:hideMark/>
          </w:tcPr>
          <w:p w14:paraId="1DA6048C"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05093452"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Kurtosis</w:t>
            </w:r>
          </w:p>
        </w:tc>
        <w:tc>
          <w:tcPr>
            <w:tcW w:w="1780" w:type="pct"/>
            <w:vAlign w:val="center"/>
            <w:hideMark/>
          </w:tcPr>
          <w:p w14:paraId="4D28EFE0" w14:textId="77777777" w:rsidR="00C635FF" w:rsidRPr="00821999" w:rsidRDefault="00C635FF" w:rsidP="001F380A">
            <w:pPr>
              <w:jc w:val="center"/>
              <w:rPr>
                <w:rFonts w:ascii="Times New Roman" w:hAnsi="Times New Roman" w:cs="Times New Roman"/>
                <w:sz w:val="24"/>
                <w:szCs w:val="24"/>
              </w:rPr>
            </w:pPr>
            <m:oMathPara>
              <m:oMath>
                <m:r>
                  <m:rPr>
                    <m:sty m:val="p"/>
                  </m:rPr>
                  <w:rPr>
                    <w:rFonts w:ascii="Cambria Math" w:hAnsi="Cambria Math" w:cs="Times New Roman"/>
                    <w:sz w:val="24"/>
                    <w:szCs w:val="24"/>
                  </w:rPr>
                  <m:t>Kurtosis=</m:t>
                </m:r>
                <m:f>
                  <m:fPr>
                    <m:ctrlPr>
                      <w:rPr>
                        <w:rFonts w:ascii="Cambria Math" w:hAnsi="Cambria Math" w:cs="Times New Roman"/>
                        <w:sz w:val="24"/>
                        <w:szCs w:val="24"/>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rPr>
                          <m:t>E(x-μ)</m:t>
                        </m:r>
                      </m:e>
                      <m:sup>
                        <m:r>
                          <m:rPr>
                            <m:sty m:val="p"/>
                          </m:rPr>
                          <w:rPr>
                            <w:rFonts w:ascii="Cambria Math" w:hAnsi="Cambria Math" w:cs="Times New Roman"/>
                            <w:sz w:val="24"/>
                            <w:szCs w:val="24"/>
                          </w:rPr>
                          <m:t>4</m:t>
                        </m:r>
                      </m:sup>
                    </m:sSup>
                  </m:num>
                  <m:den>
                    <m:sSup>
                      <m:sSupPr>
                        <m:ctrlPr>
                          <w:rPr>
                            <w:rFonts w:ascii="Cambria Math" w:hAnsi="Cambria Math" w:cs="Times New Roman"/>
                            <w:sz w:val="24"/>
                            <w:szCs w:val="24"/>
                          </w:rPr>
                        </m:ctrlPr>
                      </m:sSupPr>
                      <m:e>
                        <m:r>
                          <m:rPr>
                            <m:sty m:val="p"/>
                          </m:rPr>
                          <w:rPr>
                            <w:rFonts w:ascii="Cambria Math" w:hAnsi="Cambria Math" w:cs="Times New Roman"/>
                            <w:sz w:val="24"/>
                            <w:szCs w:val="24"/>
                          </w:rPr>
                          <m:t>σ</m:t>
                        </m:r>
                      </m:e>
                      <m:sup>
                        <m:r>
                          <m:rPr>
                            <m:sty m:val="p"/>
                          </m:rPr>
                          <w:rPr>
                            <w:rFonts w:ascii="Cambria Math" w:hAnsi="Cambria Math" w:cs="Times New Roman"/>
                            <w:sz w:val="24"/>
                            <w:szCs w:val="24"/>
                          </w:rPr>
                          <m:t>4</m:t>
                        </m:r>
                      </m:sup>
                    </m:sSup>
                  </m:den>
                </m:f>
              </m:oMath>
            </m:oMathPara>
          </w:p>
          <w:p w14:paraId="36874628"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μ</m:t>
              </m:r>
            </m:oMath>
            <w:r w:rsidRPr="00821999">
              <w:rPr>
                <w:rFonts w:ascii="Times New Roman" w:hAnsi="Times New Roman" w:cs="Times New Roman"/>
                <w:sz w:val="24"/>
                <w:szCs w:val="24"/>
              </w:rPr>
              <w:t xml:space="preserve"> is the mean of</w:t>
            </w:r>
            <m:oMath>
              <m:r>
                <m:rPr>
                  <m:sty m:val="p"/>
                </m:rPr>
                <w:rPr>
                  <w:rFonts w:ascii="Cambria Math" w:hAnsi="Cambria Math" w:cs="Times New Roman"/>
                  <w:sz w:val="24"/>
                  <w:szCs w:val="24"/>
                </w:rPr>
                <m:t xml:space="preserve"> x</m:t>
              </m:r>
            </m:oMath>
            <w:r w:rsidRPr="00821999">
              <w:rPr>
                <w:rFonts w:ascii="Times New Roman" w:hAnsi="Times New Roman" w:cs="Times New Roman"/>
                <w:sz w:val="24"/>
                <w:szCs w:val="24"/>
              </w:rPr>
              <w:t xml:space="preserve">, </w:t>
            </w:r>
            <m:oMath>
              <m:r>
                <m:rPr>
                  <m:sty m:val="p"/>
                </m:rPr>
                <w:rPr>
                  <w:rFonts w:ascii="Cambria Math" w:hAnsi="Cambria Math" w:cs="Times New Roman"/>
                  <w:sz w:val="24"/>
                  <w:szCs w:val="24"/>
                </w:rPr>
                <m:t>σ</m:t>
              </m:r>
            </m:oMath>
            <w:r w:rsidRPr="00821999">
              <w:rPr>
                <w:rFonts w:ascii="Times New Roman" w:hAnsi="Times New Roman" w:cs="Times New Roman"/>
                <w:sz w:val="24"/>
                <w:szCs w:val="24"/>
              </w:rPr>
              <w:t xml:space="preserve"> is the standard deviation of </w:t>
            </w:r>
            <m:oMath>
              <m:r>
                <m:rPr>
                  <m:sty m:val="p"/>
                </m:rPr>
                <w:rPr>
                  <w:rFonts w:ascii="Cambria Math" w:hAnsi="Cambria Math" w:cs="Times New Roman"/>
                  <w:sz w:val="24"/>
                  <w:szCs w:val="24"/>
                </w:rPr>
                <m:t>x</m:t>
              </m:r>
            </m:oMath>
            <w:r w:rsidRPr="00821999">
              <w:rPr>
                <w:rFonts w:ascii="Times New Roman" w:hAnsi="Times New Roman" w:cs="Times New Roman"/>
                <w:sz w:val="24"/>
                <w:szCs w:val="24"/>
              </w:rPr>
              <w:t xml:space="preserve">, </w:t>
            </w:r>
            <m:oMath>
              <m:r>
                <m:rPr>
                  <m:sty m:val="p"/>
                </m:rPr>
                <w:rPr>
                  <w:rFonts w:ascii="Cambria Math" w:hAnsi="Cambria Math" w:cs="Times New Roman"/>
                  <w:sz w:val="24"/>
                  <w:szCs w:val="24"/>
                </w:rPr>
                <m:t>E</m:t>
              </m:r>
            </m:oMath>
            <w:r w:rsidRPr="00821999">
              <w:rPr>
                <w:rFonts w:ascii="Times New Roman" w:hAnsi="Times New Roman" w:cs="Times New Roman"/>
                <w:sz w:val="24"/>
                <w:szCs w:val="24"/>
              </w:rPr>
              <w:t xml:space="preserve"> is the expectation operator.</w:t>
            </w:r>
          </w:p>
        </w:tc>
        <w:tc>
          <w:tcPr>
            <w:tcW w:w="808" w:type="pct"/>
            <w:vAlign w:val="center"/>
            <w:hideMark/>
          </w:tcPr>
          <w:p w14:paraId="7E9B47F1"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Measures “</w:t>
            </w:r>
            <w:proofErr w:type="spellStart"/>
            <w:r w:rsidRPr="00821999">
              <w:rPr>
                <w:rFonts w:ascii="Times New Roman" w:eastAsiaTheme="minorHAnsi" w:hAnsi="Times New Roman" w:cs="Times New Roman"/>
                <w:sz w:val="24"/>
                <w:szCs w:val="24"/>
              </w:rPr>
              <w:t>peakedeness</w:t>
            </w:r>
            <w:proofErr w:type="spellEnd"/>
            <w:r w:rsidRPr="00821999">
              <w:rPr>
                <w:rFonts w:ascii="Times New Roman" w:eastAsiaTheme="minorHAnsi" w:hAnsi="Times New Roman" w:cs="Times New Roman"/>
                <w:sz w:val="24"/>
                <w:szCs w:val="24"/>
              </w:rPr>
              <w:t>” of a histogram (flatness of histogram)</w:t>
            </w:r>
          </w:p>
        </w:tc>
        <w:tc>
          <w:tcPr>
            <w:tcW w:w="807" w:type="pct"/>
            <w:vAlign w:val="center"/>
          </w:tcPr>
          <w:p w14:paraId="2623D978"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65970444" w14:textId="77777777" w:rsidTr="001F380A">
        <w:tc>
          <w:tcPr>
            <w:tcW w:w="606" w:type="pct"/>
            <w:vMerge/>
            <w:vAlign w:val="center"/>
            <w:hideMark/>
          </w:tcPr>
          <w:p w14:paraId="57C24795"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53410FE5"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Root mean square (RMS)</w:t>
            </w:r>
          </w:p>
        </w:tc>
        <w:tc>
          <w:tcPr>
            <w:tcW w:w="1780" w:type="pct"/>
            <w:vAlign w:val="center"/>
            <w:hideMark/>
          </w:tcPr>
          <w:p w14:paraId="020BAC32" w14:textId="77777777" w:rsidR="00C635FF" w:rsidRPr="00821999" w:rsidRDefault="00C635FF" w:rsidP="001F380A">
            <w:pPr>
              <w:jc w:val="center"/>
              <w:rPr>
                <w:rFonts w:ascii="Times New Roman" w:hAnsi="Times New Roman" w:cs="Times New Roman"/>
                <w:sz w:val="24"/>
                <w:szCs w:val="24"/>
              </w:rPr>
            </w:pPr>
            <m:oMathPara>
              <m:oMath>
                <m:r>
                  <m:rPr>
                    <m:sty m:val="p"/>
                  </m:rPr>
                  <w:rPr>
                    <w:rFonts w:ascii="Cambria Math" w:hAnsi="Cambria Math" w:cs="Times New Roman"/>
                    <w:sz w:val="24"/>
                    <w:szCs w:val="24"/>
                  </w:rPr>
                  <m:t>RMS=</m:t>
                </m:r>
                <m:rad>
                  <m:radPr>
                    <m:degHide m:val="1"/>
                    <m:ctrlPr>
                      <w:rPr>
                        <w:rFonts w:ascii="Cambria Math" w:hAnsi="Cambria Math" w:cs="Times New Roman"/>
                        <w:sz w:val="24"/>
                        <w:szCs w:val="24"/>
                      </w:rPr>
                    </m:ctrlPr>
                  </m:radPr>
                  <m:deg/>
                  <m:e>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N</m:t>
                        </m:r>
                      </m:den>
                    </m:f>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n=1</m:t>
                        </m:r>
                      </m:sub>
                      <m:sup>
                        <m:r>
                          <m:rPr>
                            <m:sty m:val="p"/>
                          </m:rPr>
                          <w:rPr>
                            <w:rFonts w:ascii="Cambria Math" w:hAnsi="Cambria Math" w:cs="Times New Roman"/>
                            <w:sz w:val="24"/>
                            <w:szCs w:val="24"/>
                          </w:rPr>
                          <m:t>N</m:t>
                        </m:r>
                      </m:sup>
                      <m:e>
                        <m:sSup>
                          <m:sSupPr>
                            <m:ctrlPr>
                              <w:rPr>
                                <w:rFonts w:ascii="Cambria Math" w:hAnsi="Cambria Math" w:cs="Times New Roman"/>
                                <w:sz w:val="24"/>
                                <w:szCs w:val="24"/>
                              </w:rPr>
                            </m:ctrlPr>
                          </m:sSupPr>
                          <m:e>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n</m:t>
                                    </m:r>
                                  </m:sub>
                                </m:sSub>
                              </m:e>
                            </m:d>
                          </m:e>
                          <m:sup>
                            <m:r>
                              <m:rPr>
                                <m:sty m:val="p"/>
                              </m:rPr>
                              <w:rPr>
                                <w:rFonts w:ascii="Cambria Math" w:hAnsi="Cambria Math" w:cs="Times New Roman"/>
                                <w:sz w:val="24"/>
                                <w:szCs w:val="24"/>
                              </w:rPr>
                              <m:t>2</m:t>
                            </m:r>
                          </m:sup>
                        </m:sSup>
                      </m:e>
                    </m:nary>
                  </m:e>
                </m:rad>
              </m:oMath>
            </m:oMathPara>
          </w:p>
          <w:p w14:paraId="14D9B223"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X</m:t>
              </m:r>
            </m:oMath>
            <w:r w:rsidRPr="00821999">
              <w:rPr>
                <w:rFonts w:ascii="Times New Roman" w:hAnsi="Times New Roman" w:cs="Times New Roman"/>
                <w:sz w:val="24"/>
                <w:szCs w:val="24"/>
              </w:rPr>
              <w:t xml:space="preserve"> denote the 3d image matrix with </w:t>
            </w:r>
            <m:oMath>
              <m:r>
                <m:rPr>
                  <m:sty m:val="p"/>
                </m:rPr>
                <w:rPr>
                  <w:rFonts w:ascii="Cambria Math" w:hAnsi="Cambria Math" w:cs="Times New Roman"/>
                  <w:sz w:val="24"/>
                  <w:szCs w:val="24"/>
                </w:rPr>
                <m:t>N</m:t>
              </m:r>
            </m:oMath>
            <w:r w:rsidRPr="00821999">
              <w:rPr>
                <w:rFonts w:ascii="Times New Roman" w:hAnsi="Times New Roman" w:cs="Times New Roman"/>
                <w:sz w:val="24"/>
                <w:szCs w:val="24"/>
              </w:rPr>
              <w:t xml:space="preserve"> voxel.</w:t>
            </w:r>
          </w:p>
        </w:tc>
        <w:tc>
          <w:tcPr>
            <w:tcW w:w="808" w:type="pct"/>
            <w:vAlign w:val="center"/>
          </w:tcPr>
          <w:p w14:paraId="7E93B67D"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 xml:space="preserve">Measures the </w:t>
            </w:r>
            <w:r w:rsidRPr="00821999">
              <w:rPr>
                <w:rFonts w:ascii="Times New Roman" w:hAnsi="Times New Roman" w:cs="Times New Roman"/>
                <w:sz w:val="24"/>
                <w:szCs w:val="24"/>
                <w:shd w:val="clear" w:color="auto" w:fill="FFFFFF"/>
              </w:rPr>
              <w:t xml:space="preserve">square-root of the mean of the squares of the values of the histogram. This feature is another measure of the magnitude of a </w:t>
            </w:r>
            <w:r w:rsidRPr="00821999">
              <w:rPr>
                <w:rFonts w:ascii="Times New Roman" w:hAnsi="Times New Roman" w:cs="Times New Roman"/>
                <w:sz w:val="24"/>
                <w:szCs w:val="24"/>
                <w:shd w:val="clear" w:color="auto" w:fill="FFFFFF"/>
              </w:rPr>
              <w:lastRenderedPageBreak/>
              <w:t>histogram</w:t>
            </w:r>
          </w:p>
        </w:tc>
        <w:tc>
          <w:tcPr>
            <w:tcW w:w="807" w:type="pct"/>
            <w:vAlign w:val="center"/>
          </w:tcPr>
          <w:p w14:paraId="03CCDF16"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lastRenderedPageBreak/>
              <w:t>O</w:t>
            </w:r>
          </w:p>
        </w:tc>
      </w:tr>
      <w:tr w:rsidR="00C635FF" w:rsidRPr="00821999" w14:paraId="4D2F76C6" w14:textId="77777777" w:rsidTr="001F380A">
        <w:tc>
          <w:tcPr>
            <w:tcW w:w="606" w:type="pct"/>
            <w:vMerge/>
            <w:vAlign w:val="center"/>
          </w:tcPr>
          <w:p w14:paraId="6D8B8429"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1C5A0279"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Inter quartile range</w:t>
            </w:r>
          </w:p>
        </w:tc>
        <w:tc>
          <w:tcPr>
            <w:tcW w:w="1780" w:type="pct"/>
            <w:vAlign w:val="center"/>
          </w:tcPr>
          <w:p w14:paraId="441D8CE3" w14:textId="77777777" w:rsidR="00C635FF" w:rsidRPr="00821999" w:rsidRDefault="00C635FF" w:rsidP="001F380A">
            <w:pPr>
              <w:jc w:val="center"/>
              <w:rPr>
                <w:rFonts w:ascii="Times New Roman" w:eastAsia="맑은 고딕" w:hAnsi="Times New Roman" w:cs="Times New Roman"/>
                <w:sz w:val="24"/>
                <w:szCs w:val="24"/>
              </w:rPr>
            </w:pPr>
            <m:oMathPara>
              <m:oMath>
                <m:r>
                  <m:rPr>
                    <m:sty m:val="p"/>
                  </m:rPr>
                  <w:rPr>
                    <w:rFonts w:ascii="Cambria Math" w:hAnsi="Cambria Math" w:cs="Times New Roman"/>
                    <w:sz w:val="24"/>
                    <w:szCs w:val="24"/>
                  </w:rPr>
                  <m:t>IQR=</m:t>
                </m:r>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1</m:t>
                    </m:r>
                  </m:sub>
                </m:sSub>
              </m:oMath>
            </m:oMathPara>
          </w:p>
          <w:p w14:paraId="3CB2AB65" w14:textId="77777777" w:rsidR="00C635FF" w:rsidRPr="00821999" w:rsidRDefault="00C635FF" w:rsidP="001F380A">
            <w:pPr>
              <w:jc w:val="center"/>
              <w:rPr>
                <w:rFonts w:ascii="Times New Roman" w:eastAsia="맑은 고딕" w:hAnsi="Times New Roman" w:cs="Times New Roman"/>
                <w:sz w:val="24"/>
                <w:szCs w:val="24"/>
              </w:rPr>
            </w:pPr>
            <w:r w:rsidRPr="00821999">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3</m:t>
                  </m:r>
                </m:sub>
              </m:sSub>
            </m:oMath>
            <w:r w:rsidRPr="00821999">
              <w:rPr>
                <w:rFonts w:ascii="Times New Roman" w:hAnsi="Times New Roman" w:cs="Times New Roman"/>
                <w:sz w:val="24"/>
                <w:szCs w:val="24"/>
              </w:rPr>
              <w:t xml:space="preserve"> denote the 3</w:t>
            </w:r>
            <w:r w:rsidRPr="00821999">
              <w:rPr>
                <w:rFonts w:ascii="Times New Roman" w:hAnsi="Times New Roman" w:cs="Times New Roman"/>
                <w:sz w:val="24"/>
                <w:szCs w:val="24"/>
                <w:vertAlign w:val="superscript"/>
              </w:rPr>
              <w:t>rd</w:t>
            </w:r>
            <w:r w:rsidRPr="00821999">
              <w:rPr>
                <w:rFonts w:ascii="Times New Roman" w:hAnsi="Times New Roman" w:cs="Times New Roman"/>
                <w:sz w:val="24"/>
                <w:szCs w:val="24"/>
              </w:rPr>
              <w:t xml:space="preserve"> quartile of histogram,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1</m:t>
                  </m:r>
                </m:sub>
              </m:sSub>
            </m:oMath>
            <w:r w:rsidRPr="00821999">
              <w:rPr>
                <w:rFonts w:ascii="Times New Roman" w:hAnsi="Times New Roman" w:cs="Times New Roman"/>
                <w:sz w:val="24"/>
                <w:szCs w:val="24"/>
              </w:rPr>
              <w:t xml:space="preserve"> denote the 1</w:t>
            </w:r>
            <w:r w:rsidRPr="00821999">
              <w:rPr>
                <w:rFonts w:ascii="Times New Roman" w:hAnsi="Times New Roman" w:cs="Times New Roman"/>
                <w:sz w:val="24"/>
                <w:szCs w:val="24"/>
                <w:vertAlign w:val="superscript"/>
              </w:rPr>
              <w:t>st</w:t>
            </w:r>
            <w:r w:rsidRPr="00821999">
              <w:rPr>
                <w:rFonts w:ascii="Times New Roman" w:hAnsi="Times New Roman" w:cs="Times New Roman"/>
                <w:sz w:val="24"/>
                <w:szCs w:val="24"/>
              </w:rPr>
              <w:t xml:space="preserve"> quartile of histogram</w:t>
            </w:r>
          </w:p>
        </w:tc>
        <w:tc>
          <w:tcPr>
            <w:tcW w:w="808" w:type="pct"/>
            <w:vAlign w:val="center"/>
          </w:tcPr>
          <w:p w14:paraId="2D660DBF"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Measures of variability, based on dividing a histogram into quartiles</w:t>
            </w:r>
          </w:p>
        </w:tc>
        <w:tc>
          <w:tcPr>
            <w:tcW w:w="807" w:type="pct"/>
            <w:vAlign w:val="center"/>
          </w:tcPr>
          <w:p w14:paraId="3F2A19E0"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hAnsi="Times New Roman" w:cs="Times New Roman"/>
                <w:sz w:val="24"/>
                <w:szCs w:val="24"/>
                <w:shd w:val="clear" w:color="auto" w:fill="FFFFFF"/>
              </w:rPr>
              <w:t>O</w:t>
            </w:r>
          </w:p>
        </w:tc>
      </w:tr>
      <w:tr w:rsidR="00C635FF" w:rsidRPr="00821999" w14:paraId="068C7DF1" w14:textId="77777777" w:rsidTr="001F380A">
        <w:tc>
          <w:tcPr>
            <w:tcW w:w="606" w:type="pct"/>
            <w:vMerge/>
            <w:vAlign w:val="center"/>
          </w:tcPr>
          <w:p w14:paraId="30EC5FF3"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7729B4D5"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Range</w:t>
            </w:r>
          </w:p>
        </w:tc>
        <w:tc>
          <w:tcPr>
            <w:tcW w:w="1780" w:type="pct"/>
            <w:vAlign w:val="center"/>
          </w:tcPr>
          <w:p w14:paraId="160B3B21" w14:textId="77777777" w:rsidR="00C635FF" w:rsidRPr="00821999" w:rsidRDefault="00C635FF" w:rsidP="001F380A">
            <w:pPr>
              <w:jc w:val="center"/>
              <w:rPr>
                <w:rFonts w:ascii="Times New Roman" w:eastAsia="맑은 고딕" w:hAnsi="Times New Roman" w:cs="Times New Roman"/>
                <w:sz w:val="24"/>
                <w:szCs w:val="24"/>
              </w:rPr>
            </w:pPr>
            <m:oMathPara>
              <m:oMath>
                <m:r>
                  <m:rPr>
                    <m:sty m:val="p"/>
                  </m:rPr>
                  <w:rPr>
                    <w:rFonts w:ascii="Cambria Math" w:hAnsi="Cambria Math" w:cs="Times New Roman"/>
                    <w:sz w:val="24"/>
                    <w:szCs w:val="24"/>
                  </w:rPr>
                  <m:t>Range=range(X</m:t>
                </m:r>
                <m:d>
                  <m:dPr>
                    <m:ctrlPr>
                      <w:rPr>
                        <w:rFonts w:ascii="Cambria Math" w:hAnsi="Cambria Math" w:cs="Times New Roman"/>
                        <w:sz w:val="24"/>
                        <w:szCs w:val="24"/>
                      </w:rPr>
                    </m:ctrlPr>
                  </m:dPr>
                  <m:e>
                    <m:r>
                      <m:rPr>
                        <m:sty m:val="p"/>
                      </m:rPr>
                      <w:rPr>
                        <w:rFonts w:ascii="Cambria Math" w:hAnsi="Cambria Math" w:cs="Times New Roman"/>
                        <w:sz w:val="24"/>
                        <w:szCs w:val="24"/>
                      </w:rPr>
                      <m:t>i</m:t>
                    </m:r>
                  </m:e>
                </m:d>
                <m:r>
                  <m:rPr>
                    <m:sty m:val="p"/>
                  </m:rPr>
                  <w:rPr>
                    <w:rFonts w:ascii="Cambria Math" w:hAnsi="Cambria Math" w:cs="Times New Roman"/>
                    <w:sz w:val="24"/>
                    <w:szCs w:val="24"/>
                  </w:rPr>
                  <m:t>)</m:t>
                </m:r>
              </m:oMath>
            </m:oMathPara>
          </w:p>
        </w:tc>
        <w:tc>
          <w:tcPr>
            <w:tcW w:w="808" w:type="pct"/>
            <w:vAlign w:val="center"/>
          </w:tcPr>
          <w:p w14:paraId="47E81C42"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hAnsi="Times New Roman" w:cs="Times New Roman"/>
                <w:sz w:val="24"/>
                <w:szCs w:val="24"/>
                <w:shd w:val="clear" w:color="auto" w:fill="FFFFFF"/>
              </w:rPr>
              <w:t>Measures difference between the highest and lowest voxel values of a histogram</w:t>
            </w:r>
          </w:p>
        </w:tc>
        <w:tc>
          <w:tcPr>
            <w:tcW w:w="807" w:type="pct"/>
            <w:vAlign w:val="center"/>
          </w:tcPr>
          <w:p w14:paraId="2E90DD74"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hAnsi="Times New Roman" w:cs="Times New Roman"/>
                <w:sz w:val="24"/>
                <w:szCs w:val="24"/>
                <w:shd w:val="clear" w:color="auto" w:fill="FFFFFF"/>
              </w:rPr>
              <w:t>O</w:t>
            </w:r>
          </w:p>
        </w:tc>
      </w:tr>
      <w:tr w:rsidR="00C635FF" w:rsidRPr="00821999" w14:paraId="6460663D" w14:textId="77777777" w:rsidTr="001F380A">
        <w:tc>
          <w:tcPr>
            <w:tcW w:w="606" w:type="pct"/>
            <w:vMerge/>
            <w:vAlign w:val="center"/>
          </w:tcPr>
          <w:p w14:paraId="56C82F03"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58C06339"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Percentile</w:t>
            </w:r>
          </w:p>
        </w:tc>
        <w:tc>
          <w:tcPr>
            <w:tcW w:w="1780" w:type="pct"/>
            <w:vAlign w:val="center"/>
          </w:tcPr>
          <w:p w14:paraId="67AB7971" w14:textId="77777777" w:rsidR="00C635FF" w:rsidRPr="00821999" w:rsidRDefault="00C635FF" w:rsidP="001F380A">
            <w:pPr>
              <w:jc w:val="center"/>
              <w:rPr>
                <w:rFonts w:ascii="Times New Roman" w:eastAsia="맑은 고딕" w:hAnsi="Times New Roman" w:cs="Times New Roman"/>
                <w:sz w:val="24"/>
                <w:szCs w:val="24"/>
              </w:rPr>
            </w:pPr>
            <m:oMathPara>
              <m:oMath>
                <m:r>
                  <m:rPr>
                    <m:sty m:val="p"/>
                  </m:rPr>
                  <w:rPr>
                    <w:rFonts w:ascii="Cambria Math" w:hAnsi="Cambria Math" w:cs="Times New Roman"/>
                    <w:sz w:val="24"/>
                    <w:szCs w:val="24"/>
                  </w:rPr>
                  <m:t>Percentile=</m:t>
                </m:r>
                <m:d>
                  <m:dPr>
                    <m:ctrlPr>
                      <w:rPr>
                        <w:rFonts w:ascii="Cambria Math" w:hAnsi="Cambria Math" w:cs="Times New Roman"/>
                        <w:sz w:val="24"/>
                        <w:szCs w:val="24"/>
                      </w:rPr>
                    </m:ctrlPr>
                  </m:dPr>
                  <m:e>
                    <m:f>
                      <m:fPr>
                        <m:ctrlPr>
                          <w:rPr>
                            <w:rFonts w:ascii="Cambria Math" w:hAnsi="Cambria Math" w:cs="Times New Roman"/>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n</m:t>
                            </m:r>
                          </m:e>
                          <m:sup>
                            <m:r>
                              <w:rPr>
                                <w:rFonts w:ascii="Cambria Math" w:hAnsi="Cambria Math" w:cs="Times New Roman"/>
                                <w:sz w:val="24"/>
                                <w:szCs w:val="24"/>
                              </w:rPr>
                              <m:t>th</m:t>
                            </m:r>
                          </m:sup>
                        </m:sSup>
                        <m:r>
                          <w:rPr>
                            <w:rFonts w:ascii="Cambria Math" w:hAnsi="Cambria Math" w:cs="Times New Roman"/>
                            <w:sz w:val="24"/>
                            <w:szCs w:val="24"/>
                          </w:rPr>
                          <m:t xml:space="preserve"> percentile</m:t>
                        </m:r>
                      </m:num>
                      <m:den>
                        <m:r>
                          <w:rPr>
                            <w:rFonts w:ascii="Cambria Math" w:hAnsi="Cambria Math" w:cs="Times New Roman"/>
                            <w:sz w:val="24"/>
                            <w:szCs w:val="24"/>
                          </w:rPr>
                          <m:t>100</m:t>
                        </m:r>
                      </m:den>
                    </m:f>
                    <m:ctrlPr>
                      <w:rPr>
                        <w:rFonts w:ascii="Cambria Math" w:hAnsi="Cambria Math" w:cs="Times New Roman"/>
                        <w:i/>
                        <w:sz w:val="24"/>
                        <w:szCs w:val="24"/>
                      </w:rPr>
                    </m:ctrlPr>
                  </m:e>
                </m:d>
                <m:r>
                  <m:rPr>
                    <m:sty m:val="p"/>
                  </m:rPr>
                  <w:rPr>
                    <w:rFonts w:ascii="Cambria Math" w:eastAsia="맑은 고딕" w:hAnsi="Cambria Math" w:cs="Times New Roman"/>
                    <w:sz w:val="24"/>
                    <w:szCs w:val="24"/>
                  </w:rPr>
                  <m:t xml:space="preserve"> X(i)</m:t>
                </m:r>
              </m:oMath>
            </m:oMathPara>
          </w:p>
        </w:tc>
        <w:tc>
          <w:tcPr>
            <w:tcW w:w="808" w:type="pct"/>
            <w:vAlign w:val="center"/>
          </w:tcPr>
          <w:p w14:paraId="385EC7EE"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eastAsiaTheme="minorHAnsi" w:hAnsi="Times New Roman" w:cs="Times New Roman"/>
                <w:sz w:val="24"/>
                <w:szCs w:val="24"/>
              </w:rPr>
              <w:t>Measures intensity value at the 2.5</w:t>
            </w:r>
            <w:r w:rsidRPr="00821999">
              <w:rPr>
                <w:rFonts w:ascii="Times New Roman" w:eastAsiaTheme="minorHAnsi" w:hAnsi="Times New Roman" w:cs="Times New Roman"/>
                <w:sz w:val="24"/>
                <w:szCs w:val="24"/>
                <w:vertAlign w:val="superscript"/>
              </w:rPr>
              <w:t>th</w:t>
            </w:r>
            <w:r w:rsidRPr="00821999">
              <w:rPr>
                <w:rFonts w:ascii="Times New Roman" w:eastAsiaTheme="minorHAnsi" w:hAnsi="Times New Roman" w:cs="Times New Roman"/>
                <w:sz w:val="24"/>
                <w:szCs w:val="24"/>
              </w:rPr>
              <w:t>, 25</w:t>
            </w:r>
            <w:r w:rsidRPr="00821999">
              <w:rPr>
                <w:rFonts w:ascii="Times New Roman" w:eastAsiaTheme="minorHAnsi" w:hAnsi="Times New Roman" w:cs="Times New Roman"/>
                <w:sz w:val="24"/>
                <w:szCs w:val="24"/>
                <w:vertAlign w:val="superscript"/>
              </w:rPr>
              <w:t>th</w:t>
            </w:r>
            <w:r w:rsidRPr="00821999">
              <w:rPr>
                <w:rFonts w:ascii="Times New Roman" w:eastAsiaTheme="minorHAnsi" w:hAnsi="Times New Roman" w:cs="Times New Roman"/>
                <w:sz w:val="24"/>
                <w:szCs w:val="24"/>
              </w:rPr>
              <w:t xml:space="preserve"> ,50</w:t>
            </w:r>
            <w:r w:rsidRPr="00821999">
              <w:rPr>
                <w:rFonts w:ascii="Times New Roman" w:eastAsiaTheme="minorHAnsi" w:hAnsi="Times New Roman" w:cs="Times New Roman"/>
                <w:sz w:val="24"/>
                <w:szCs w:val="24"/>
                <w:vertAlign w:val="superscript"/>
              </w:rPr>
              <w:t>th</w:t>
            </w:r>
            <w:r w:rsidRPr="00821999">
              <w:rPr>
                <w:rFonts w:ascii="Times New Roman" w:eastAsiaTheme="minorHAnsi" w:hAnsi="Times New Roman" w:cs="Times New Roman"/>
                <w:sz w:val="24"/>
                <w:szCs w:val="24"/>
              </w:rPr>
              <w:t xml:space="preserve"> ,75</w:t>
            </w:r>
            <w:r w:rsidRPr="00821999">
              <w:rPr>
                <w:rFonts w:ascii="Times New Roman" w:eastAsiaTheme="minorHAnsi" w:hAnsi="Times New Roman" w:cs="Times New Roman"/>
                <w:sz w:val="24"/>
                <w:szCs w:val="24"/>
                <w:vertAlign w:val="superscript"/>
              </w:rPr>
              <w:t>th</w:t>
            </w:r>
            <w:r w:rsidRPr="00821999">
              <w:rPr>
                <w:rFonts w:ascii="Times New Roman" w:eastAsiaTheme="minorHAnsi" w:hAnsi="Times New Roman" w:cs="Times New Roman"/>
                <w:sz w:val="24"/>
                <w:szCs w:val="24"/>
              </w:rPr>
              <w:t>, and 97.5</w:t>
            </w:r>
            <w:r w:rsidRPr="00821999">
              <w:rPr>
                <w:rFonts w:ascii="Times New Roman" w:eastAsiaTheme="minorHAnsi" w:hAnsi="Times New Roman" w:cs="Times New Roman"/>
                <w:sz w:val="24"/>
                <w:szCs w:val="24"/>
                <w:vertAlign w:val="superscript"/>
              </w:rPr>
              <w:t>th</w:t>
            </w:r>
            <w:r w:rsidRPr="00821999">
              <w:rPr>
                <w:rFonts w:ascii="Times New Roman" w:eastAsiaTheme="minorHAnsi" w:hAnsi="Times New Roman" w:cs="Times New Roman"/>
                <w:sz w:val="24"/>
                <w:szCs w:val="24"/>
              </w:rPr>
              <w:t xml:space="preserve"> percentile on histogram</w:t>
            </w:r>
          </w:p>
        </w:tc>
        <w:tc>
          <w:tcPr>
            <w:tcW w:w="807" w:type="pct"/>
            <w:vAlign w:val="center"/>
          </w:tcPr>
          <w:p w14:paraId="2728D42C"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0042BE8D" w14:textId="77777777" w:rsidTr="001F380A">
        <w:tc>
          <w:tcPr>
            <w:tcW w:w="606" w:type="pct"/>
            <w:vMerge/>
            <w:vAlign w:val="center"/>
            <w:hideMark/>
          </w:tcPr>
          <w:p w14:paraId="613F0C39"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4AC4CD49"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Entropy</w:t>
            </w:r>
          </w:p>
        </w:tc>
        <w:tc>
          <w:tcPr>
            <w:tcW w:w="1780" w:type="pct"/>
            <w:vAlign w:val="center"/>
            <w:hideMark/>
          </w:tcPr>
          <w:p w14:paraId="7B04368B"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Entropy</m:t>
                </m:r>
                <m:r>
                  <w:rPr>
                    <w:rFonts w:ascii="Cambria Math" w:hAnsi="Cambria Math" w:cs="Times New Roman"/>
                    <w:sz w:val="24"/>
                    <w:szCs w:val="24"/>
                  </w:rPr>
                  <m:t>=-</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i=1</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l</m:t>
                        </m:r>
                      </m:sub>
                    </m:sSub>
                  </m:sup>
                  <m:e>
                    <m:r>
                      <w:rPr>
                        <w:rFonts w:ascii="Cambria Math" w:hAnsi="Cambria Math" w:cs="Times New Roman"/>
                        <w:sz w:val="24"/>
                        <w:szCs w:val="24"/>
                      </w:rPr>
                      <m:t>P(i)</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2</m:t>
                            </m:r>
                          </m:sub>
                        </m:sSub>
                      </m:fName>
                      <m:e>
                        <m:r>
                          <w:rPr>
                            <w:rFonts w:ascii="Cambria Math" w:hAnsi="Cambria Math" w:cs="Times New Roman"/>
                            <w:sz w:val="24"/>
                            <w:szCs w:val="24"/>
                          </w:rPr>
                          <m:t>P(i)</m:t>
                        </m:r>
                      </m:e>
                    </m:func>
                  </m:e>
                </m:nary>
              </m:oMath>
            </m:oMathPara>
          </w:p>
          <w:p w14:paraId="6BAD6835"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w:rPr>
                  <w:rFonts w:ascii="Cambria Math" w:hAnsi="Cambria Math" w:cs="Times New Roman"/>
                  <w:sz w:val="24"/>
                  <w:szCs w:val="24"/>
                </w:rPr>
                <m:t>P</m:t>
              </m:r>
            </m:oMath>
            <w:r w:rsidRPr="00821999">
              <w:rPr>
                <w:rFonts w:ascii="Times New Roman" w:hAnsi="Times New Roman" w:cs="Times New Roman"/>
                <w:sz w:val="24"/>
                <w:szCs w:val="24"/>
              </w:rPr>
              <w:t xml:space="preserve"> denotes the first-order histogram with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l</m:t>
                  </m:r>
                </m:sub>
              </m:sSub>
            </m:oMath>
            <w:r w:rsidRPr="00821999">
              <w:rPr>
                <w:rFonts w:ascii="Times New Roman" w:hAnsi="Times New Roman" w:cs="Times New Roman"/>
                <w:sz w:val="24"/>
                <w:szCs w:val="24"/>
              </w:rPr>
              <w:t xml:space="preserve"> discrete intensity levels.</w:t>
            </w:r>
          </w:p>
        </w:tc>
        <w:tc>
          <w:tcPr>
            <w:tcW w:w="808" w:type="pct"/>
            <w:vAlign w:val="center"/>
            <w:hideMark/>
          </w:tcPr>
          <w:p w14:paraId="7683A0E0"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Measures irregularity of a histogram.</w:t>
            </w:r>
          </w:p>
        </w:tc>
        <w:tc>
          <w:tcPr>
            <w:tcW w:w="807" w:type="pct"/>
            <w:vAlign w:val="center"/>
          </w:tcPr>
          <w:p w14:paraId="32BFB9AC"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49CA3841" w14:textId="77777777" w:rsidTr="001F380A">
        <w:tc>
          <w:tcPr>
            <w:tcW w:w="606" w:type="pct"/>
            <w:vMerge/>
            <w:vAlign w:val="center"/>
            <w:hideMark/>
          </w:tcPr>
          <w:p w14:paraId="1B94CA24"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361B9348"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Uniformity</w:t>
            </w:r>
          </w:p>
        </w:tc>
        <w:tc>
          <w:tcPr>
            <w:tcW w:w="1780" w:type="pct"/>
            <w:vAlign w:val="center"/>
            <w:hideMark/>
          </w:tcPr>
          <w:p w14:paraId="5AEE0EF7"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Uniformity=</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i=1</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l</m:t>
                        </m:r>
                      </m:sub>
                    </m:sSub>
                  </m:sup>
                  <m:e>
                    <m:sSup>
                      <m:sSupPr>
                        <m:ctrlPr>
                          <w:rPr>
                            <w:rFonts w:ascii="Cambria Math" w:hAnsi="Cambria Math" w:cs="Times New Roman"/>
                            <w:i/>
                            <w:sz w:val="24"/>
                            <w:szCs w:val="24"/>
                          </w:rPr>
                        </m:ctrlPr>
                      </m:sSupPr>
                      <m:e>
                        <m:r>
                          <w:rPr>
                            <w:rFonts w:ascii="Cambria Math" w:hAnsi="Cambria Math" w:cs="Times New Roman"/>
                            <w:sz w:val="24"/>
                            <w:szCs w:val="24"/>
                          </w:rPr>
                          <m:t>P(i)</m:t>
                        </m:r>
                      </m:e>
                      <m:sup>
                        <m:r>
                          <w:rPr>
                            <w:rFonts w:ascii="Cambria Math" w:hAnsi="Cambria Math" w:cs="Times New Roman"/>
                            <w:sz w:val="24"/>
                            <w:szCs w:val="24"/>
                          </w:rPr>
                          <m:t>2</m:t>
                        </m:r>
                      </m:sup>
                    </m:sSup>
                  </m:e>
                </m:nary>
              </m:oMath>
            </m:oMathPara>
          </w:p>
          <w:p w14:paraId="79C10373"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w:rPr>
                  <w:rFonts w:ascii="Cambria Math" w:hAnsi="Cambria Math" w:cs="Times New Roman"/>
                  <w:sz w:val="24"/>
                  <w:szCs w:val="24"/>
                </w:rPr>
                <m:t>P</m:t>
              </m:r>
            </m:oMath>
            <w:r w:rsidRPr="00821999">
              <w:rPr>
                <w:rFonts w:ascii="Times New Roman" w:hAnsi="Times New Roman" w:cs="Times New Roman"/>
                <w:sz w:val="24"/>
                <w:szCs w:val="24"/>
              </w:rPr>
              <w:t xml:space="preserve"> denotes the first-order histogram with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l</m:t>
                  </m:r>
                </m:sub>
              </m:sSub>
            </m:oMath>
            <w:r w:rsidRPr="00821999">
              <w:rPr>
                <w:rFonts w:ascii="Times New Roman" w:hAnsi="Times New Roman" w:cs="Times New Roman"/>
                <w:sz w:val="24"/>
                <w:szCs w:val="24"/>
              </w:rPr>
              <w:t xml:space="preserve"> discrete intensity levels.</w:t>
            </w:r>
          </w:p>
        </w:tc>
        <w:tc>
          <w:tcPr>
            <w:tcW w:w="808" w:type="pct"/>
            <w:vAlign w:val="center"/>
            <w:hideMark/>
          </w:tcPr>
          <w:p w14:paraId="7CAE5E4A"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Measures uniformity of a histogram.</w:t>
            </w:r>
          </w:p>
        </w:tc>
        <w:tc>
          <w:tcPr>
            <w:tcW w:w="807" w:type="pct"/>
            <w:vAlign w:val="center"/>
          </w:tcPr>
          <w:p w14:paraId="4864457A"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699ACCE8" w14:textId="77777777" w:rsidTr="001F380A">
        <w:tc>
          <w:tcPr>
            <w:tcW w:w="606" w:type="pct"/>
            <w:vMerge/>
            <w:vAlign w:val="center"/>
            <w:hideMark/>
          </w:tcPr>
          <w:p w14:paraId="6DDCF4C5"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50A71DA1"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Mean value of positive pixels (MPP)</w:t>
            </w:r>
          </w:p>
        </w:tc>
        <w:tc>
          <w:tcPr>
            <w:tcW w:w="1780" w:type="pct"/>
            <w:vAlign w:val="center"/>
            <w:hideMark/>
          </w:tcPr>
          <w:p w14:paraId="36289144"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MPP</m:t>
                </m:r>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m:t>
                        </m:r>
                      </m:sub>
                    </m:sSub>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m:t>
                    </m:r>
                  </m:sub>
                  <m:sup>
                    <m:r>
                      <w:rPr>
                        <w:rFonts w:ascii="Cambria Math" w:hAnsi="Cambria Math" w:cs="Times New Roman"/>
                        <w:sz w:val="24"/>
                        <w:szCs w:val="24"/>
                      </w:rPr>
                      <m:t>N</m:t>
                    </m:r>
                  </m:sup>
                  <m:e>
                    <m:r>
                      <w:rPr>
                        <w:rFonts w:ascii="Cambria Math" w:hAnsi="Cambria Math" w:cs="Times New Roman"/>
                        <w:sz w:val="24"/>
                        <w:szCs w:val="24"/>
                      </w:rPr>
                      <m:t>X(i)</m:t>
                    </m:r>
                  </m:e>
                </m:nary>
              </m:oMath>
            </m:oMathPara>
          </w:p>
          <w:p w14:paraId="4D59A722"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m:t>
                  </m:r>
                </m:sub>
              </m:sSub>
            </m:oMath>
            <w:r w:rsidRPr="00821999">
              <w:rPr>
                <w:rFonts w:ascii="Times New Roman" w:hAnsi="Times New Roman" w:cs="Times New Roman"/>
                <w:sz w:val="24"/>
                <w:szCs w:val="24"/>
              </w:rPr>
              <w:t xml:space="preserve"> denotes the total number of positive </w:t>
            </w:r>
            <w:r w:rsidRPr="00821999">
              <w:rPr>
                <w:rFonts w:ascii="Times New Roman" w:hAnsi="Times New Roman" w:cs="Times New Roman"/>
                <w:sz w:val="24"/>
                <w:szCs w:val="24"/>
              </w:rPr>
              <w:lastRenderedPageBreak/>
              <w:t xml:space="preserve">gray level pixels in </w:t>
            </w:r>
            <m:oMath>
              <m:r>
                <w:rPr>
                  <w:rFonts w:ascii="Cambria Math" w:hAnsi="Cambria Math" w:cs="Times New Roman"/>
                  <w:sz w:val="24"/>
                  <w:szCs w:val="24"/>
                </w:rPr>
                <m:t>X</m:t>
              </m:r>
              <m:d>
                <m:dPr>
                  <m:ctrlPr>
                    <w:rPr>
                      <w:rFonts w:ascii="Cambria Math" w:hAnsi="Cambria Math" w:cs="Times New Roman"/>
                      <w:i/>
                      <w:sz w:val="24"/>
                      <w:szCs w:val="24"/>
                    </w:rPr>
                  </m:ctrlPr>
                </m:dPr>
                <m:e>
                  <m:r>
                    <w:rPr>
                      <w:rFonts w:ascii="Cambria Math" w:hAnsi="Cambria Math" w:cs="Times New Roman"/>
                      <w:sz w:val="24"/>
                      <w:szCs w:val="24"/>
                    </w:rPr>
                    <m:t>i</m:t>
                  </m:r>
                </m:e>
              </m:d>
            </m:oMath>
          </w:p>
        </w:tc>
        <w:tc>
          <w:tcPr>
            <w:tcW w:w="808" w:type="pct"/>
            <w:vAlign w:val="center"/>
            <w:hideMark/>
          </w:tcPr>
          <w:p w14:paraId="036D9D7F"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lastRenderedPageBreak/>
              <w:t>Measures average positive histogram value.</w:t>
            </w:r>
          </w:p>
        </w:tc>
        <w:tc>
          <w:tcPr>
            <w:tcW w:w="807" w:type="pct"/>
            <w:vAlign w:val="center"/>
          </w:tcPr>
          <w:p w14:paraId="1F3FB1F5"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0676F0F8" w14:textId="77777777" w:rsidTr="001F380A">
        <w:tc>
          <w:tcPr>
            <w:tcW w:w="606" w:type="pct"/>
            <w:vMerge/>
            <w:tcBorders>
              <w:bottom w:val="single" w:sz="12" w:space="0" w:color="auto"/>
            </w:tcBorders>
            <w:vAlign w:val="center"/>
            <w:hideMark/>
          </w:tcPr>
          <w:p w14:paraId="72B3D65E" w14:textId="77777777" w:rsidR="00C635FF" w:rsidRPr="00821999" w:rsidRDefault="00C635FF" w:rsidP="001F380A">
            <w:pPr>
              <w:spacing w:after="0"/>
              <w:jc w:val="center"/>
              <w:rPr>
                <w:rFonts w:ascii="Times New Roman" w:hAnsi="Times New Roman" w:cs="Times New Roman"/>
                <w:b/>
                <w:sz w:val="24"/>
                <w:szCs w:val="24"/>
              </w:rPr>
            </w:pPr>
          </w:p>
        </w:tc>
        <w:tc>
          <w:tcPr>
            <w:tcW w:w="999" w:type="pct"/>
            <w:tcBorders>
              <w:bottom w:val="single" w:sz="12" w:space="0" w:color="auto"/>
            </w:tcBorders>
            <w:vAlign w:val="center"/>
            <w:hideMark/>
          </w:tcPr>
          <w:p w14:paraId="7833B82D"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Uniformity value of positive pixels (UPP)</w:t>
            </w:r>
          </w:p>
        </w:tc>
        <w:tc>
          <w:tcPr>
            <w:tcW w:w="1780" w:type="pct"/>
            <w:tcBorders>
              <w:bottom w:val="single" w:sz="12" w:space="0" w:color="auto"/>
            </w:tcBorders>
            <w:vAlign w:val="center"/>
            <w:hideMark/>
          </w:tcPr>
          <w:p w14:paraId="732D8311"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UPP=</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i=1</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l</m:t>
                        </m:r>
                      </m:sub>
                    </m:sSub>
                  </m:sup>
                  <m:e>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r>
                              <w:rPr>
                                <w:rFonts w:ascii="Cambria Math" w:hAnsi="Cambria Math" w:cs="Times New Roman"/>
                                <w:sz w:val="24"/>
                                <w:szCs w:val="24"/>
                              </w:rPr>
                              <m:t>P(i)</m:t>
                            </m:r>
                          </m:e>
                        </m:d>
                      </m:e>
                      <m:sup>
                        <m:r>
                          <w:rPr>
                            <w:rFonts w:ascii="Cambria Math" w:hAnsi="Cambria Math" w:cs="Times New Roman"/>
                            <w:sz w:val="24"/>
                            <w:szCs w:val="24"/>
                          </w:rPr>
                          <m:t>2</m:t>
                        </m:r>
                      </m:sup>
                    </m:sSup>
                  </m:e>
                </m:nary>
              </m:oMath>
            </m:oMathPara>
          </w:p>
          <w:p w14:paraId="340A1298"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w:rPr>
                  <w:rFonts w:ascii="Cambria Math" w:hAnsi="Cambria Math" w:cs="Times New Roman"/>
                  <w:sz w:val="24"/>
                  <w:szCs w:val="24"/>
                </w:rPr>
                <m:t>P</m:t>
              </m:r>
            </m:oMath>
            <w:r w:rsidRPr="00821999">
              <w:rPr>
                <w:rFonts w:ascii="Times New Roman" w:hAnsi="Times New Roman" w:cs="Times New Roman"/>
                <w:sz w:val="24"/>
                <w:szCs w:val="24"/>
              </w:rPr>
              <w:t xml:space="preserve"> denotes the first-order histogram with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l</m:t>
                  </m:r>
                </m:sub>
              </m:sSub>
            </m:oMath>
            <w:r w:rsidRPr="00821999">
              <w:rPr>
                <w:rFonts w:ascii="Times New Roman" w:hAnsi="Times New Roman" w:cs="Times New Roman"/>
                <w:sz w:val="24"/>
                <w:szCs w:val="24"/>
              </w:rPr>
              <w:t xml:space="preserve"> discrete intensity levels.</w:t>
            </w:r>
          </w:p>
        </w:tc>
        <w:tc>
          <w:tcPr>
            <w:tcW w:w="808" w:type="pct"/>
            <w:tcBorders>
              <w:bottom w:val="single" w:sz="12" w:space="0" w:color="auto"/>
            </w:tcBorders>
            <w:vAlign w:val="center"/>
            <w:hideMark/>
          </w:tcPr>
          <w:p w14:paraId="01782EF5"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Measures uniformity of positive histogram value.</w:t>
            </w:r>
          </w:p>
        </w:tc>
        <w:tc>
          <w:tcPr>
            <w:tcW w:w="807" w:type="pct"/>
            <w:tcBorders>
              <w:bottom w:val="single" w:sz="12" w:space="0" w:color="auto"/>
            </w:tcBorders>
            <w:vAlign w:val="center"/>
          </w:tcPr>
          <w:p w14:paraId="7AAE2965"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097723AA" w14:textId="77777777" w:rsidTr="001F380A">
        <w:tc>
          <w:tcPr>
            <w:tcW w:w="606" w:type="pct"/>
            <w:vMerge w:val="restart"/>
            <w:tcBorders>
              <w:top w:val="single" w:sz="12" w:space="0" w:color="auto"/>
              <w:bottom w:val="single" w:sz="4" w:space="0" w:color="AEAAAA" w:themeColor="background2" w:themeShade="BF"/>
            </w:tcBorders>
            <w:vAlign w:val="center"/>
            <w:hideMark/>
          </w:tcPr>
          <w:p w14:paraId="1C07210E" w14:textId="77777777" w:rsidR="00C635FF" w:rsidRPr="00821999" w:rsidRDefault="00C635FF" w:rsidP="001F380A">
            <w:pPr>
              <w:spacing w:after="0"/>
              <w:jc w:val="center"/>
              <w:rPr>
                <w:rFonts w:ascii="Times New Roman" w:hAnsi="Times New Roman" w:cs="Times New Roman"/>
                <w:b/>
                <w:sz w:val="24"/>
                <w:szCs w:val="24"/>
              </w:rPr>
            </w:pPr>
            <w:r w:rsidRPr="00821999">
              <w:rPr>
                <w:rFonts w:ascii="Times New Roman" w:hAnsi="Times New Roman" w:cs="Times New Roman"/>
                <w:b/>
                <w:sz w:val="24"/>
                <w:szCs w:val="24"/>
              </w:rPr>
              <w:t xml:space="preserve">Shape- and size-based features </w:t>
            </w:r>
            <w:r w:rsidRPr="00821999">
              <w:rPr>
                <w:rFonts w:ascii="Times New Roman" w:hAnsi="Times New Roman" w:cs="Times New Roman"/>
                <w:b/>
                <w:sz w:val="24"/>
                <w:szCs w:val="24"/>
              </w:rPr>
              <w:fldChar w:fldCharType="begin" w:fldLock="1"/>
            </w:r>
            <w:r w:rsidRPr="00821999">
              <w:rPr>
                <w:rFonts w:ascii="Times New Roman" w:hAnsi="Times New Roman" w:cs="Times New Roman"/>
                <w:b/>
                <w:sz w:val="24"/>
                <w:szCs w:val="24"/>
              </w:rPr>
              <w:instrText>ADDIN CSL_CITATION {"citationItems":[{"id":"ITEM-1","itemData":{"DOI":"10.1038/ncomms5006","ISBN":"2041-1723 (Electronic)\\r2041-1723 (Linking)","ISSN":"2041-1723","PMID":"24892406","abstract":"Human cancers exhibit strong phenotypic differences that can be visualized noninvasively by medical imaging. Radiomics refers to the comprehensive quantification of tumour phenotypes by applying a large number of quantitative image features. Here we present a radiomic analysis of 440 features quantifying tumour image intensity, shape and texture, which are extracted from computed tomography data of 1,019 patients with lung or head-and-neck cancer. We find that a large number of radiomic features have prognostic power in independent data sets of lung and head-and-neck cancer patients, many of which were not identified as significant before. Radiogenomics analysis reveals that a prognostic radiomic signature, capturing intratumour heterogeneity, is associated with underlying gene-expression patterns. These data suggest that radiomics identifies a general prognostic phenotype existing in both lung and head-and-neck cancer. This may have a clinical impact as imaging is routinely used in clinical practice, providing an unprecedented opportunity to improve decision-support in cancer treatment at low cost.","author":[{"dropping-particle":"","family":"Aerts","given":"Hugo J.W.L.","non-dropping-particle":"","parse-names":false,"suffix":""},{"dropping-particle":"","family":"Velazquez","given":"E R","non-dropping-particle":"","parse-names":false,"suffix":""},{"dropping-particle":"","family":"Leijenaar","given":"R T","non-dropping-particle":"","parse-names":false,"suffix":""},{"dropping-particle":"","family":"Parmar","given":"C","non-dropping-particle":"","parse-names":false,"suffix":""},{"dropping-particle":"","family":"Grossmann","given":"P","non-dropping-particle":"","parse-names":false,"suffix":""},{"dropping-particle":"","family":"Carvalho","given":"S","non-dropping-particle":"","parse-names":false,"suffix":""},{"dropping-particle":"","family":"Bussink","given":"J","non-dropping-particle":"","parse-names":false,"suffix":""},{"dropping-particle":"","family":"Monshouwer","given":"R","non-dropping-particle":"","parse-names":false,"suffix":""},{"dropping-particle":"","family":"Haibe-Kains","given":"B","non-dropping-particle":"","parse-names":false,"suffix":""},{"dropping-particle":"","family":"Rietveld","given":"D","non-dropping-particle":"","parse-names":false,"suffix":""},{"dropping-particle":"","family":"Hoebers","given":"F","non-dropping-particle":"","parse-names":false,"suffix":""},{"dropping-particle":"","family":"Rietbergen","given":"M M","non-dropping-particle":"","parse-names":false,"suffix":""},{"dropping-particle":"","family":"Leemans","given":"C R","non-dropping-particle":"","parse-names":false,"suffix":""},{"dropping-particle":"","family":"Dekker","given":"A","non-dropping-particle":"","parse-names":false,"suffix":""},{"dropping-particle":"","family":"Quackenbush","given":"J","non-dropping-particle":"","parse-names":false,"suffix":""},{"dropping-particle":"","family":"Gillies","given":"R J","non-dropping-particle":"","parse-names":false,"suffix":""},{"dropping-particle":"","family":"Lambin","given":"P","non-dropping-particle":"","parse-names":false,"suffix":""}],"container-title":"Nat Commun","id":"ITEM-1","issued":{"date-parts":[["2014"]]},"page":"4006","title":"Decoding tumour phenotype by noninvasive imaging using a quantitative radiomics approach","type":"article-journal","volume":"5"},"uris":["http://www.mendeley.com/documents/?uuid=91e78ca7-57e5-498b-a578-c000cffef616"]},{"id":"ITEM-2","itemData":{"DOI":"10.1038/srep33860","ISBN":"2045-2322","ISSN":"20452322","PMID":"27645803","abstract":"Medical imaging plays a fundamental role in oncology and drug development, by providing a non-invasive method to visualize tumor phenotype. Radiomics can quantify this phenotype comprehensively by applying image-characterization algorithms, and may provide important information beyond tumor size or burden. In this study, we investigated if radiomics can identify a gefitinib response-phenotype, studying high-resolution computed-tomography (CT) imaging of forty-seven patients with early-stage non-small cell lung cancer before and after three weeks of therapy. On the baseline-scan, radiomic-feature Laws-Energy was significantly predictive for EGFR-mutation status (AUC = 0.67, p = 0.03), while volume (AUC = 0.59, p = 0.27) and diameter (AUC = 0.56, p = 0.46) were not. Although no features were predictive on the post-treatment scan (p &gt; 0.08), the change in features between the two scans was strongly predictive (significant feature AUC-range = 0.74-0.91). A technical validation revealed that the associated features were also highly stable for test-retest (mean ± std: ICC = 0.96 ± 0.06). This pilot study shows that radiomic data before treatment is able to predict mutation status and associated gefitinib response non-invasively, demonstrating the potential of radiomics-based phenotyping to improve the stratification and response assessment between tyrosine kinase inhibitors (TKIs) sensitive and resistant patient populations.","author":[{"dropping-particle":"","family":"Aerts","given":"Hugo J.W.L.","non-dropping-particle":"","parse-names":false,"suffix":""},{"dropping-particle":"","family":"Grossmann","given":"Patrick","non-dropping-particle":"","parse-names":false,"suffix":""},{"dropping-particle":"","family":"Tan","given":"Yongqiang","non-dropping-particle":"","parse-names":false,"suffix":""},{"dropping-particle":"","family":"Oxnard","given":"Geoffrey G.","non-dropping-particle":"","parse-names":false,"suffix":""},{"dropping-particle":"","family":"Rizvi","given":"Naiyer","non-dropping-particle":"","parse-names":false,"suffix":""},{"dropping-particle":"","family":"Schwartz","given":"Lawrence H.","non-dropping-particle":"","parse-names":false,"suffix":""},{"dropping-particle":"","family":"Zhao","given":"Binsheng","non-dropping-particle":"","parse-names":false,"suffix":""}],"container-title":"Scientific Reports","id":"ITEM-2","issue":"September","issued":{"date-parts":[["2016"]]},"publisher":"Nature Publishing Group","title":"Defining a Radiomic Response Phenotype: A Pilot Study using targeted therapy in NSCLC","type":"article-journal","volume":"6"},"uris":["http://www.mendeley.com/documents/?uuid=acae8c78-04bf-46cd-a595-37fe2f8323bd"]}],"mendeley":{"formattedCitation":"[2,3]","plainTextFormattedCitation":"[2,3]","previouslyFormattedCitation":"[2,3]"},"properties":{"noteIndex":0},"schema":"https://github.com/citation-style-language/schema/raw/master/csl-citation.json"}</w:instrText>
            </w:r>
            <w:r w:rsidRPr="00821999">
              <w:rPr>
                <w:rFonts w:ascii="Times New Roman" w:hAnsi="Times New Roman" w:cs="Times New Roman"/>
                <w:b/>
                <w:sz w:val="24"/>
                <w:szCs w:val="24"/>
              </w:rPr>
              <w:fldChar w:fldCharType="separate"/>
            </w:r>
            <w:r w:rsidRPr="00821999">
              <w:rPr>
                <w:rFonts w:ascii="Times New Roman" w:hAnsi="Times New Roman" w:cs="Times New Roman"/>
                <w:noProof/>
                <w:sz w:val="24"/>
                <w:szCs w:val="24"/>
              </w:rPr>
              <w:t>[2,3]</w:t>
            </w:r>
            <w:r w:rsidRPr="00821999">
              <w:rPr>
                <w:rFonts w:ascii="Times New Roman" w:hAnsi="Times New Roman" w:cs="Times New Roman"/>
                <w:b/>
                <w:sz w:val="24"/>
                <w:szCs w:val="24"/>
              </w:rPr>
              <w:fldChar w:fldCharType="end"/>
            </w:r>
          </w:p>
        </w:tc>
        <w:tc>
          <w:tcPr>
            <w:tcW w:w="999" w:type="pct"/>
            <w:tcBorders>
              <w:top w:val="single" w:sz="12" w:space="0" w:color="auto"/>
              <w:bottom w:val="single" w:sz="4" w:space="0" w:color="AEAAAA" w:themeColor="background2" w:themeShade="BF"/>
            </w:tcBorders>
            <w:vAlign w:val="center"/>
            <w:hideMark/>
          </w:tcPr>
          <w:p w14:paraId="588BCA16"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Compactness</w:t>
            </w:r>
          </w:p>
        </w:tc>
        <w:tc>
          <w:tcPr>
            <w:tcW w:w="1780" w:type="pct"/>
            <w:tcBorders>
              <w:top w:val="single" w:sz="12" w:space="0" w:color="auto"/>
              <w:bottom w:val="single" w:sz="4" w:space="0" w:color="AEAAAA" w:themeColor="background2" w:themeShade="BF"/>
            </w:tcBorders>
            <w:vAlign w:val="center"/>
            <w:hideMark/>
          </w:tcPr>
          <w:p w14:paraId="05D48A15"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Compactness=</m:t>
                </m:r>
                <m:f>
                  <m:fPr>
                    <m:ctrlPr>
                      <w:rPr>
                        <w:rFonts w:ascii="Cambria Math" w:hAnsi="Cambria Math" w:cs="Times New Roman"/>
                        <w:sz w:val="24"/>
                        <w:szCs w:val="24"/>
                      </w:rPr>
                    </m:ctrlPr>
                  </m:fPr>
                  <m:num>
                    <m:r>
                      <w:rPr>
                        <w:rFonts w:ascii="Cambria Math" w:hAnsi="Cambria Math" w:cs="Times New Roman"/>
                        <w:sz w:val="24"/>
                        <w:szCs w:val="24"/>
                      </w:rPr>
                      <m:t>V</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π</m:t>
                        </m:r>
                      </m:e>
                    </m:rad>
                    <m:sSup>
                      <m:sSupPr>
                        <m:ctrlPr>
                          <w:rPr>
                            <w:rFonts w:ascii="Cambria Math" w:hAnsi="Cambria Math" w:cs="Times New Roman"/>
                            <w:i/>
                            <w:sz w:val="24"/>
                            <w:szCs w:val="24"/>
                          </w:rPr>
                        </m:ctrlPr>
                      </m:sSupPr>
                      <m:e>
                        <m:r>
                          <w:rPr>
                            <w:rFonts w:ascii="Cambria Math" w:hAnsi="Cambria Math" w:cs="Times New Roman"/>
                            <w:sz w:val="24"/>
                            <w:szCs w:val="24"/>
                          </w:rPr>
                          <m:t>A</m:t>
                        </m:r>
                      </m:e>
                      <m:sup>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2</m:t>
                            </m:r>
                          </m:den>
                        </m:f>
                      </m:sup>
                    </m:sSup>
                  </m:den>
                </m:f>
              </m:oMath>
            </m:oMathPara>
          </w:p>
          <w:p w14:paraId="45C2042C"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Where</w:t>
            </w:r>
            <m:oMath>
              <m:r>
                <w:rPr>
                  <w:rFonts w:ascii="Cambria Math" w:hAnsi="Cambria Math" w:cs="Times New Roman"/>
                  <w:sz w:val="24"/>
                  <w:szCs w:val="24"/>
                </w:rPr>
                <m:t xml:space="preserve">  V</m:t>
              </m:r>
            </m:oMath>
            <w:r w:rsidRPr="00821999">
              <w:rPr>
                <w:rFonts w:ascii="Times New Roman" w:hAnsi="Times New Roman" w:cs="Times New Roman"/>
                <w:sz w:val="24"/>
                <w:szCs w:val="24"/>
              </w:rPr>
              <w:t xml:space="preserve"> denotes the volume, and </w:t>
            </w:r>
            <m:oMath>
              <m:r>
                <w:rPr>
                  <w:rFonts w:ascii="Cambria Math" w:hAnsi="Cambria Math" w:cs="Times New Roman"/>
                  <w:sz w:val="24"/>
                  <w:szCs w:val="24"/>
                </w:rPr>
                <m:t>A</m:t>
              </m:r>
            </m:oMath>
            <w:r w:rsidRPr="00821999">
              <w:rPr>
                <w:rFonts w:ascii="Times New Roman" w:hAnsi="Times New Roman" w:cs="Times New Roman"/>
                <w:sz w:val="24"/>
                <w:szCs w:val="24"/>
              </w:rPr>
              <w:t xml:space="preserve"> denotes the surface area of the volume of interest (VOI)</w:t>
            </w:r>
          </w:p>
        </w:tc>
        <w:tc>
          <w:tcPr>
            <w:tcW w:w="808" w:type="pct"/>
            <w:tcBorders>
              <w:top w:val="single" w:sz="12" w:space="0" w:color="auto"/>
              <w:bottom w:val="single" w:sz="4" w:space="0" w:color="AEAAAA" w:themeColor="background2" w:themeShade="BF"/>
            </w:tcBorders>
            <w:vAlign w:val="center"/>
            <w:hideMark/>
          </w:tcPr>
          <w:p w14:paraId="3F26DCD5"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Quantifies how close an object is to the smoothest shape, the circle</w:t>
            </w:r>
          </w:p>
        </w:tc>
        <w:tc>
          <w:tcPr>
            <w:tcW w:w="807" w:type="pct"/>
            <w:tcBorders>
              <w:top w:val="single" w:sz="12" w:space="0" w:color="auto"/>
              <w:bottom w:val="single" w:sz="4" w:space="0" w:color="AEAAAA" w:themeColor="background2" w:themeShade="BF"/>
            </w:tcBorders>
            <w:vAlign w:val="center"/>
          </w:tcPr>
          <w:p w14:paraId="50F2B0D8"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06DAFBA8" w14:textId="77777777" w:rsidTr="001F380A">
        <w:tc>
          <w:tcPr>
            <w:tcW w:w="606" w:type="pct"/>
            <w:vMerge/>
            <w:tcBorders>
              <w:top w:val="single" w:sz="4" w:space="0" w:color="AEAAAA" w:themeColor="background2" w:themeShade="BF"/>
            </w:tcBorders>
            <w:vAlign w:val="center"/>
            <w:hideMark/>
          </w:tcPr>
          <w:p w14:paraId="3A9FF864" w14:textId="77777777" w:rsidR="00C635FF" w:rsidRPr="00821999" w:rsidRDefault="00C635FF" w:rsidP="001F380A">
            <w:pPr>
              <w:spacing w:after="0"/>
              <w:jc w:val="center"/>
              <w:rPr>
                <w:rFonts w:ascii="Times New Roman" w:hAnsi="Times New Roman" w:cs="Times New Roman"/>
                <w:b/>
                <w:sz w:val="24"/>
                <w:szCs w:val="24"/>
              </w:rPr>
            </w:pPr>
          </w:p>
        </w:tc>
        <w:tc>
          <w:tcPr>
            <w:tcW w:w="999" w:type="pct"/>
            <w:tcBorders>
              <w:top w:val="single" w:sz="4" w:space="0" w:color="AEAAAA" w:themeColor="background2" w:themeShade="BF"/>
            </w:tcBorders>
            <w:vAlign w:val="center"/>
            <w:hideMark/>
          </w:tcPr>
          <w:p w14:paraId="2608E0AF"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Surface area</w:t>
            </w:r>
          </w:p>
        </w:tc>
        <w:tc>
          <w:tcPr>
            <w:tcW w:w="1780" w:type="pct"/>
            <w:tcBorders>
              <w:top w:val="single" w:sz="4" w:space="0" w:color="AEAAAA" w:themeColor="background2" w:themeShade="BF"/>
            </w:tcBorders>
            <w:vAlign w:val="center"/>
            <w:hideMark/>
          </w:tcPr>
          <w:p w14:paraId="3DA05092"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SA=</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i</m:t>
                            </m:r>
                          </m:sub>
                        </m:sSub>
                      </m:e>
                    </m:d>
                  </m:e>
                </m:nary>
              </m:oMath>
            </m:oMathPara>
          </w:p>
          <w:p w14:paraId="4A3FD751"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w:rPr>
                  <w:rFonts w:ascii="Cambria Math" w:hAnsi="Cambria Math" w:cs="Times New Roman"/>
                  <w:sz w:val="24"/>
                  <w:szCs w:val="24"/>
                </w:rPr>
                <m:t>N</m:t>
              </m:r>
            </m:oMath>
            <w:r w:rsidRPr="00821999">
              <w:rPr>
                <w:rFonts w:ascii="Times New Roman" w:hAnsi="Times New Roman" w:cs="Times New Roman"/>
                <w:sz w:val="24"/>
                <w:szCs w:val="24"/>
              </w:rPr>
              <w:t xml:space="preserve"> is the total number of triangles (coved surface area), and </w:t>
            </w:r>
            <m:oMath>
              <m:r>
                <w:rPr>
                  <w:rFonts w:ascii="Cambria Math" w:hAnsi="Cambria Math" w:cs="Times New Roman"/>
                  <w:sz w:val="24"/>
                  <w:szCs w:val="24"/>
                </w:rPr>
                <m:t>a,b, c</m:t>
              </m:r>
            </m:oMath>
            <w:r w:rsidRPr="00821999">
              <w:rPr>
                <w:rFonts w:ascii="Times New Roman" w:hAnsi="Times New Roman" w:cs="Times New Roman"/>
                <w:sz w:val="24"/>
                <w:szCs w:val="24"/>
              </w:rPr>
              <w:t xml:space="preserve"> are edge vectors</w:t>
            </w:r>
          </w:p>
        </w:tc>
        <w:tc>
          <w:tcPr>
            <w:tcW w:w="808" w:type="pct"/>
            <w:tcBorders>
              <w:top w:val="single" w:sz="4" w:space="0" w:color="AEAAAA" w:themeColor="background2" w:themeShade="BF"/>
            </w:tcBorders>
            <w:vAlign w:val="center"/>
          </w:tcPr>
          <w:p w14:paraId="0E3415F2"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 xml:space="preserve">The surface area of the ROI </w:t>
            </w:r>
          </w:p>
        </w:tc>
        <w:tc>
          <w:tcPr>
            <w:tcW w:w="807" w:type="pct"/>
            <w:tcBorders>
              <w:top w:val="single" w:sz="4" w:space="0" w:color="AEAAAA" w:themeColor="background2" w:themeShade="BF"/>
            </w:tcBorders>
            <w:vAlign w:val="center"/>
          </w:tcPr>
          <w:p w14:paraId="7F3A9E61"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0FBA9BA8" w14:textId="77777777" w:rsidTr="001F380A">
        <w:trPr>
          <w:trHeight w:val="699"/>
        </w:trPr>
        <w:tc>
          <w:tcPr>
            <w:tcW w:w="606" w:type="pct"/>
            <w:vMerge/>
            <w:vAlign w:val="center"/>
            <w:hideMark/>
          </w:tcPr>
          <w:p w14:paraId="19F51ECC"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6BAB2583"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Convexity</w:t>
            </w:r>
          </w:p>
        </w:tc>
        <w:tc>
          <w:tcPr>
            <w:tcW w:w="1780" w:type="pct"/>
            <w:vAlign w:val="center"/>
            <w:hideMark/>
          </w:tcPr>
          <w:p w14:paraId="1FCB15A4"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Convexity</m:t>
                </m:r>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V</m:t>
                    </m:r>
                  </m:num>
                  <m:den>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m:t>
                        </m:r>
                      </m:sup>
                    </m:sSup>
                  </m:den>
                </m:f>
              </m:oMath>
            </m:oMathPara>
          </w:p>
          <w:p w14:paraId="4D0A0294"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w:rPr>
                  <w:rFonts w:ascii="Cambria Math" w:hAnsi="Cambria Math" w:cs="Times New Roman"/>
                  <w:sz w:val="24"/>
                  <w:szCs w:val="24"/>
                </w:rPr>
                <m:t>V</m:t>
              </m:r>
            </m:oMath>
            <w:r w:rsidRPr="00821999">
              <w:rPr>
                <w:rFonts w:ascii="Times New Roman" w:hAnsi="Times New Roman" w:cs="Times New Roman"/>
                <w:sz w:val="24"/>
                <w:szCs w:val="24"/>
              </w:rPr>
              <w:t xml:space="preserve"> denotes tumor volume, and </w:t>
            </w:r>
            <m:oMath>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m:t>
                  </m:r>
                </m:sup>
              </m:sSup>
            </m:oMath>
            <w:r w:rsidRPr="00821999">
              <w:rPr>
                <w:rFonts w:ascii="Times New Roman" w:hAnsi="Times New Roman" w:cs="Times New Roman"/>
                <w:sz w:val="24"/>
                <w:szCs w:val="24"/>
              </w:rPr>
              <w:t xml:space="preserve"> denotes convex hull volume</w:t>
            </w:r>
          </w:p>
        </w:tc>
        <w:tc>
          <w:tcPr>
            <w:tcW w:w="808" w:type="pct"/>
            <w:vAlign w:val="center"/>
          </w:tcPr>
          <w:p w14:paraId="1411C4FB" w14:textId="77777777" w:rsidR="00C635FF" w:rsidRPr="00821999" w:rsidRDefault="00C635FF" w:rsidP="001F380A">
            <w:pPr>
              <w:wordWrap/>
              <w:adjustRightInd w:val="0"/>
              <w:spacing w:after="0"/>
              <w:jc w:val="center"/>
              <w:rPr>
                <w:rFonts w:ascii="Times New Roman" w:eastAsiaTheme="minorHAnsi" w:hAnsi="Times New Roman" w:cs="Times New Roman"/>
                <w:sz w:val="24"/>
                <w:szCs w:val="24"/>
              </w:rPr>
            </w:pPr>
            <w:r w:rsidRPr="00821999">
              <w:rPr>
                <w:rFonts w:ascii="Times New Roman" w:hAnsi="Times New Roman" w:cs="Times New Roman"/>
                <w:kern w:val="0"/>
                <w:sz w:val="24"/>
                <w:szCs w:val="24"/>
              </w:rPr>
              <w:t>Measures ratio of the ROI volume contained within the tumor to the calculated convex hull volume</w:t>
            </w:r>
          </w:p>
        </w:tc>
        <w:tc>
          <w:tcPr>
            <w:tcW w:w="807" w:type="pct"/>
            <w:vAlign w:val="center"/>
          </w:tcPr>
          <w:p w14:paraId="08BE832A" w14:textId="77777777" w:rsidR="00C635FF" w:rsidRPr="00821999" w:rsidRDefault="00C635FF" w:rsidP="001F380A">
            <w:pPr>
              <w:wordWrap/>
              <w:adjustRightInd w:val="0"/>
              <w:spacing w:after="0"/>
              <w:jc w:val="center"/>
              <w:rPr>
                <w:rFonts w:ascii="Times New Roman" w:hAnsi="Times New Roman" w:cs="Times New Roman"/>
                <w:kern w:val="0"/>
                <w:sz w:val="24"/>
                <w:szCs w:val="24"/>
              </w:rPr>
            </w:pPr>
            <w:r w:rsidRPr="00821999">
              <w:rPr>
                <w:rFonts w:ascii="Times New Roman" w:hAnsi="Times New Roman" w:cs="Times New Roman"/>
                <w:sz w:val="24"/>
                <w:szCs w:val="24"/>
                <w:shd w:val="clear" w:color="auto" w:fill="FFFFFF"/>
              </w:rPr>
              <w:t>O</w:t>
            </w:r>
          </w:p>
        </w:tc>
      </w:tr>
      <w:tr w:rsidR="00C635FF" w:rsidRPr="00821999" w14:paraId="5C49D6C0" w14:textId="77777777" w:rsidTr="001F380A">
        <w:tc>
          <w:tcPr>
            <w:tcW w:w="606" w:type="pct"/>
            <w:vMerge/>
            <w:vAlign w:val="center"/>
            <w:hideMark/>
          </w:tcPr>
          <w:p w14:paraId="04F234C2"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5ADE96D8"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Sphericity</w:t>
            </w:r>
          </w:p>
        </w:tc>
        <w:tc>
          <w:tcPr>
            <w:tcW w:w="1780" w:type="pct"/>
            <w:vAlign w:val="center"/>
            <w:hideMark/>
          </w:tcPr>
          <w:p w14:paraId="284DC84B" w14:textId="77777777" w:rsidR="00C635FF" w:rsidRPr="00821999" w:rsidRDefault="00C635FF" w:rsidP="001F380A">
            <w:pPr>
              <w:jc w:val="center"/>
              <w:rPr>
                <w:rFonts w:ascii="Times New Roman" w:hAnsi="Times New Roman" w:cs="Times New Roman"/>
                <w:sz w:val="24"/>
                <w:szCs w:val="24"/>
              </w:rPr>
            </w:pPr>
            <m:oMathPara>
              <m:oMath>
                <m:r>
                  <m:rPr>
                    <m:sty m:val="p"/>
                  </m:rPr>
                  <w:rPr>
                    <w:rFonts w:ascii="Cambria Math" w:hAnsi="Cambria Math" w:cs="Times New Roman"/>
                    <w:sz w:val="24"/>
                    <w:szCs w:val="24"/>
                  </w:rPr>
                  <m:t>Sphericity=</m:t>
                </m:r>
                <m:f>
                  <m:fPr>
                    <m:ctrlPr>
                      <w:rPr>
                        <w:rFonts w:ascii="Cambria Math" w:hAnsi="Cambria Math" w:cs="Times New Roman"/>
                        <w:sz w:val="24"/>
                        <w:szCs w:val="24"/>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rPr>
                          <m:t>π</m:t>
                        </m:r>
                      </m:e>
                      <m:sup>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3</m:t>
                            </m:r>
                          </m:den>
                        </m:f>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(6V)</m:t>
                        </m:r>
                      </m:e>
                      <m:sup>
                        <m:f>
                          <m:fPr>
                            <m:ctrlPr>
                              <w:rPr>
                                <w:rFonts w:ascii="Cambria Math" w:hAnsi="Cambria Math" w:cs="Times New Roman"/>
                                <w:sz w:val="24"/>
                                <w:szCs w:val="24"/>
                              </w:rPr>
                            </m:ctrlPr>
                          </m:fPr>
                          <m:num>
                            <m:r>
                              <w:rPr>
                                <w:rFonts w:ascii="Cambria Math" w:hAnsi="Cambria Math" w:cs="Times New Roman"/>
                                <w:sz w:val="24"/>
                                <w:szCs w:val="24"/>
                              </w:rPr>
                              <m:t>2</m:t>
                            </m:r>
                          </m:num>
                          <m:den>
                            <m:r>
                              <m:rPr>
                                <m:sty m:val="p"/>
                              </m:rPr>
                              <w:rPr>
                                <w:rFonts w:ascii="Cambria Math" w:hAnsi="Cambria Math" w:cs="Times New Roman"/>
                                <w:sz w:val="24"/>
                                <w:szCs w:val="24"/>
                              </w:rPr>
                              <m:t>3</m:t>
                            </m:r>
                          </m:den>
                        </m:f>
                      </m:sup>
                    </m:sSup>
                  </m:num>
                  <m:den>
                    <m:r>
                      <m:rPr>
                        <m:sty m:val="p"/>
                      </m:rPr>
                      <w:rPr>
                        <w:rFonts w:ascii="Cambria Math" w:hAnsi="Cambria Math" w:cs="Times New Roman"/>
                        <w:sz w:val="24"/>
                        <w:szCs w:val="24"/>
                      </w:rPr>
                      <m:t>A</m:t>
                    </m:r>
                  </m:den>
                </m:f>
              </m:oMath>
            </m:oMathPara>
          </w:p>
          <w:p w14:paraId="4B09A755"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w:rPr>
                  <w:rFonts w:ascii="Cambria Math" w:hAnsi="Cambria Math" w:cs="Times New Roman"/>
                  <w:sz w:val="24"/>
                  <w:szCs w:val="24"/>
                </w:rPr>
                <m:t>A</m:t>
              </m:r>
            </m:oMath>
            <w:r w:rsidRPr="00821999">
              <w:rPr>
                <w:rFonts w:ascii="Times New Roman" w:hAnsi="Times New Roman" w:cs="Times New Roman"/>
                <w:sz w:val="24"/>
                <w:szCs w:val="24"/>
              </w:rPr>
              <w:t xml:space="preserve"> denotes area, and </w:t>
            </w:r>
            <m:oMath>
              <m:r>
                <w:rPr>
                  <w:rFonts w:ascii="Cambria Math" w:hAnsi="Cambria Math" w:cs="Times New Roman"/>
                  <w:sz w:val="24"/>
                  <w:szCs w:val="24"/>
                </w:rPr>
                <m:t>V</m:t>
              </m:r>
            </m:oMath>
            <w:r w:rsidRPr="00821999">
              <w:rPr>
                <w:rFonts w:ascii="Times New Roman" w:hAnsi="Times New Roman" w:cs="Times New Roman"/>
                <w:sz w:val="24"/>
                <w:szCs w:val="24"/>
              </w:rPr>
              <w:t xml:space="preserve"> denotes tumor volume</w:t>
            </w:r>
          </w:p>
        </w:tc>
        <w:tc>
          <w:tcPr>
            <w:tcW w:w="808" w:type="pct"/>
            <w:vAlign w:val="center"/>
          </w:tcPr>
          <w:p w14:paraId="4C6549A9"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Measures of the roundness of the ROI</w:t>
            </w:r>
          </w:p>
        </w:tc>
        <w:tc>
          <w:tcPr>
            <w:tcW w:w="807" w:type="pct"/>
            <w:vAlign w:val="center"/>
          </w:tcPr>
          <w:p w14:paraId="64C7B3CE"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hAnsi="Times New Roman" w:cs="Times New Roman"/>
                <w:sz w:val="24"/>
                <w:szCs w:val="24"/>
                <w:shd w:val="clear" w:color="auto" w:fill="FFFFFF"/>
              </w:rPr>
              <w:t>O</w:t>
            </w:r>
          </w:p>
        </w:tc>
      </w:tr>
      <w:tr w:rsidR="00C635FF" w:rsidRPr="00821999" w14:paraId="087F55EB" w14:textId="77777777" w:rsidTr="001F380A">
        <w:tc>
          <w:tcPr>
            <w:tcW w:w="606" w:type="pct"/>
            <w:vMerge/>
            <w:vAlign w:val="center"/>
            <w:hideMark/>
          </w:tcPr>
          <w:p w14:paraId="17C079B1"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4E092B08"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Spherical disproportion</w:t>
            </w:r>
          </w:p>
        </w:tc>
        <w:tc>
          <w:tcPr>
            <w:tcW w:w="1780" w:type="pct"/>
            <w:vAlign w:val="center"/>
            <w:hideMark/>
          </w:tcPr>
          <w:p w14:paraId="50C4A06E"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Spherical disproportion=</m:t>
                </m:r>
                <m:f>
                  <m:fPr>
                    <m:ctrlPr>
                      <w:rPr>
                        <w:rFonts w:ascii="Cambria Math" w:hAnsi="Cambria Math" w:cs="Times New Roman"/>
                        <w:sz w:val="24"/>
                        <w:szCs w:val="24"/>
                      </w:rPr>
                    </m:ctrlPr>
                  </m:fPr>
                  <m:num>
                    <m:r>
                      <w:rPr>
                        <w:rFonts w:ascii="Cambria Math" w:hAnsi="Cambria Math" w:cs="Times New Roman"/>
                        <w:sz w:val="24"/>
                        <w:szCs w:val="24"/>
                      </w:rPr>
                      <m:t>A</m:t>
                    </m:r>
                  </m:num>
                  <m:den>
                    <m:r>
                      <w:rPr>
                        <w:rFonts w:ascii="Cambria Math" w:hAnsi="Cambria Math" w:cs="Times New Roman"/>
                        <w:sz w:val="24"/>
                        <w:szCs w:val="24"/>
                      </w:rPr>
                      <m:t>4π</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den>
                </m:f>
              </m:oMath>
            </m:oMathPara>
          </w:p>
          <w:p w14:paraId="224B8397"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lastRenderedPageBreak/>
              <w:t xml:space="preserve">Where </w:t>
            </w:r>
            <m:oMath>
              <m:r>
                <w:rPr>
                  <w:rFonts w:ascii="Cambria Math" w:hAnsi="Cambria Math" w:cs="Times New Roman"/>
                  <w:sz w:val="24"/>
                  <w:szCs w:val="24"/>
                </w:rPr>
                <m:t>R</m:t>
              </m:r>
            </m:oMath>
            <w:r w:rsidRPr="00821999">
              <w:rPr>
                <w:rFonts w:ascii="Times New Roman" w:hAnsi="Times New Roman" w:cs="Times New Roman"/>
                <w:sz w:val="24"/>
                <w:szCs w:val="24"/>
              </w:rPr>
              <w:t xml:space="preserve"> is the radius of a sphere with the same volume as the tumor</w:t>
            </w:r>
          </w:p>
        </w:tc>
        <w:tc>
          <w:tcPr>
            <w:tcW w:w="808" w:type="pct"/>
            <w:vAlign w:val="center"/>
          </w:tcPr>
          <w:p w14:paraId="4603F359"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lastRenderedPageBreak/>
              <w:t xml:space="preserve">The ratio of the surface area of the </w:t>
            </w:r>
            <w:r w:rsidRPr="00821999">
              <w:rPr>
                <w:rFonts w:ascii="Times New Roman" w:hAnsi="Times New Roman" w:cs="Times New Roman"/>
                <w:sz w:val="24"/>
                <w:szCs w:val="24"/>
                <w:shd w:val="clear" w:color="auto" w:fill="FFFFFF"/>
              </w:rPr>
              <w:lastRenderedPageBreak/>
              <w:t>ROI to the surface area of a sphere with the same volume as the ROI</w:t>
            </w:r>
          </w:p>
        </w:tc>
        <w:tc>
          <w:tcPr>
            <w:tcW w:w="807" w:type="pct"/>
            <w:vAlign w:val="center"/>
          </w:tcPr>
          <w:p w14:paraId="209B7FB7"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hAnsi="Times New Roman" w:cs="Times New Roman"/>
                <w:sz w:val="24"/>
                <w:szCs w:val="24"/>
                <w:shd w:val="clear" w:color="auto" w:fill="FFFFFF"/>
              </w:rPr>
              <w:lastRenderedPageBreak/>
              <w:t>O</w:t>
            </w:r>
          </w:p>
        </w:tc>
      </w:tr>
      <w:tr w:rsidR="00C635FF" w:rsidRPr="00821999" w14:paraId="0F728941" w14:textId="77777777" w:rsidTr="001F380A">
        <w:tc>
          <w:tcPr>
            <w:tcW w:w="606" w:type="pct"/>
            <w:vMerge/>
            <w:vAlign w:val="center"/>
          </w:tcPr>
          <w:p w14:paraId="180FC1F6"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2F90A694"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Maximum 3D diameter</w:t>
            </w:r>
          </w:p>
        </w:tc>
        <w:tc>
          <w:tcPr>
            <w:tcW w:w="1780" w:type="pct"/>
            <w:vAlign w:val="center"/>
          </w:tcPr>
          <w:p w14:paraId="5B5335AF" w14:textId="77777777" w:rsidR="00C635FF" w:rsidRPr="00821999" w:rsidRDefault="00C635FF" w:rsidP="001F380A">
            <w:pPr>
              <w:spacing w:after="0"/>
              <w:jc w:val="center"/>
              <w:rPr>
                <w:rFonts w:ascii="Times New Roman" w:eastAsia="맑은 고딕" w:hAnsi="Times New Roman" w:cs="Times New Roman"/>
                <w:sz w:val="24"/>
                <w:szCs w:val="24"/>
              </w:rPr>
            </w:pPr>
            <w:r w:rsidRPr="00821999">
              <w:rPr>
                <w:rFonts w:ascii="Times New Roman" w:eastAsia="맑은 고딕" w:hAnsi="Times New Roman" w:cs="Times New Roman"/>
                <w:sz w:val="24"/>
                <w:szCs w:val="24"/>
              </w:rPr>
              <w:t>See description in the next column</w:t>
            </w:r>
          </w:p>
        </w:tc>
        <w:tc>
          <w:tcPr>
            <w:tcW w:w="808" w:type="pct"/>
            <w:vAlign w:val="center"/>
          </w:tcPr>
          <w:p w14:paraId="223F6413"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hAnsi="Times New Roman" w:cs="Times New Roman"/>
                <w:sz w:val="24"/>
                <w:szCs w:val="24"/>
                <w:shd w:val="clear" w:color="auto" w:fill="FFFFFF"/>
              </w:rPr>
              <w:t>Measures of the maximum 3D ROI diameter. It is measured as the largest pairwise Euclidean distance, between surface voxels of the ROI</w:t>
            </w:r>
          </w:p>
        </w:tc>
        <w:tc>
          <w:tcPr>
            <w:tcW w:w="807" w:type="pct"/>
            <w:vAlign w:val="center"/>
          </w:tcPr>
          <w:p w14:paraId="74EEFD26"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hAnsi="Times New Roman" w:cs="Times New Roman"/>
                <w:sz w:val="24"/>
                <w:szCs w:val="24"/>
                <w:shd w:val="clear" w:color="auto" w:fill="FFFFFF"/>
              </w:rPr>
              <w:t>O</w:t>
            </w:r>
          </w:p>
        </w:tc>
      </w:tr>
      <w:tr w:rsidR="00C635FF" w:rsidRPr="00821999" w14:paraId="47D2EC1A" w14:textId="77777777" w:rsidTr="001F380A">
        <w:tc>
          <w:tcPr>
            <w:tcW w:w="606" w:type="pct"/>
            <w:vMerge/>
            <w:vAlign w:val="center"/>
            <w:hideMark/>
          </w:tcPr>
          <w:p w14:paraId="38082C33"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2C94731A"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Surface to volume ratio (SVR)</w:t>
            </w:r>
          </w:p>
        </w:tc>
        <w:tc>
          <w:tcPr>
            <w:tcW w:w="1780" w:type="pct"/>
            <w:vAlign w:val="center"/>
            <w:hideMark/>
          </w:tcPr>
          <w:p w14:paraId="5610665D"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SVR=</m:t>
                </m:r>
                <m:f>
                  <m:fPr>
                    <m:ctrlPr>
                      <w:rPr>
                        <w:rFonts w:ascii="Cambria Math" w:hAnsi="Cambria Math" w:cs="Times New Roman"/>
                        <w:sz w:val="24"/>
                        <w:szCs w:val="24"/>
                      </w:rPr>
                    </m:ctrlPr>
                  </m:fPr>
                  <m:num>
                    <m:r>
                      <w:rPr>
                        <w:rFonts w:ascii="Cambria Math" w:hAnsi="Cambria Math" w:cs="Times New Roman"/>
                        <w:sz w:val="24"/>
                        <w:szCs w:val="24"/>
                      </w:rPr>
                      <m:t>A</m:t>
                    </m:r>
                  </m:num>
                  <m:den>
                    <m:r>
                      <w:rPr>
                        <w:rFonts w:ascii="Cambria Math" w:hAnsi="Cambria Math" w:cs="Times New Roman"/>
                        <w:sz w:val="24"/>
                        <w:szCs w:val="24"/>
                      </w:rPr>
                      <m:t>V</m:t>
                    </m:r>
                  </m:den>
                </m:f>
              </m:oMath>
            </m:oMathPara>
          </w:p>
          <w:p w14:paraId="4E33E749"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w:rPr>
                  <w:rFonts w:ascii="Cambria Math" w:hAnsi="Cambria Math" w:cs="Times New Roman"/>
                  <w:sz w:val="24"/>
                  <w:szCs w:val="24"/>
                </w:rPr>
                <m:t>A</m:t>
              </m:r>
            </m:oMath>
            <w:r w:rsidRPr="00821999">
              <w:rPr>
                <w:rFonts w:ascii="Times New Roman" w:hAnsi="Times New Roman" w:cs="Times New Roman"/>
                <w:sz w:val="24"/>
                <w:szCs w:val="24"/>
              </w:rPr>
              <w:t xml:space="preserve"> is area, and </w:t>
            </w:r>
            <m:oMath>
              <m:r>
                <w:rPr>
                  <w:rFonts w:ascii="Cambria Math" w:hAnsi="Cambria Math" w:cs="Times New Roman"/>
                  <w:sz w:val="24"/>
                  <w:szCs w:val="24"/>
                </w:rPr>
                <m:t>V</m:t>
              </m:r>
            </m:oMath>
            <w:r w:rsidRPr="00821999">
              <w:rPr>
                <w:rFonts w:ascii="Times New Roman" w:hAnsi="Times New Roman" w:cs="Times New Roman"/>
                <w:sz w:val="24"/>
                <w:szCs w:val="24"/>
              </w:rPr>
              <w:t xml:space="preserve"> is volume</w:t>
            </w:r>
          </w:p>
        </w:tc>
        <w:tc>
          <w:tcPr>
            <w:tcW w:w="808" w:type="pct"/>
            <w:vAlign w:val="center"/>
            <w:hideMark/>
          </w:tcPr>
          <w:p w14:paraId="383CABC5"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Surface to volume ratio in ROI</w:t>
            </w:r>
          </w:p>
        </w:tc>
        <w:tc>
          <w:tcPr>
            <w:tcW w:w="807" w:type="pct"/>
            <w:vAlign w:val="center"/>
          </w:tcPr>
          <w:p w14:paraId="0A966CA7"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020653DF" w14:textId="77777777" w:rsidTr="001F380A">
        <w:tc>
          <w:tcPr>
            <w:tcW w:w="606" w:type="pct"/>
            <w:vMerge/>
            <w:vAlign w:val="center"/>
          </w:tcPr>
          <w:p w14:paraId="01B88C72"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1FF0B394"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Volume</w:t>
            </w:r>
          </w:p>
        </w:tc>
        <w:tc>
          <w:tcPr>
            <w:tcW w:w="1780" w:type="pct"/>
            <w:vAlign w:val="center"/>
          </w:tcPr>
          <w:p w14:paraId="7025F727" w14:textId="77777777" w:rsidR="00C635FF" w:rsidRPr="00821999" w:rsidRDefault="00C635FF" w:rsidP="001F380A">
            <w:pPr>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Volume=R*number of voxels</m:t>
                </m:r>
              </m:oMath>
            </m:oMathPara>
          </w:p>
          <w:p w14:paraId="7B878176" w14:textId="77777777" w:rsidR="00C635FF" w:rsidRPr="00821999" w:rsidRDefault="00C635FF" w:rsidP="001F380A">
            <w:pPr>
              <w:spacing w:after="0"/>
              <w:jc w:val="center"/>
              <w:rPr>
                <w:rFonts w:ascii="Times New Roman" w:eastAsia="맑은 고딕" w:hAnsi="Times New Roman" w:cs="Times New Roman"/>
                <w:sz w:val="24"/>
                <w:szCs w:val="24"/>
              </w:rPr>
            </w:pPr>
            <w:r w:rsidRPr="00821999">
              <w:rPr>
                <w:rFonts w:ascii="Times New Roman" w:eastAsia="맑은 고딕" w:hAnsi="Times New Roman" w:cs="Times New Roman"/>
                <w:sz w:val="24"/>
                <w:szCs w:val="24"/>
              </w:rPr>
              <w:t xml:space="preserve">Where </w:t>
            </w:r>
            <m:oMath>
              <m:r>
                <m:rPr>
                  <m:sty m:val="p"/>
                </m:rPr>
                <w:rPr>
                  <w:rFonts w:ascii="Cambria Math" w:eastAsia="맑은 고딕" w:hAnsi="Cambria Math" w:cs="Times New Roman"/>
                  <w:sz w:val="24"/>
                  <w:szCs w:val="24"/>
                </w:rPr>
                <m:t>R</m:t>
              </m:r>
            </m:oMath>
            <w:r w:rsidRPr="00821999">
              <w:rPr>
                <w:rFonts w:ascii="Times New Roman" w:eastAsia="맑은 고딕" w:hAnsi="Times New Roman" w:cs="Times New Roman"/>
                <w:sz w:val="24"/>
                <w:szCs w:val="24"/>
              </w:rPr>
              <w:t xml:space="preserve"> denote the 3d image resolution</w:t>
            </w:r>
          </w:p>
        </w:tc>
        <w:tc>
          <w:tcPr>
            <w:tcW w:w="808" w:type="pct"/>
            <w:vAlign w:val="center"/>
          </w:tcPr>
          <w:p w14:paraId="187E7418"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Volume of tumor (ROI)</w:t>
            </w:r>
          </w:p>
        </w:tc>
        <w:tc>
          <w:tcPr>
            <w:tcW w:w="807" w:type="pct"/>
            <w:vAlign w:val="center"/>
          </w:tcPr>
          <w:p w14:paraId="463889AC"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1A775D90" w14:textId="77777777" w:rsidTr="001F380A">
        <w:tc>
          <w:tcPr>
            <w:tcW w:w="606" w:type="pct"/>
            <w:vMerge/>
            <w:vAlign w:val="center"/>
          </w:tcPr>
          <w:p w14:paraId="47CC30F5"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7F7F0184"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Mass</w:t>
            </w:r>
          </w:p>
        </w:tc>
        <w:tc>
          <w:tcPr>
            <w:tcW w:w="1780" w:type="pct"/>
            <w:vAlign w:val="center"/>
          </w:tcPr>
          <w:p w14:paraId="466A25FB" w14:textId="77777777" w:rsidR="00C635FF" w:rsidRPr="00821999" w:rsidRDefault="00C635FF" w:rsidP="001F380A">
            <w:pPr>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Mass=V*D</m:t>
                </m:r>
              </m:oMath>
            </m:oMathPara>
          </w:p>
          <w:p w14:paraId="713FDFED" w14:textId="77777777" w:rsidR="00C635FF" w:rsidRPr="00821999" w:rsidRDefault="00C635FF" w:rsidP="001F380A">
            <w:pPr>
              <w:spacing w:after="0"/>
              <w:jc w:val="center"/>
              <w:rPr>
                <w:rFonts w:ascii="Times New Roman" w:eastAsia="맑은 고딕" w:hAnsi="Times New Roman" w:cs="Times New Roman"/>
                <w:sz w:val="24"/>
                <w:szCs w:val="24"/>
              </w:rPr>
            </w:pPr>
            <w:r w:rsidRPr="00821999">
              <w:rPr>
                <w:rFonts w:ascii="Times New Roman" w:eastAsia="맑은 고딕" w:hAnsi="Times New Roman" w:cs="Times New Roman"/>
                <w:sz w:val="24"/>
                <w:szCs w:val="24"/>
              </w:rPr>
              <w:t xml:space="preserve">Where </w:t>
            </w:r>
            <m:oMath>
              <m:r>
                <m:rPr>
                  <m:sty m:val="p"/>
                </m:rPr>
                <w:rPr>
                  <w:rFonts w:ascii="Cambria Math" w:eastAsia="맑은 고딕" w:hAnsi="Cambria Math" w:cs="Times New Roman"/>
                  <w:sz w:val="24"/>
                  <w:szCs w:val="24"/>
                </w:rPr>
                <m:t>V</m:t>
              </m:r>
            </m:oMath>
            <w:r w:rsidRPr="00821999">
              <w:rPr>
                <w:rFonts w:ascii="Times New Roman" w:eastAsia="맑은 고딕" w:hAnsi="Times New Roman" w:cs="Times New Roman"/>
                <w:sz w:val="24"/>
                <w:szCs w:val="24"/>
              </w:rPr>
              <w:t xml:space="preserve"> denote the tumor volume, </w:t>
            </w:r>
            <m:oMath>
              <m:r>
                <m:rPr>
                  <m:sty m:val="p"/>
                </m:rPr>
                <w:rPr>
                  <w:rFonts w:ascii="Cambria Math" w:eastAsia="맑은 고딕" w:hAnsi="Cambria Math" w:cs="Times New Roman"/>
                  <w:sz w:val="24"/>
                  <w:szCs w:val="24"/>
                </w:rPr>
                <m:t>D</m:t>
              </m:r>
            </m:oMath>
            <w:r w:rsidRPr="00821999">
              <w:rPr>
                <w:rFonts w:ascii="Times New Roman" w:eastAsia="맑은 고딕" w:hAnsi="Times New Roman" w:cs="Times New Roman"/>
                <w:sz w:val="24"/>
                <w:szCs w:val="24"/>
              </w:rPr>
              <w:t xml:space="preserve"> denote the tumor density</w:t>
            </w:r>
          </w:p>
        </w:tc>
        <w:tc>
          <w:tcPr>
            <w:tcW w:w="808" w:type="pct"/>
            <w:vAlign w:val="center"/>
          </w:tcPr>
          <w:p w14:paraId="3A7E8DD2"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Mass of tumor (ROI)</w:t>
            </w:r>
          </w:p>
        </w:tc>
        <w:tc>
          <w:tcPr>
            <w:tcW w:w="807" w:type="pct"/>
            <w:vAlign w:val="center"/>
          </w:tcPr>
          <w:p w14:paraId="24137B8C" w14:textId="77777777" w:rsidR="00C635FF" w:rsidRPr="00821999" w:rsidRDefault="00C635FF" w:rsidP="001F380A">
            <w:pPr>
              <w:spacing w:after="0"/>
              <w:jc w:val="center"/>
              <w:rPr>
                <w:rFonts w:ascii="Times New Roman" w:eastAsiaTheme="minorHAnsi" w:hAnsi="Times New Roman" w:cs="Times New Roman"/>
                <w:sz w:val="24"/>
                <w:szCs w:val="24"/>
              </w:rPr>
            </w:pPr>
          </w:p>
        </w:tc>
      </w:tr>
      <w:tr w:rsidR="00C635FF" w:rsidRPr="00821999" w14:paraId="2DB7663B" w14:textId="77777777" w:rsidTr="001F380A">
        <w:tc>
          <w:tcPr>
            <w:tcW w:w="606" w:type="pct"/>
            <w:vMerge/>
            <w:vAlign w:val="center"/>
          </w:tcPr>
          <w:p w14:paraId="704D1D86"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59729111"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Density</w:t>
            </w:r>
          </w:p>
        </w:tc>
        <w:tc>
          <w:tcPr>
            <w:tcW w:w="1780" w:type="pct"/>
            <w:vAlign w:val="center"/>
          </w:tcPr>
          <w:p w14:paraId="1B342EE4" w14:textId="77777777" w:rsidR="00C635FF" w:rsidRPr="00821999" w:rsidRDefault="00C635FF" w:rsidP="001F380A">
            <w:pPr>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Density=</m:t>
                </m:r>
                <m:f>
                  <m:fPr>
                    <m:ctrlPr>
                      <w:rPr>
                        <w:rFonts w:ascii="Cambria Math" w:eastAsia="맑은 고딕" w:hAnsi="Cambria Math" w:cs="Times New Roman"/>
                        <w:sz w:val="24"/>
                        <w:szCs w:val="24"/>
                      </w:rPr>
                    </m:ctrlPr>
                  </m:fPr>
                  <m:num>
                    <m:r>
                      <w:rPr>
                        <w:rFonts w:ascii="Cambria Math" w:eastAsia="맑은 고딕" w:hAnsi="Cambria Math" w:cs="Times New Roman"/>
                        <w:sz w:val="24"/>
                        <w:szCs w:val="24"/>
                      </w:rPr>
                      <m:t>M</m:t>
                    </m:r>
                  </m:num>
                  <m:den>
                    <m:r>
                      <w:rPr>
                        <w:rFonts w:ascii="Cambria Math" w:eastAsia="맑은 고딕" w:hAnsi="Cambria Math" w:cs="Times New Roman"/>
                        <w:sz w:val="24"/>
                        <w:szCs w:val="24"/>
                      </w:rPr>
                      <m:t>V</m:t>
                    </m:r>
                  </m:den>
                </m:f>
              </m:oMath>
            </m:oMathPara>
          </w:p>
          <w:p w14:paraId="3BF7A204" w14:textId="77777777" w:rsidR="00C635FF" w:rsidRPr="00821999" w:rsidRDefault="00C635FF" w:rsidP="001F380A">
            <w:pPr>
              <w:spacing w:after="0"/>
              <w:jc w:val="center"/>
              <w:rPr>
                <w:rFonts w:ascii="Times New Roman" w:eastAsia="맑은 고딕" w:hAnsi="Times New Roman" w:cs="Times New Roman"/>
                <w:sz w:val="24"/>
                <w:szCs w:val="24"/>
              </w:rPr>
            </w:pPr>
            <w:r w:rsidRPr="00821999">
              <w:rPr>
                <w:rFonts w:ascii="Times New Roman" w:eastAsia="맑은 고딕" w:hAnsi="Times New Roman" w:cs="Times New Roman"/>
                <w:sz w:val="24"/>
                <w:szCs w:val="24"/>
              </w:rPr>
              <w:t xml:space="preserve">Where </w:t>
            </w:r>
            <m:oMath>
              <m:r>
                <w:rPr>
                  <w:rFonts w:ascii="Cambria Math" w:eastAsia="맑은 고딕" w:hAnsi="Cambria Math" w:cs="Times New Roman"/>
                  <w:sz w:val="24"/>
                  <w:szCs w:val="24"/>
                </w:rPr>
                <m:t>V</m:t>
              </m:r>
            </m:oMath>
            <w:r w:rsidRPr="00821999">
              <w:rPr>
                <w:rFonts w:ascii="Times New Roman" w:eastAsia="맑은 고딕" w:hAnsi="Times New Roman" w:cs="Times New Roman"/>
                <w:sz w:val="24"/>
                <w:szCs w:val="24"/>
              </w:rPr>
              <w:t xml:space="preserve"> denote the tumor volume, </w:t>
            </w:r>
            <m:oMath>
              <m:r>
                <w:rPr>
                  <w:rFonts w:ascii="Cambria Math" w:eastAsia="맑은 고딕" w:hAnsi="Cambria Math" w:cs="Times New Roman"/>
                  <w:sz w:val="24"/>
                  <w:szCs w:val="24"/>
                </w:rPr>
                <m:t>M</m:t>
              </m:r>
            </m:oMath>
            <w:r w:rsidRPr="00821999">
              <w:rPr>
                <w:rFonts w:ascii="Times New Roman" w:eastAsia="맑은 고딕" w:hAnsi="Times New Roman" w:cs="Times New Roman"/>
                <w:sz w:val="24"/>
                <w:szCs w:val="24"/>
              </w:rPr>
              <w:t xml:space="preserve"> denote the tumor mass</w:t>
            </w:r>
          </w:p>
        </w:tc>
        <w:tc>
          <w:tcPr>
            <w:tcW w:w="808" w:type="pct"/>
            <w:vAlign w:val="center"/>
          </w:tcPr>
          <w:p w14:paraId="260F4E58"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Density of tumor (ROI)</w:t>
            </w:r>
          </w:p>
        </w:tc>
        <w:tc>
          <w:tcPr>
            <w:tcW w:w="807" w:type="pct"/>
            <w:vAlign w:val="center"/>
          </w:tcPr>
          <w:p w14:paraId="343D461C" w14:textId="77777777" w:rsidR="00C635FF" w:rsidRPr="00821999" w:rsidRDefault="00C635FF" w:rsidP="001F380A">
            <w:pPr>
              <w:spacing w:after="0"/>
              <w:jc w:val="center"/>
              <w:rPr>
                <w:rFonts w:ascii="Times New Roman" w:eastAsiaTheme="minorHAnsi" w:hAnsi="Times New Roman" w:cs="Times New Roman"/>
                <w:sz w:val="24"/>
                <w:szCs w:val="24"/>
              </w:rPr>
            </w:pPr>
          </w:p>
        </w:tc>
      </w:tr>
      <w:tr w:rsidR="00C635FF" w:rsidRPr="00821999" w14:paraId="13558A0B" w14:textId="77777777" w:rsidTr="001F380A">
        <w:tc>
          <w:tcPr>
            <w:tcW w:w="606" w:type="pct"/>
            <w:vMerge/>
            <w:vAlign w:val="center"/>
          </w:tcPr>
          <w:p w14:paraId="6FD9B8E7" w14:textId="77777777" w:rsidR="00C635FF" w:rsidRPr="00821999" w:rsidRDefault="00C635FF" w:rsidP="001F380A">
            <w:pPr>
              <w:spacing w:after="0"/>
              <w:jc w:val="center"/>
              <w:rPr>
                <w:rFonts w:ascii="Times New Roman" w:hAnsi="Times New Roman" w:cs="Times New Roman"/>
                <w:b/>
                <w:sz w:val="24"/>
                <w:szCs w:val="24"/>
              </w:rPr>
            </w:pPr>
          </w:p>
        </w:tc>
        <w:tc>
          <w:tcPr>
            <w:tcW w:w="999" w:type="pct"/>
            <w:shd w:val="clear" w:color="auto" w:fill="auto"/>
            <w:vAlign w:val="center"/>
          </w:tcPr>
          <w:p w14:paraId="0E975D19"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Roundness factor (2D)</w:t>
            </w:r>
          </w:p>
        </w:tc>
        <w:tc>
          <w:tcPr>
            <w:tcW w:w="1780" w:type="pct"/>
            <w:vAlign w:val="center"/>
          </w:tcPr>
          <w:p w14:paraId="5FDB4034"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Roundness factor=</m:t>
                </m:r>
                <m:f>
                  <m:fPr>
                    <m:ctrlPr>
                      <w:rPr>
                        <w:rFonts w:ascii="Cambria Math" w:eastAsia="맑은 고딕" w:hAnsi="Cambria Math" w:cs="Times New Roman"/>
                        <w:sz w:val="24"/>
                        <w:szCs w:val="24"/>
                      </w:rPr>
                    </m:ctrlPr>
                  </m:fPr>
                  <m:num>
                    <m:r>
                      <w:rPr>
                        <w:rFonts w:ascii="Cambria Math" w:eastAsia="맑은 고딕" w:hAnsi="Cambria Math" w:cs="Times New Roman"/>
                        <w:sz w:val="24"/>
                        <w:szCs w:val="24"/>
                      </w:rPr>
                      <m:t>4π∙Area</m:t>
                    </m:r>
                  </m:num>
                  <m:den>
                    <m:sSup>
                      <m:sSupPr>
                        <m:ctrlPr>
                          <w:rPr>
                            <w:rFonts w:ascii="Cambria Math" w:eastAsia="맑은 고딕" w:hAnsi="Cambria Math" w:cs="Times New Roman"/>
                            <w:i/>
                            <w:sz w:val="24"/>
                            <w:szCs w:val="24"/>
                          </w:rPr>
                        </m:ctrlPr>
                      </m:sSupPr>
                      <m:e>
                        <m:r>
                          <w:rPr>
                            <w:rFonts w:ascii="Cambria Math" w:eastAsia="맑은 고딕" w:hAnsi="Cambria Math" w:cs="Times New Roman"/>
                            <w:sz w:val="24"/>
                            <w:szCs w:val="24"/>
                          </w:rPr>
                          <m:t>Perimeter</m:t>
                        </m:r>
                      </m:e>
                      <m:sup>
                        <m:r>
                          <w:rPr>
                            <w:rFonts w:ascii="Cambria Math" w:eastAsia="맑은 고딕" w:hAnsi="Cambria Math" w:cs="Times New Roman"/>
                            <w:sz w:val="24"/>
                            <w:szCs w:val="24"/>
                          </w:rPr>
                          <m:t>2</m:t>
                        </m:r>
                      </m:sup>
                    </m:sSup>
                  </m:den>
                </m:f>
              </m:oMath>
            </m:oMathPara>
          </w:p>
        </w:tc>
        <w:tc>
          <w:tcPr>
            <w:tcW w:w="808" w:type="pct"/>
            <w:vAlign w:val="center"/>
          </w:tcPr>
          <w:p w14:paraId="793AE69A"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 of circularity of a ROI</w:t>
            </w:r>
          </w:p>
        </w:tc>
        <w:tc>
          <w:tcPr>
            <w:tcW w:w="807" w:type="pct"/>
            <w:vAlign w:val="center"/>
          </w:tcPr>
          <w:p w14:paraId="63AD885F"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6551337C" w14:textId="77777777" w:rsidTr="001F380A">
        <w:tc>
          <w:tcPr>
            <w:tcW w:w="606" w:type="pct"/>
            <w:vMerge/>
            <w:vAlign w:val="center"/>
          </w:tcPr>
          <w:p w14:paraId="539D8031" w14:textId="77777777" w:rsidR="00C635FF" w:rsidRPr="00821999" w:rsidRDefault="00C635FF" w:rsidP="001F380A">
            <w:pPr>
              <w:spacing w:after="0"/>
              <w:jc w:val="center"/>
              <w:rPr>
                <w:rFonts w:ascii="Times New Roman" w:hAnsi="Times New Roman" w:cs="Times New Roman"/>
                <w:b/>
                <w:sz w:val="24"/>
                <w:szCs w:val="24"/>
              </w:rPr>
            </w:pPr>
          </w:p>
        </w:tc>
        <w:tc>
          <w:tcPr>
            <w:tcW w:w="999" w:type="pct"/>
            <w:shd w:val="clear" w:color="auto" w:fill="auto"/>
            <w:vAlign w:val="center"/>
          </w:tcPr>
          <w:p w14:paraId="5C4BBA7B"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Eccentricity (2D)</w:t>
            </w:r>
          </w:p>
        </w:tc>
        <w:tc>
          <w:tcPr>
            <w:tcW w:w="1780" w:type="pct"/>
            <w:vAlign w:val="center"/>
          </w:tcPr>
          <w:p w14:paraId="603DE2FD"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Eccentricity=c/a</m:t>
                </m:r>
              </m:oMath>
            </m:oMathPara>
          </w:p>
          <w:p w14:paraId="4139E9BD" w14:textId="77777777" w:rsidR="00C635FF" w:rsidRPr="00821999" w:rsidRDefault="00C635FF" w:rsidP="001F380A">
            <w:pPr>
              <w:spacing w:after="0"/>
              <w:jc w:val="center"/>
              <w:rPr>
                <w:rFonts w:ascii="Times New Roman" w:eastAsia="맑은 고딕" w:hAnsi="Times New Roman" w:cs="Times New Roman"/>
                <w:sz w:val="24"/>
                <w:szCs w:val="24"/>
              </w:rPr>
            </w:pPr>
            <w:r w:rsidRPr="00821999">
              <w:rPr>
                <w:rFonts w:ascii="Times New Roman" w:eastAsia="맑은 고딕" w:hAnsi="Times New Roman" w:cs="Times New Roman"/>
                <w:sz w:val="24"/>
                <w:szCs w:val="24"/>
              </w:rPr>
              <w:lastRenderedPageBreak/>
              <w:t xml:space="preserve">Where </w:t>
            </w:r>
            <m:oMath>
              <m:r>
                <m:rPr>
                  <m:sty m:val="p"/>
                </m:rPr>
                <w:rPr>
                  <w:rFonts w:ascii="Cambria Math" w:eastAsia="맑은 고딕" w:hAnsi="Cambria Math" w:cs="Times New Roman"/>
                  <w:sz w:val="24"/>
                  <w:szCs w:val="24"/>
                </w:rPr>
                <m:t>c</m:t>
              </m:r>
            </m:oMath>
            <w:r w:rsidRPr="00821999">
              <w:rPr>
                <w:rFonts w:ascii="Times New Roman" w:eastAsia="맑은 고딕" w:hAnsi="Times New Roman" w:cs="Times New Roman"/>
                <w:sz w:val="24"/>
                <w:szCs w:val="24"/>
              </w:rPr>
              <w:t xml:space="preserve"> is the distance from the center to a focus and </w:t>
            </w:r>
            <m:oMath>
              <m:r>
                <m:rPr>
                  <m:sty m:val="p"/>
                </m:rPr>
                <w:rPr>
                  <w:rFonts w:ascii="Cambria Math" w:eastAsia="맑은 고딕" w:hAnsi="Cambria Math" w:cs="Times New Roman"/>
                  <w:sz w:val="24"/>
                  <w:szCs w:val="24"/>
                </w:rPr>
                <m:t>a</m:t>
              </m:r>
            </m:oMath>
            <w:r w:rsidRPr="00821999">
              <w:rPr>
                <w:rFonts w:ascii="Times New Roman" w:eastAsia="맑은 고딕" w:hAnsi="Times New Roman" w:cs="Times New Roman"/>
                <w:sz w:val="24"/>
                <w:szCs w:val="24"/>
              </w:rPr>
              <w:t xml:space="preserve"> is the distance from that focus to a vertex</w:t>
            </w:r>
          </w:p>
        </w:tc>
        <w:tc>
          <w:tcPr>
            <w:tcW w:w="808" w:type="pct"/>
            <w:vAlign w:val="center"/>
          </w:tcPr>
          <w:p w14:paraId="65C8CBBA" w14:textId="77777777" w:rsidR="00C635FF" w:rsidRPr="00821999" w:rsidRDefault="00C635FF" w:rsidP="001F380A">
            <w:pPr>
              <w:spacing w:after="0"/>
              <w:jc w:val="center"/>
              <w:rPr>
                <w:rStyle w:val="Char2"/>
                <w:rFonts w:ascii="Times New Roman" w:hAnsi="Times New Roman" w:cs="Times New Roman"/>
              </w:rPr>
            </w:pPr>
            <w:r w:rsidRPr="00821999">
              <w:rPr>
                <w:rStyle w:val="Char2"/>
                <w:rFonts w:ascii="Times New Roman" w:hAnsi="Times New Roman" w:cs="Times New Roman"/>
              </w:rPr>
              <w:lastRenderedPageBreak/>
              <w:t xml:space="preserve">Measure of how the tumor shape is close to </w:t>
            </w:r>
          </w:p>
          <w:p w14:paraId="633C9721"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Style w:val="Char2"/>
                <w:rFonts w:ascii="Times New Roman" w:hAnsi="Times New Roman" w:cs="Times New Roman"/>
              </w:rPr>
              <w:lastRenderedPageBreak/>
              <w:t>the circle</w:t>
            </w:r>
          </w:p>
        </w:tc>
        <w:tc>
          <w:tcPr>
            <w:tcW w:w="807" w:type="pct"/>
            <w:vAlign w:val="center"/>
          </w:tcPr>
          <w:p w14:paraId="267EB0CB"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lastRenderedPageBreak/>
              <w:t>O</w:t>
            </w:r>
          </w:p>
        </w:tc>
      </w:tr>
      <w:tr w:rsidR="00C635FF" w:rsidRPr="00821999" w14:paraId="78406FC5" w14:textId="77777777" w:rsidTr="001F380A">
        <w:tc>
          <w:tcPr>
            <w:tcW w:w="606" w:type="pct"/>
            <w:vMerge/>
            <w:tcBorders>
              <w:bottom w:val="single" w:sz="12" w:space="0" w:color="auto"/>
            </w:tcBorders>
            <w:vAlign w:val="center"/>
          </w:tcPr>
          <w:p w14:paraId="773110C8" w14:textId="77777777" w:rsidR="00C635FF" w:rsidRPr="00821999" w:rsidRDefault="00C635FF" w:rsidP="001F380A">
            <w:pPr>
              <w:spacing w:after="0"/>
              <w:jc w:val="center"/>
              <w:rPr>
                <w:rFonts w:ascii="Times New Roman" w:hAnsi="Times New Roman" w:cs="Times New Roman"/>
                <w:b/>
                <w:sz w:val="24"/>
                <w:szCs w:val="24"/>
              </w:rPr>
            </w:pPr>
          </w:p>
        </w:tc>
        <w:tc>
          <w:tcPr>
            <w:tcW w:w="999" w:type="pct"/>
            <w:tcBorders>
              <w:bottom w:val="single" w:sz="12" w:space="0" w:color="auto"/>
            </w:tcBorders>
            <w:shd w:val="clear" w:color="auto" w:fill="auto"/>
            <w:vAlign w:val="center"/>
          </w:tcPr>
          <w:p w14:paraId="305DC8B6"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Solidity (2D)</w:t>
            </w:r>
          </w:p>
        </w:tc>
        <w:tc>
          <w:tcPr>
            <w:tcW w:w="1780" w:type="pct"/>
            <w:tcBorders>
              <w:bottom w:val="single" w:sz="12" w:space="0" w:color="auto"/>
            </w:tcBorders>
            <w:vAlign w:val="center"/>
          </w:tcPr>
          <w:p w14:paraId="18E9B1EE"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 xml:space="preserve">Solidity= </m:t>
                </m:r>
                <m:f>
                  <m:fPr>
                    <m:ctrlPr>
                      <w:rPr>
                        <w:rFonts w:ascii="Cambria Math" w:eastAsia="맑은 고딕" w:hAnsi="Cambria Math" w:cs="Times New Roman"/>
                        <w:sz w:val="24"/>
                        <w:szCs w:val="24"/>
                      </w:rPr>
                    </m:ctrlPr>
                  </m:fPr>
                  <m:num>
                    <m:r>
                      <w:rPr>
                        <w:rFonts w:ascii="Cambria Math" w:eastAsia="맑은 고딕" w:hAnsi="Cambria Math" w:cs="Times New Roman"/>
                        <w:sz w:val="24"/>
                        <w:szCs w:val="24"/>
                      </w:rPr>
                      <m:t>Area</m:t>
                    </m:r>
                  </m:num>
                  <m:den>
                    <m:r>
                      <w:rPr>
                        <w:rFonts w:ascii="Cambria Math" w:eastAsia="맑은 고딕" w:hAnsi="Cambria Math" w:cs="Times New Roman"/>
                        <w:sz w:val="24"/>
                        <w:szCs w:val="24"/>
                      </w:rPr>
                      <m:t>Convex area</m:t>
                    </m:r>
                  </m:den>
                </m:f>
              </m:oMath>
            </m:oMathPara>
          </w:p>
        </w:tc>
        <w:tc>
          <w:tcPr>
            <w:tcW w:w="808" w:type="pct"/>
            <w:tcBorders>
              <w:bottom w:val="single" w:sz="12" w:space="0" w:color="auto"/>
            </w:tcBorders>
            <w:vAlign w:val="center"/>
          </w:tcPr>
          <w:p w14:paraId="585BB9B2"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 of convexity of a ROI on the 2D image</w:t>
            </w:r>
          </w:p>
        </w:tc>
        <w:tc>
          <w:tcPr>
            <w:tcW w:w="807" w:type="pct"/>
            <w:tcBorders>
              <w:bottom w:val="single" w:sz="12" w:space="0" w:color="auto"/>
            </w:tcBorders>
            <w:vAlign w:val="center"/>
          </w:tcPr>
          <w:p w14:paraId="51EFD162"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1B79730E" w14:textId="77777777" w:rsidTr="001F380A">
        <w:tc>
          <w:tcPr>
            <w:tcW w:w="606" w:type="pct"/>
            <w:vMerge w:val="restart"/>
            <w:tcBorders>
              <w:top w:val="single" w:sz="12" w:space="0" w:color="auto"/>
              <w:bottom w:val="single" w:sz="4" w:space="0" w:color="AEAAAA" w:themeColor="background2" w:themeShade="BF"/>
            </w:tcBorders>
            <w:vAlign w:val="center"/>
            <w:hideMark/>
          </w:tcPr>
          <w:p w14:paraId="5B0CCA3B" w14:textId="77777777" w:rsidR="00C635FF" w:rsidRPr="00821999" w:rsidRDefault="00C635FF" w:rsidP="001F380A">
            <w:pPr>
              <w:spacing w:after="0"/>
              <w:jc w:val="center"/>
              <w:rPr>
                <w:rFonts w:ascii="Times New Roman" w:hAnsi="Times New Roman" w:cs="Times New Roman"/>
                <w:b/>
                <w:sz w:val="24"/>
                <w:szCs w:val="24"/>
              </w:rPr>
            </w:pPr>
            <w:r w:rsidRPr="00821999">
              <w:rPr>
                <w:rFonts w:ascii="Times New Roman" w:hAnsi="Times New Roman" w:cs="Times New Roman"/>
                <w:b/>
                <w:sz w:val="24"/>
                <w:szCs w:val="24"/>
              </w:rPr>
              <w:t xml:space="preserve">GLCM-based features (256 bins) </w:t>
            </w:r>
            <w:r w:rsidRPr="00821999">
              <w:rPr>
                <w:rFonts w:ascii="Times New Roman" w:hAnsi="Times New Roman" w:cs="Times New Roman"/>
                <w:b/>
                <w:sz w:val="24"/>
                <w:szCs w:val="24"/>
              </w:rPr>
              <w:fldChar w:fldCharType="begin" w:fldLock="1"/>
            </w:r>
            <w:r w:rsidRPr="00821999">
              <w:rPr>
                <w:rFonts w:ascii="Times New Roman" w:hAnsi="Times New Roman" w:cs="Times New Roman"/>
                <w:b/>
                <w:sz w:val="24"/>
                <w:szCs w:val="24"/>
              </w:rPr>
              <w:instrText>ADDIN CSL_CITATION {"citationItems":[{"id":"ITEM-1","itemData":{"DOI":"10.1038/ncomms5006","ISBN":"2041-1723 (Electronic)\\r2041-1723 (Linking)","ISSN":"2041-1723","PMID":"24892406","abstract":"Human cancers exhibit strong phenotypic differences that can be visualized noninvasively by medical imaging. Radiomics refers to the comprehensive quantification of tumour phenotypes by applying a large number of quantitative image features. Here we present a radiomic analysis of 440 features quantifying tumour image intensity, shape and texture, which are extracted from computed tomography data of 1,019 patients with lung or head-and-neck cancer. We find that a large number of radiomic features have prognostic power in independent data sets of lung and head-and-neck cancer patients, many of which were not identified as significant before. Radiogenomics analysis reveals that a prognostic radiomic signature, capturing intratumour heterogeneity, is associated with underlying gene-expression patterns. These data suggest that radiomics identifies a general prognostic phenotype existing in both lung and head-and-neck cancer. This may have a clinical impact as imaging is routinely used in clinical practice, providing an unprecedented opportunity to improve decision-support in cancer treatment at low cost.","author":[{"dropping-particle":"","family":"Aerts","given":"Hugo J.W.L.","non-dropping-particle":"","parse-names":false,"suffix":""},{"dropping-particle":"","family":"Velazquez","given":"E R","non-dropping-particle":"","parse-names":false,"suffix":""},{"dropping-particle":"","family":"Leijenaar","given":"R T","non-dropping-particle":"","parse-names":false,"suffix":""},{"dropping-particle":"","family":"Parmar","given":"C","non-dropping-particle":"","parse-names":false,"suffix":""},{"dropping-particle":"","family":"Grossmann","given":"P","non-dropping-particle":"","parse-names":false,"suffix":""},{"dropping-particle":"","family":"Carvalho","given":"S","non-dropping-particle":"","parse-names":false,"suffix":""},{"dropping-particle":"","family":"Bussink","given":"J","non-dropping-particle":"","parse-names":false,"suffix":""},{"dropping-particle":"","family":"Monshouwer","given":"R","non-dropping-particle":"","parse-names":false,"suffix":""},{"dropping-particle":"","family":"Haibe-Kains","given":"B","non-dropping-particle":"","parse-names":false,"suffix":""},{"dropping-particle":"","family":"Rietveld","given":"D","non-dropping-particle":"","parse-names":false,"suffix":""},{"dropping-particle":"","family":"Hoebers","given":"F","non-dropping-particle":"","parse-names":false,"suffix":""},{"dropping-particle":"","family":"Rietbergen","given":"M M","non-dropping-particle":"","parse-names":false,"suffix":""},{"dropping-particle":"","family":"Leemans","given":"C R","non-dropping-particle":"","parse-names":false,"suffix":""},{"dropping-particle":"","family":"Dekker","given":"A","non-dropping-particle":"","parse-names":false,"suffix":""},{"dropping-particle":"","family":"Quackenbush","given":"J","non-dropping-particle":"","parse-names":false,"suffix":""},{"dropping-particle":"","family":"Gillies","given":"R J","non-dropping-particle":"","parse-names":false,"suffix":""},{"dropping-particle":"","family":"Lambin","given":"P","non-dropping-particle":"","parse-names":false,"suffix":""}],"container-title":"Nat Commun","id":"ITEM-1","issued":{"date-parts":[["2014"]]},"page":"4006","title":"Decoding tumour phenotype by noninvasive imaging using a quantitative radiomics approach","type":"article-journal","volume":"5"},"uris":["http://www.mendeley.com/documents/?uuid=91e78ca7-57e5-498b-a578-c000cffef616"]}],"mendeley":{"formattedCitation":"[2]","plainTextFormattedCitation":"[2]","previouslyFormattedCitation":"[2]"},"properties":{"noteIndex":0},"schema":"https://github.com/citation-style-language/schema/raw/master/csl-citation.json"}</w:instrText>
            </w:r>
            <w:r w:rsidRPr="00821999">
              <w:rPr>
                <w:rFonts w:ascii="Times New Roman" w:hAnsi="Times New Roman" w:cs="Times New Roman"/>
                <w:b/>
                <w:sz w:val="24"/>
                <w:szCs w:val="24"/>
              </w:rPr>
              <w:fldChar w:fldCharType="separate"/>
            </w:r>
            <w:r w:rsidRPr="00821999">
              <w:rPr>
                <w:rFonts w:ascii="Times New Roman" w:hAnsi="Times New Roman" w:cs="Times New Roman"/>
                <w:noProof/>
                <w:sz w:val="24"/>
                <w:szCs w:val="24"/>
              </w:rPr>
              <w:t>[2]</w:t>
            </w:r>
            <w:r w:rsidRPr="00821999">
              <w:rPr>
                <w:rFonts w:ascii="Times New Roman" w:hAnsi="Times New Roman" w:cs="Times New Roman"/>
                <w:b/>
                <w:sz w:val="24"/>
                <w:szCs w:val="24"/>
              </w:rPr>
              <w:fldChar w:fldCharType="end"/>
            </w:r>
          </w:p>
        </w:tc>
        <w:tc>
          <w:tcPr>
            <w:tcW w:w="999" w:type="pct"/>
            <w:tcBorders>
              <w:top w:val="single" w:sz="12" w:space="0" w:color="auto"/>
              <w:bottom w:val="single" w:sz="4" w:space="0" w:color="AEAAAA" w:themeColor="background2" w:themeShade="BF"/>
            </w:tcBorders>
            <w:vAlign w:val="center"/>
            <w:hideMark/>
          </w:tcPr>
          <w:p w14:paraId="14B72868"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Auto correlation</w:t>
            </w:r>
          </w:p>
        </w:tc>
        <w:tc>
          <w:tcPr>
            <w:tcW w:w="1780" w:type="pct"/>
            <w:tcBorders>
              <w:top w:val="single" w:sz="12" w:space="0" w:color="auto"/>
              <w:bottom w:val="single" w:sz="4" w:space="0" w:color="AEAAAA" w:themeColor="background2" w:themeShade="BF"/>
            </w:tcBorders>
            <w:vAlign w:val="center"/>
            <w:hideMark/>
          </w:tcPr>
          <w:p w14:paraId="5195D1A2"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Autocorrelation =</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i=1</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g</m:t>
                        </m:r>
                      </m:sub>
                    </m:sSub>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g</m:t>
                            </m:r>
                          </m:sub>
                        </m:sSub>
                      </m:sup>
                      <m:e>
                        <m:r>
                          <w:rPr>
                            <w:rFonts w:ascii="Cambria Math" w:hAnsi="Cambria Math" w:cs="Times New Roman"/>
                            <w:sz w:val="24"/>
                            <w:szCs w:val="24"/>
                          </w:rPr>
                          <m:t>ij</m:t>
                        </m:r>
                        <m:r>
                          <m:rPr>
                            <m:sty m:val="bi"/>
                          </m:rPr>
                          <w:rPr>
                            <w:rFonts w:ascii="Cambria Math" w:hAnsi="Cambria Math" w:cs="Times New Roman"/>
                            <w:sz w:val="24"/>
                            <w:szCs w:val="24"/>
                          </w:rPr>
                          <m:t>P</m:t>
                        </m:r>
                        <m:r>
                          <w:rPr>
                            <w:rFonts w:ascii="Cambria Math" w:hAnsi="Cambria Math" w:cs="Times New Roman"/>
                            <w:sz w:val="24"/>
                            <w:szCs w:val="24"/>
                          </w:rPr>
                          <m:t>(i,j)</m:t>
                        </m:r>
                      </m:e>
                    </m:nary>
                  </m:e>
                </m:nary>
              </m:oMath>
            </m:oMathPara>
          </w:p>
        </w:tc>
        <w:tc>
          <w:tcPr>
            <w:tcW w:w="808" w:type="pct"/>
            <w:tcBorders>
              <w:top w:val="single" w:sz="12" w:space="0" w:color="auto"/>
              <w:bottom w:val="single" w:sz="4" w:space="0" w:color="AEAAAA" w:themeColor="background2" w:themeShade="BF"/>
            </w:tcBorders>
            <w:vAlign w:val="center"/>
          </w:tcPr>
          <w:p w14:paraId="7B980200"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Measures of the magnitude of the fineness and coarseness of texture</w:t>
            </w:r>
          </w:p>
        </w:tc>
        <w:tc>
          <w:tcPr>
            <w:tcW w:w="807" w:type="pct"/>
            <w:tcBorders>
              <w:top w:val="single" w:sz="12" w:space="0" w:color="auto"/>
              <w:bottom w:val="single" w:sz="4" w:space="0" w:color="AEAAAA" w:themeColor="background2" w:themeShade="BF"/>
            </w:tcBorders>
            <w:vAlign w:val="center"/>
          </w:tcPr>
          <w:p w14:paraId="1191A527"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434F30BD" w14:textId="77777777" w:rsidTr="001F380A">
        <w:tc>
          <w:tcPr>
            <w:tcW w:w="606" w:type="pct"/>
            <w:vMerge/>
            <w:tcBorders>
              <w:top w:val="single" w:sz="4" w:space="0" w:color="AEAAAA" w:themeColor="background2" w:themeShade="BF"/>
            </w:tcBorders>
            <w:vAlign w:val="center"/>
          </w:tcPr>
          <w:p w14:paraId="1D3FA82B" w14:textId="77777777" w:rsidR="00C635FF" w:rsidRPr="00821999" w:rsidRDefault="00C635FF" w:rsidP="001F380A">
            <w:pPr>
              <w:spacing w:after="0"/>
              <w:jc w:val="center"/>
              <w:rPr>
                <w:rFonts w:ascii="Times New Roman" w:hAnsi="Times New Roman" w:cs="Times New Roman"/>
                <w:b/>
                <w:sz w:val="24"/>
                <w:szCs w:val="24"/>
              </w:rPr>
            </w:pPr>
          </w:p>
        </w:tc>
        <w:tc>
          <w:tcPr>
            <w:tcW w:w="999" w:type="pct"/>
            <w:tcBorders>
              <w:top w:val="single" w:sz="4" w:space="0" w:color="AEAAAA" w:themeColor="background2" w:themeShade="BF"/>
            </w:tcBorders>
            <w:vAlign w:val="center"/>
          </w:tcPr>
          <w:p w14:paraId="2E23496C"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Cluster tendency</w:t>
            </w:r>
          </w:p>
        </w:tc>
        <w:tc>
          <w:tcPr>
            <w:tcW w:w="1780" w:type="pct"/>
            <w:tcBorders>
              <w:top w:val="single" w:sz="4" w:space="0" w:color="AEAAAA" w:themeColor="background2" w:themeShade="BF"/>
            </w:tcBorders>
            <w:vAlign w:val="center"/>
          </w:tcPr>
          <w:p w14:paraId="1AC478DF" w14:textId="77777777" w:rsidR="00C635FF" w:rsidRPr="00821999" w:rsidRDefault="00C635FF" w:rsidP="001F380A">
            <w:pPr>
              <w:jc w:val="center"/>
              <w:rPr>
                <w:rFonts w:ascii="Times New Roman" w:eastAsia="맑은 고딕" w:hAnsi="Times New Roman" w:cs="Times New Roman"/>
                <w:sz w:val="24"/>
                <w:szCs w:val="24"/>
              </w:rPr>
            </w:pPr>
            <m:oMathPara>
              <m:oMath>
                <m:r>
                  <m:rPr>
                    <m:sty m:val="p"/>
                  </m:rPr>
                  <w:rPr>
                    <w:rFonts w:ascii="Cambria Math" w:hAnsi="Cambria Math" w:cs="Times New Roman"/>
                    <w:sz w:val="24"/>
                    <w:szCs w:val="24"/>
                  </w:rPr>
                  <m:t>Cluster tendency=</m:t>
                </m:r>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j=1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sSup>
                          <m:sSupPr>
                            <m:ctrlPr>
                              <w:rPr>
                                <w:rFonts w:ascii="Cambria Math" w:hAnsi="Cambria Math" w:cs="Times New Roman"/>
                                <w:sz w:val="24"/>
                                <w:szCs w:val="24"/>
                              </w:rPr>
                            </m:ctrlPr>
                          </m:sSupPr>
                          <m:e>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i+j-</m:t>
                                </m:r>
                                <m:sSub>
                                  <m:sSubPr>
                                    <m:ctrlPr>
                                      <w:rPr>
                                        <w:rFonts w:ascii="Cambria Math" w:hAnsi="Cambria Math" w:cs="Times New Roman"/>
                                        <w:sz w:val="24"/>
                                        <w:szCs w:val="24"/>
                                      </w:rPr>
                                    </m:ctrlPr>
                                  </m:sSubPr>
                                  <m:e>
                                    <m:r>
                                      <m:rPr>
                                        <m:sty m:val="p"/>
                                      </m:rPr>
                                      <w:rPr>
                                        <w:rFonts w:ascii="Cambria Math" w:hAnsi="Cambria Math" w:cs="Times New Roman"/>
                                        <w:sz w:val="24"/>
                                        <w:szCs w:val="24"/>
                                      </w:rPr>
                                      <m:t>μ</m:t>
                                    </m:r>
                                  </m:e>
                                  <m:sub>
                                    <m:r>
                                      <m:rPr>
                                        <m:sty m:val="p"/>
                                      </m:rPr>
                                      <w:rPr>
                                        <w:rFonts w:ascii="Cambria Math" w:hAnsi="Cambria Math" w:cs="Times New Roman"/>
                                        <w:sz w:val="24"/>
                                        <w:szCs w:val="24"/>
                                      </w:rPr>
                                      <m:t>x</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μ</m:t>
                                    </m:r>
                                  </m:e>
                                  <m:sub>
                                    <m:r>
                                      <m:rPr>
                                        <m:sty m:val="p"/>
                                      </m:rPr>
                                      <w:rPr>
                                        <w:rFonts w:ascii="Cambria Math" w:hAnsi="Cambria Math" w:cs="Times New Roman"/>
                                        <w:sz w:val="24"/>
                                        <w:szCs w:val="24"/>
                                      </w:rPr>
                                      <m:t>y</m:t>
                                    </m:r>
                                  </m:sub>
                                </m:sSub>
                              </m:e>
                            </m:d>
                          </m:e>
                          <m:sup>
                            <m:r>
                              <m:rPr>
                                <m:sty m:val="p"/>
                              </m:rPr>
                              <w:rPr>
                                <w:rFonts w:ascii="Cambria Math" w:hAnsi="Cambria Math" w:cs="Times New Roman"/>
                                <w:sz w:val="24"/>
                                <w:szCs w:val="24"/>
                              </w:rPr>
                              <m:t>2</m:t>
                            </m:r>
                          </m:sup>
                        </m:sSup>
                        <m:r>
                          <m:rPr>
                            <m:sty m:val="b"/>
                          </m:rPr>
                          <w:rPr>
                            <w:rFonts w:ascii="Cambria Math" w:hAnsi="Cambria Math" w:cs="Times New Roman"/>
                            <w:sz w:val="24"/>
                            <w:szCs w:val="24"/>
                          </w:rPr>
                          <m:t>P</m:t>
                        </m:r>
                        <m:r>
                          <m:rPr>
                            <m:sty m:val="p"/>
                          </m:rPr>
                          <w:rPr>
                            <w:rFonts w:ascii="Cambria Math" w:hAnsi="Cambria Math" w:cs="Times New Roman"/>
                            <w:sz w:val="24"/>
                            <w:szCs w:val="24"/>
                          </w:rPr>
                          <m:t>(i,j)</m:t>
                        </m:r>
                      </m:e>
                    </m:nary>
                  </m:e>
                </m:nary>
              </m:oMath>
            </m:oMathPara>
          </w:p>
        </w:tc>
        <w:tc>
          <w:tcPr>
            <w:tcW w:w="808" w:type="pct"/>
            <w:tcBorders>
              <w:top w:val="single" w:sz="4" w:space="0" w:color="AEAAAA" w:themeColor="background2" w:themeShade="BF"/>
            </w:tcBorders>
            <w:vAlign w:val="center"/>
          </w:tcPr>
          <w:p w14:paraId="7E5DC52C"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eastAsiaTheme="minorHAnsi" w:hAnsi="Times New Roman" w:cs="Times New Roman"/>
                <w:sz w:val="24"/>
                <w:szCs w:val="24"/>
              </w:rPr>
              <w:t>Measures of the homogeneity of GLCM</w:t>
            </w:r>
          </w:p>
        </w:tc>
        <w:tc>
          <w:tcPr>
            <w:tcW w:w="807" w:type="pct"/>
            <w:tcBorders>
              <w:top w:val="single" w:sz="4" w:space="0" w:color="AEAAAA" w:themeColor="background2" w:themeShade="BF"/>
            </w:tcBorders>
            <w:vAlign w:val="center"/>
          </w:tcPr>
          <w:p w14:paraId="6E6211BB"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7318B4A0" w14:textId="77777777" w:rsidTr="001F380A">
        <w:tc>
          <w:tcPr>
            <w:tcW w:w="606" w:type="pct"/>
            <w:vMerge/>
            <w:vAlign w:val="center"/>
          </w:tcPr>
          <w:p w14:paraId="500D9B99"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35172DBA"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Maximum probability</w:t>
            </w:r>
          </w:p>
        </w:tc>
        <w:tc>
          <w:tcPr>
            <w:tcW w:w="1780" w:type="pct"/>
            <w:vAlign w:val="center"/>
          </w:tcPr>
          <w:p w14:paraId="5541F6AF"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hAnsi="Cambria Math" w:cs="Times New Roman"/>
                    <w:sz w:val="24"/>
                    <w:szCs w:val="24"/>
                  </w:rPr>
                  <m:t>Maximum probability=max⁡{P</m:t>
                </m:r>
                <m:d>
                  <m:dPr>
                    <m:ctrlPr>
                      <w:rPr>
                        <w:rFonts w:ascii="Cambria Math" w:hAnsi="Cambria Math" w:cs="Times New Roman"/>
                        <w:sz w:val="24"/>
                        <w:szCs w:val="24"/>
                      </w:rPr>
                    </m:ctrlPr>
                  </m:dPr>
                  <m:e>
                    <m:r>
                      <m:rPr>
                        <m:sty m:val="p"/>
                      </m:rPr>
                      <w:rPr>
                        <w:rFonts w:ascii="Cambria Math" w:hAnsi="Cambria Math" w:cs="Times New Roman"/>
                        <w:sz w:val="24"/>
                        <w:szCs w:val="24"/>
                      </w:rPr>
                      <m:t>i,j</m:t>
                    </m:r>
                  </m:e>
                </m:d>
                <m:r>
                  <m:rPr>
                    <m:sty m:val="p"/>
                  </m:rPr>
                  <w:rPr>
                    <w:rFonts w:ascii="Cambria Math" w:hAnsi="Cambria Math" w:cs="Times New Roman"/>
                    <w:sz w:val="24"/>
                    <w:szCs w:val="24"/>
                  </w:rPr>
                  <m:t>}</m:t>
                </m:r>
              </m:oMath>
            </m:oMathPara>
          </w:p>
        </w:tc>
        <w:tc>
          <w:tcPr>
            <w:tcW w:w="808" w:type="pct"/>
            <w:vAlign w:val="center"/>
          </w:tcPr>
          <w:p w14:paraId="5EA187AA"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eastAsiaTheme="minorHAnsi" w:hAnsi="Times New Roman" w:cs="Times New Roman"/>
                <w:sz w:val="24"/>
                <w:szCs w:val="24"/>
              </w:rPr>
              <w:t>Measures maximum value of GLCM matrix</w:t>
            </w:r>
          </w:p>
        </w:tc>
        <w:tc>
          <w:tcPr>
            <w:tcW w:w="807" w:type="pct"/>
            <w:vAlign w:val="center"/>
          </w:tcPr>
          <w:p w14:paraId="75DE7AC4"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48527F3A" w14:textId="77777777" w:rsidTr="001F380A">
        <w:tc>
          <w:tcPr>
            <w:tcW w:w="606" w:type="pct"/>
            <w:vMerge/>
            <w:vAlign w:val="center"/>
            <w:hideMark/>
          </w:tcPr>
          <w:p w14:paraId="15D64F0B"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59A328A5"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Contrast</w:t>
            </w:r>
          </w:p>
        </w:tc>
        <w:tc>
          <w:tcPr>
            <w:tcW w:w="1780" w:type="pct"/>
            <w:vAlign w:val="center"/>
            <w:hideMark/>
          </w:tcPr>
          <w:p w14:paraId="635B1F00"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Contrast=</m:t>
                </m:r>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j=1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sSup>
                          <m:sSupPr>
                            <m:ctrlPr>
                              <w:rPr>
                                <w:rFonts w:ascii="Cambria Math" w:hAnsi="Cambria Math" w:cs="Times New Roman"/>
                                <w:sz w:val="24"/>
                                <w:szCs w:val="24"/>
                              </w:rPr>
                            </m:ctrlPr>
                          </m:sSupPr>
                          <m:e>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i-j</m:t>
                                </m:r>
                              </m:e>
                            </m:d>
                          </m:e>
                          <m:sup>
                            <m:r>
                              <m:rPr>
                                <m:sty m:val="p"/>
                              </m:rPr>
                              <w:rPr>
                                <w:rFonts w:ascii="Cambria Math" w:hAnsi="Cambria Math" w:cs="Times New Roman"/>
                                <w:sz w:val="24"/>
                                <w:szCs w:val="24"/>
                              </w:rPr>
                              <m:t>2</m:t>
                            </m:r>
                          </m:sup>
                        </m:sSup>
                        <m:r>
                          <m:rPr>
                            <m:sty m:val="b"/>
                          </m:rPr>
                          <w:rPr>
                            <w:rFonts w:ascii="Cambria Math" w:hAnsi="Cambria Math" w:cs="Times New Roman"/>
                            <w:sz w:val="24"/>
                            <w:szCs w:val="24"/>
                          </w:rPr>
                          <m:t>P</m:t>
                        </m:r>
                        <m:r>
                          <m:rPr>
                            <m:sty m:val="p"/>
                          </m:rPr>
                          <w:rPr>
                            <w:rFonts w:ascii="Cambria Math" w:hAnsi="Cambria Math" w:cs="Times New Roman"/>
                            <w:sz w:val="24"/>
                            <w:szCs w:val="24"/>
                          </w:rPr>
                          <m:t>(i,j)</m:t>
                        </m:r>
                      </m:e>
                    </m:nary>
                  </m:e>
                </m:nary>
              </m:oMath>
            </m:oMathPara>
          </w:p>
        </w:tc>
        <w:tc>
          <w:tcPr>
            <w:tcW w:w="808" w:type="pct"/>
            <w:vAlign w:val="center"/>
          </w:tcPr>
          <w:p w14:paraId="39C133C5"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Measures of the local intensity variation of GLCM</w:t>
            </w:r>
          </w:p>
        </w:tc>
        <w:tc>
          <w:tcPr>
            <w:tcW w:w="807" w:type="pct"/>
            <w:vAlign w:val="center"/>
          </w:tcPr>
          <w:p w14:paraId="43EBCE34" w14:textId="77777777" w:rsidR="00C635FF" w:rsidRPr="00821999" w:rsidRDefault="00C635FF" w:rsidP="001F380A">
            <w:pPr>
              <w:spacing w:after="0"/>
              <w:jc w:val="center"/>
              <w:rPr>
                <w:rFonts w:ascii="Times New Roman" w:hAnsi="Times New Roman" w:cs="Times New Roman"/>
                <w:sz w:val="24"/>
                <w:szCs w:val="24"/>
                <w:shd w:val="clear" w:color="auto" w:fill="FFFFFF"/>
              </w:rPr>
            </w:pPr>
            <w:r w:rsidRPr="00821999">
              <w:rPr>
                <w:rFonts w:ascii="Times New Roman" w:hAnsi="Times New Roman" w:cs="Times New Roman"/>
                <w:sz w:val="24"/>
                <w:szCs w:val="24"/>
                <w:shd w:val="clear" w:color="auto" w:fill="FFFFFF"/>
              </w:rPr>
              <w:t>O</w:t>
            </w:r>
          </w:p>
        </w:tc>
      </w:tr>
      <w:tr w:rsidR="00C635FF" w:rsidRPr="00821999" w14:paraId="5F9CFDC6" w14:textId="77777777" w:rsidTr="001F380A">
        <w:tc>
          <w:tcPr>
            <w:tcW w:w="606" w:type="pct"/>
            <w:vMerge/>
            <w:vAlign w:val="center"/>
            <w:hideMark/>
          </w:tcPr>
          <w:p w14:paraId="1FE7A1D9"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1438CA24"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Difference entropy</w:t>
            </w:r>
          </w:p>
        </w:tc>
        <w:tc>
          <w:tcPr>
            <w:tcW w:w="1780" w:type="pct"/>
            <w:vAlign w:val="center"/>
            <w:hideMark/>
          </w:tcPr>
          <w:p w14:paraId="61AF856B"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Difference entropy=</m:t>
                </m:r>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i=0</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r>
                      <m:rPr>
                        <m:sty m:val="p"/>
                      </m:rPr>
                      <w:rPr>
                        <w:rFonts w:ascii="Cambria Math" w:hAnsi="Cambria Math" w:cs="Times New Roman"/>
                        <w:sz w:val="24"/>
                        <w:szCs w:val="24"/>
                      </w:rPr>
                      <m:t>-1</m:t>
                    </m:r>
                  </m:sup>
                  <m:e>
                    <m:sSub>
                      <m:sSubPr>
                        <m:ctrlPr>
                          <w:rPr>
                            <w:rFonts w:ascii="Cambria Math" w:hAnsi="Cambria Math" w:cs="Times New Roman"/>
                            <w:sz w:val="24"/>
                            <w:szCs w:val="24"/>
                          </w:rPr>
                        </m:ctrlPr>
                      </m:sSubPr>
                      <m:e>
                        <m:r>
                          <m:rPr>
                            <m:sty m:val="b"/>
                          </m:rPr>
                          <w:rPr>
                            <w:rFonts w:ascii="Cambria Math" w:hAnsi="Cambria Math" w:cs="Times New Roman"/>
                            <w:sz w:val="24"/>
                            <w:szCs w:val="24"/>
                          </w:rPr>
                          <m:t>P</m:t>
                        </m:r>
                        <m:ctrlPr>
                          <w:rPr>
                            <w:rFonts w:ascii="Cambria Math" w:hAnsi="Cambria Math" w:cs="Times New Roman"/>
                            <w:b/>
                            <w:sz w:val="24"/>
                            <w:szCs w:val="24"/>
                          </w:rPr>
                        </m:ctrlPr>
                      </m:e>
                      <m:sub>
                        <m:r>
                          <m:rPr>
                            <m:sty m:val="p"/>
                          </m:rPr>
                          <w:rPr>
                            <w:rFonts w:ascii="Cambria Math" w:hAnsi="Cambria Math" w:cs="Times New Roman"/>
                            <w:sz w:val="24"/>
                            <w:szCs w:val="24"/>
                          </w:rPr>
                          <m:t>x-y</m:t>
                        </m:r>
                      </m:sub>
                    </m:sSub>
                    <m:r>
                      <m:rPr>
                        <m:sty m:val="p"/>
                      </m:rPr>
                      <w:rPr>
                        <w:rFonts w:ascii="Cambria Math" w:hAnsi="Cambria Math" w:cs="Times New Roman"/>
                        <w:sz w:val="24"/>
                        <w:szCs w:val="24"/>
                      </w:rPr>
                      <m:t>(i)</m:t>
                    </m:r>
                    <m:func>
                      <m:funcPr>
                        <m:ctrlPr>
                          <w:rPr>
                            <w:rFonts w:ascii="Cambria Math" w:hAnsi="Cambria Math" w:cs="Times New Roman"/>
                            <w:sz w:val="24"/>
                            <w:szCs w:val="24"/>
                          </w:rPr>
                        </m:ctrlPr>
                      </m:funcPr>
                      <m:fName>
                        <m:sSub>
                          <m:sSubPr>
                            <m:ctrlPr>
                              <w:rPr>
                                <w:rFonts w:ascii="Cambria Math" w:hAnsi="Cambria Math" w:cs="Times New Roman"/>
                                <w:sz w:val="24"/>
                                <w:szCs w:val="24"/>
                              </w:rPr>
                            </m:ctrlPr>
                          </m:sSubPr>
                          <m:e>
                            <m:r>
                              <m:rPr>
                                <m:sty m:val="p"/>
                              </m:rPr>
                              <w:rPr>
                                <w:rFonts w:ascii="Cambria Math" w:hAnsi="Cambria Math" w:cs="Times New Roman"/>
                                <w:sz w:val="24"/>
                                <w:szCs w:val="24"/>
                              </w:rPr>
                              <m:t>log</m:t>
                            </m:r>
                          </m:e>
                          <m:sub>
                            <m:r>
                              <m:rPr>
                                <m:sty m:val="p"/>
                              </m:rPr>
                              <w:rPr>
                                <w:rFonts w:ascii="Cambria Math" w:hAnsi="Cambria Math" w:cs="Times New Roman"/>
                                <w:sz w:val="24"/>
                                <w:szCs w:val="24"/>
                              </w:rPr>
                              <m:t>2</m:t>
                            </m:r>
                          </m:sub>
                        </m:sSub>
                      </m:fName>
                      <m:e>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x-y</m:t>
                            </m:r>
                          </m:sub>
                        </m:sSub>
                        <m:r>
                          <m:rPr>
                            <m:sty m:val="p"/>
                          </m:rPr>
                          <w:rPr>
                            <w:rFonts w:ascii="Cambria Math" w:hAnsi="Cambria Math" w:cs="Times New Roman"/>
                            <w:sz w:val="24"/>
                            <w:szCs w:val="24"/>
                          </w:rPr>
                          <m:t>(i)</m:t>
                        </m:r>
                      </m:e>
                    </m:func>
                  </m:e>
                </m:nary>
                <m:r>
                  <m:rPr>
                    <m:sty m:val="p"/>
                  </m:rPr>
                  <w:rPr>
                    <w:rFonts w:ascii="Cambria Math" w:hAnsi="Cambria Math" w:cs="Times New Roman"/>
                    <w:sz w:val="24"/>
                    <w:szCs w:val="24"/>
                  </w:rPr>
                  <m:t>]</m:t>
                </m:r>
              </m:oMath>
            </m:oMathPara>
          </w:p>
        </w:tc>
        <w:tc>
          <w:tcPr>
            <w:tcW w:w="808" w:type="pct"/>
            <w:vAlign w:val="center"/>
          </w:tcPr>
          <w:p w14:paraId="259E3882"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Measures entropy of processed GLCM matrix Px-y</w:t>
            </w:r>
          </w:p>
        </w:tc>
        <w:tc>
          <w:tcPr>
            <w:tcW w:w="807" w:type="pct"/>
            <w:vAlign w:val="center"/>
          </w:tcPr>
          <w:p w14:paraId="41EA9683"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2DAA4CF3" w14:textId="77777777" w:rsidTr="001F380A">
        <w:tc>
          <w:tcPr>
            <w:tcW w:w="606" w:type="pct"/>
            <w:vMerge/>
            <w:vAlign w:val="center"/>
            <w:hideMark/>
          </w:tcPr>
          <w:p w14:paraId="24C07B22"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074097E7"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Dissimilarity</w:t>
            </w:r>
          </w:p>
        </w:tc>
        <w:tc>
          <w:tcPr>
            <w:tcW w:w="1780" w:type="pct"/>
            <w:vAlign w:val="center"/>
            <w:hideMark/>
          </w:tcPr>
          <w:p w14:paraId="54103682"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Dissimilarity=</m:t>
                </m:r>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j=1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i-j</m:t>
                            </m:r>
                          </m:e>
                        </m:d>
                        <m:r>
                          <m:rPr>
                            <m:sty m:val="b"/>
                          </m:rPr>
                          <w:rPr>
                            <w:rFonts w:ascii="Cambria Math" w:hAnsi="Cambria Math" w:cs="Times New Roman"/>
                            <w:sz w:val="24"/>
                            <w:szCs w:val="24"/>
                          </w:rPr>
                          <m:t>P</m:t>
                        </m:r>
                        <m:r>
                          <m:rPr>
                            <m:sty m:val="p"/>
                          </m:rPr>
                          <w:rPr>
                            <w:rFonts w:ascii="Cambria Math" w:hAnsi="Cambria Math" w:cs="Times New Roman"/>
                            <w:sz w:val="24"/>
                            <w:szCs w:val="24"/>
                          </w:rPr>
                          <m:t>(i,j)</m:t>
                        </m:r>
                      </m:e>
                    </m:nary>
                  </m:e>
                </m:nary>
              </m:oMath>
            </m:oMathPara>
          </w:p>
        </w:tc>
        <w:tc>
          <w:tcPr>
            <w:tcW w:w="808" w:type="pct"/>
            <w:vAlign w:val="center"/>
            <w:hideMark/>
          </w:tcPr>
          <w:p w14:paraId="0D07FEE8"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Measures difference of each element of the gray level</w:t>
            </w:r>
          </w:p>
        </w:tc>
        <w:tc>
          <w:tcPr>
            <w:tcW w:w="807" w:type="pct"/>
            <w:vAlign w:val="center"/>
          </w:tcPr>
          <w:p w14:paraId="06CAD06B"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71AC1E5F" w14:textId="77777777" w:rsidTr="001F380A">
        <w:tc>
          <w:tcPr>
            <w:tcW w:w="606" w:type="pct"/>
            <w:vMerge/>
            <w:vAlign w:val="center"/>
            <w:hideMark/>
          </w:tcPr>
          <w:p w14:paraId="7956C2F7"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108282E2"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Energy</w:t>
            </w:r>
          </w:p>
        </w:tc>
        <w:tc>
          <w:tcPr>
            <w:tcW w:w="1780" w:type="pct"/>
            <w:vAlign w:val="center"/>
            <w:hideMark/>
          </w:tcPr>
          <w:p w14:paraId="79E3C308"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Energy=</m:t>
                </m:r>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j=1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sSup>
                          <m:sSupPr>
                            <m:ctrlPr>
                              <w:rPr>
                                <w:rFonts w:ascii="Cambria Math" w:hAnsi="Cambria Math" w:cs="Times New Roman"/>
                                <w:sz w:val="24"/>
                                <w:szCs w:val="24"/>
                              </w:rPr>
                            </m:ctrlPr>
                          </m:sSupPr>
                          <m:e>
                            <m:d>
                              <m:dPr>
                                <m:begChr m:val="["/>
                                <m:endChr m:val="]"/>
                                <m:ctrlPr>
                                  <w:rPr>
                                    <w:rFonts w:ascii="Cambria Math" w:hAnsi="Cambria Math" w:cs="Times New Roman"/>
                                    <w:sz w:val="24"/>
                                    <w:szCs w:val="24"/>
                                  </w:rPr>
                                </m:ctrlPr>
                              </m:dPr>
                              <m:e>
                                <m:r>
                                  <m:rPr>
                                    <m:sty m:val="b"/>
                                  </m:rPr>
                                  <w:rPr>
                                    <w:rFonts w:ascii="Cambria Math" w:hAnsi="Cambria Math" w:cs="Times New Roman"/>
                                    <w:sz w:val="24"/>
                                    <w:szCs w:val="24"/>
                                  </w:rPr>
                                  <m:t>P</m:t>
                                </m:r>
                                <m:d>
                                  <m:dPr>
                                    <m:ctrlPr>
                                      <w:rPr>
                                        <w:rFonts w:ascii="Cambria Math" w:hAnsi="Cambria Math" w:cs="Times New Roman"/>
                                        <w:sz w:val="24"/>
                                        <w:szCs w:val="24"/>
                                      </w:rPr>
                                    </m:ctrlPr>
                                  </m:dPr>
                                  <m:e>
                                    <m:r>
                                      <m:rPr>
                                        <m:sty m:val="p"/>
                                      </m:rPr>
                                      <w:rPr>
                                        <w:rFonts w:ascii="Cambria Math" w:hAnsi="Cambria Math" w:cs="Times New Roman"/>
                                        <w:sz w:val="24"/>
                                        <w:szCs w:val="24"/>
                                      </w:rPr>
                                      <m:t>i,j</m:t>
                                    </m:r>
                                  </m:e>
                                </m:d>
                              </m:e>
                            </m:d>
                          </m:e>
                          <m:sup>
                            <m:r>
                              <m:rPr>
                                <m:sty m:val="p"/>
                              </m:rPr>
                              <w:rPr>
                                <w:rFonts w:ascii="Cambria Math" w:hAnsi="Cambria Math" w:cs="Times New Roman"/>
                                <w:sz w:val="24"/>
                                <w:szCs w:val="24"/>
                              </w:rPr>
                              <m:t>2</m:t>
                            </m:r>
                          </m:sup>
                        </m:sSup>
                      </m:e>
                    </m:nary>
                  </m:e>
                </m:nary>
              </m:oMath>
            </m:oMathPara>
          </w:p>
        </w:tc>
        <w:tc>
          <w:tcPr>
            <w:tcW w:w="808" w:type="pct"/>
            <w:vAlign w:val="center"/>
          </w:tcPr>
          <w:p w14:paraId="31BE0D2F"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Measures of the homogeneity of GLCM</w:t>
            </w:r>
          </w:p>
        </w:tc>
        <w:tc>
          <w:tcPr>
            <w:tcW w:w="807" w:type="pct"/>
            <w:vAlign w:val="center"/>
          </w:tcPr>
          <w:p w14:paraId="630C808A"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67A0B550" w14:textId="77777777" w:rsidTr="001F380A">
        <w:tc>
          <w:tcPr>
            <w:tcW w:w="606" w:type="pct"/>
            <w:vMerge/>
            <w:vAlign w:val="center"/>
            <w:hideMark/>
          </w:tcPr>
          <w:p w14:paraId="73162675"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33CE51C3"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Entropy</w:t>
            </w:r>
          </w:p>
        </w:tc>
        <w:tc>
          <w:tcPr>
            <w:tcW w:w="1780" w:type="pct"/>
            <w:vAlign w:val="center"/>
            <w:hideMark/>
          </w:tcPr>
          <w:p w14:paraId="0D23780A"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Entropy=-</m:t>
                </m:r>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j=1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r>
                          <m:rPr>
                            <m:sty m:val="b"/>
                          </m:rPr>
                          <w:rPr>
                            <w:rFonts w:ascii="Cambria Math" w:hAnsi="Cambria Math" w:cs="Times New Roman"/>
                            <w:sz w:val="24"/>
                            <w:szCs w:val="24"/>
                          </w:rPr>
                          <m:t>P</m:t>
                        </m:r>
                        <m:r>
                          <m:rPr>
                            <m:sty m:val="p"/>
                          </m:rPr>
                          <w:rPr>
                            <w:rFonts w:ascii="Cambria Math" w:hAnsi="Cambria Math" w:cs="Times New Roman"/>
                            <w:sz w:val="24"/>
                            <w:szCs w:val="24"/>
                          </w:rPr>
                          <m:t>(i,j)</m:t>
                        </m:r>
                        <m:func>
                          <m:funcPr>
                            <m:ctrlPr>
                              <w:rPr>
                                <w:rFonts w:ascii="Cambria Math" w:hAnsi="Cambria Math" w:cs="Times New Roman"/>
                                <w:sz w:val="24"/>
                                <w:szCs w:val="24"/>
                              </w:rPr>
                            </m:ctrlPr>
                          </m:funcPr>
                          <m:fName>
                            <m:sSub>
                              <m:sSubPr>
                                <m:ctrlPr>
                                  <w:rPr>
                                    <w:rFonts w:ascii="Cambria Math" w:hAnsi="Cambria Math" w:cs="Times New Roman"/>
                                    <w:sz w:val="24"/>
                                    <w:szCs w:val="24"/>
                                  </w:rPr>
                                </m:ctrlPr>
                              </m:sSubPr>
                              <m:e>
                                <m:r>
                                  <m:rPr>
                                    <m:sty m:val="p"/>
                                  </m:rPr>
                                  <w:rPr>
                                    <w:rFonts w:ascii="Cambria Math" w:hAnsi="Cambria Math" w:cs="Times New Roman"/>
                                    <w:sz w:val="24"/>
                                    <w:szCs w:val="24"/>
                                  </w:rPr>
                                  <m:t>log</m:t>
                                </m:r>
                              </m:e>
                              <m:sub>
                                <m:r>
                                  <m:rPr>
                                    <m:sty m:val="p"/>
                                  </m:rPr>
                                  <w:rPr>
                                    <w:rFonts w:ascii="Cambria Math" w:hAnsi="Cambria Math" w:cs="Times New Roman"/>
                                    <w:sz w:val="24"/>
                                    <w:szCs w:val="24"/>
                                  </w:rPr>
                                  <m:t>2</m:t>
                                </m:r>
                              </m:sub>
                            </m:sSub>
                          </m:fName>
                          <m:e>
                            <m:r>
                              <m:rPr>
                                <m:sty m:val="p"/>
                              </m:rPr>
                              <w:rPr>
                                <w:rFonts w:ascii="Cambria Math" w:hAnsi="Cambria Math" w:cs="Times New Roman"/>
                                <w:sz w:val="24"/>
                                <w:szCs w:val="24"/>
                              </w:rPr>
                              <m:t>[</m:t>
                            </m:r>
                            <m:r>
                              <m:rPr>
                                <m:sty m:val="b"/>
                              </m:rPr>
                              <w:rPr>
                                <w:rFonts w:ascii="Cambria Math" w:hAnsi="Cambria Math" w:cs="Times New Roman"/>
                                <w:sz w:val="24"/>
                                <w:szCs w:val="24"/>
                              </w:rPr>
                              <m:t>P</m:t>
                            </m:r>
                            <m:d>
                              <m:dPr>
                                <m:ctrlPr>
                                  <w:rPr>
                                    <w:rFonts w:ascii="Cambria Math" w:hAnsi="Cambria Math" w:cs="Times New Roman"/>
                                    <w:sz w:val="24"/>
                                    <w:szCs w:val="24"/>
                                  </w:rPr>
                                </m:ctrlPr>
                              </m:dPr>
                              <m:e>
                                <m:r>
                                  <m:rPr>
                                    <m:sty m:val="p"/>
                                  </m:rPr>
                                  <w:rPr>
                                    <w:rFonts w:ascii="Cambria Math" w:hAnsi="Cambria Math" w:cs="Times New Roman"/>
                                    <w:sz w:val="24"/>
                                    <w:szCs w:val="24"/>
                                  </w:rPr>
                                  <m:t>i,j</m:t>
                                </m:r>
                              </m:e>
                            </m:d>
                            <m:r>
                              <m:rPr>
                                <m:sty m:val="p"/>
                              </m:rPr>
                              <w:rPr>
                                <w:rFonts w:ascii="Cambria Math" w:hAnsi="Cambria Math" w:cs="Times New Roman"/>
                                <w:sz w:val="24"/>
                                <w:szCs w:val="24"/>
                              </w:rPr>
                              <m:t>]</m:t>
                            </m:r>
                          </m:e>
                        </m:func>
                      </m:e>
                    </m:nary>
                  </m:e>
                </m:nary>
              </m:oMath>
            </m:oMathPara>
          </w:p>
        </w:tc>
        <w:tc>
          <w:tcPr>
            <w:tcW w:w="808" w:type="pct"/>
            <w:vAlign w:val="center"/>
            <w:hideMark/>
          </w:tcPr>
          <w:p w14:paraId="24C0D513"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Measures irregularity of gray level.</w:t>
            </w:r>
          </w:p>
        </w:tc>
        <w:tc>
          <w:tcPr>
            <w:tcW w:w="807" w:type="pct"/>
            <w:vAlign w:val="center"/>
          </w:tcPr>
          <w:p w14:paraId="14BB11A5"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5FA98425" w14:textId="77777777" w:rsidTr="001F380A">
        <w:tc>
          <w:tcPr>
            <w:tcW w:w="606" w:type="pct"/>
            <w:vMerge/>
            <w:vAlign w:val="center"/>
            <w:hideMark/>
          </w:tcPr>
          <w:p w14:paraId="1B58BE1E"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368248A2"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Homogeneity</w:t>
            </w:r>
          </w:p>
        </w:tc>
        <w:tc>
          <w:tcPr>
            <w:tcW w:w="1780" w:type="pct"/>
            <w:vAlign w:val="center"/>
            <w:hideMark/>
          </w:tcPr>
          <w:p w14:paraId="3F29507C"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Homogeneity=</m:t>
                </m:r>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j=1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f>
                          <m:fPr>
                            <m:ctrlPr>
                              <w:rPr>
                                <w:rFonts w:ascii="Cambria Math" w:hAnsi="Cambria Math" w:cs="Times New Roman"/>
                                <w:sz w:val="24"/>
                                <w:szCs w:val="24"/>
                              </w:rPr>
                            </m:ctrlPr>
                          </m:fPr>
                          <m:num>
                            <m:r>
                              <m:rPr>
                                <m:sty m:val="b"/>
                              </m:rPr>
                              <w:rPr>
                                <w:rFonts w:ascii="Cambria Math" w:hAnsi="Cambria Math" w:cs="Times New Roman"/>
                                <w:sz w:val="24"/>
                                <w:szCs w:val="24"/>
                              </w:rPr>
                              <m:t>P</m:t>
                            </m:r>
                            <m:d>
                              <m:dPr>
                                <m:ctrlPr>
                                  <w:rPr>
                                    <w:rFonts w:ascii="Cambria Math" w:hAnsi="Cambria Math" w:cs="Times New Roman"/>
                                    <w:sz w:val="24"/>
                                    <w:szCs w:val="24"/>
                                  </w:rPr>
                                </m:ctrlPr>
                              </m:dPr>
                              <m:e>
                                <m:r>
                                  <m:rPr>
                                    <m:sty m:val="p"/>
                                  </m:rPr>
                                  <w:rPr>
                                    <w:rFonts w:ascii="Cambria Math" w:hAnsi="Cambria Math" w:cs="Times New Roman"/>
                                    <w:sz w:val="24"/>
                                    <w:szCs w:val="24"/>
                                  </w:rPr>
                                  <m:t>i,j</m:t>
                                </m:r>
                              </m:e>
                            </m:d>
                          </m:num>
                          <m:den>
                            <m:r>
                              <m:rPr>
                                <m:sty m:val="p"/>
                              </m:rPr>
                              <w:rPr>
                                <w:rFonts w:ascii="Cambria Math" w:hAnsi="Cambria Math" w:cs="Times New Roman"/>
                                <w:sz w:val="24"/>
                                <w:szCs w:val="24"/>
                              </w:rPr>
                              <m:t>1+</m:t>
                            </m:r>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i-j</m:t>
                                </m:r>
                              </m:e>
                            </m:d>
                          </m:den>
                        </m:f>
                      </m:e>
                    </m:nary>
                  </m:e>
                </m:nary>
              </m:oMath>
            </m:oMathPara>
          </w:p>
        </w:tc>
        <w:tc>
          <w:tcPr>
            <w:tcW w:w="808" w:type="pct"/>
            <w:vAlign w:val="center"/>
            <w:hideMark/>
          </w:tcPr>
          <w:p w14:paraId="2F017286"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Measures closeness of gray-level.</w:t>
            </w:r>
          </w:p>
        </w:tc>
        <w:tc>
          <w:tcPr>
            <w:tcW w:w="807" w:type="pct"/>
            <w:vAlign w:val="center"/>
          </w:tcPr>
          <w:p w14:paraId="65935179"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155C6670" w14:textId="77777777" w:rsidTr="001F380A">
        <w:trPr>
          <w:trHeight w:val="1118"/>
        </w:trPr>
        <w:tc>
          <w:tcPr>
            <w:tcW w:w="606" w:type="pct"/>
            <w:vMerge/>
            <w:vAlign w:val="center"/>
            <w:hideMark/>
          </w:tcPr>
          <w:p w14:paraId="053F5C95"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hideMark/>
          </w:tcPr>
          <w:p w14:paraId="6ACF6B23"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Informational measure of correlation</w:t>
            </w:r>
          </w:p>
        </w:tc>
        <w:tc>
          <w:tcPr>
            <w:tcW w:w="1780" w:type="pct"/>
            <w:vAlign w:val="center"/>
            <w:hideMark/>
          </w:tcPr>
          <w:p w14:paraId="324E0198"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IMC=HXY-</m:t>
                </m:r>
                <m:f>
                  <m:fPr>
                    <m:ctrlPr>
                      <w:rPr>
                        <w:rFonts w:ascii="Cambria Math" w:hAnsi="Cambria Math" w:cs="Times New Roman"/>
                        <w:sz w:val="24"/>
                        <w:szCs w:val="24"/>
                      </w:rPr>
                    </m:ctrlPr>
                  </m:fPr>
                  <m:num>
                    <m:r>
                      <m:rPr>
                        <m:sty m:val="p"/>
                      </m:rPr>
                      <w:rPr>
                        <w:rFonts w:ascii="Cambria Math" w:hAnsi="Cambria Math" w:cs="Times New Roman"/>
                        <w:sz w:val="24"/>
                        <w:szCs w:val="24"/>
                      </w:rPr>
                      <m:t>HXY1</m:t>
                    </m:r>
                  </m:num>
                  <m:den>
                    <m:r>
                      <m:rPr>
                        <m:sty m:val="p"/>
                      </m:rPr>
                      <w:rPr>
                        <w:rFonts w:ascii="Cambria Math" w:hAnsi="Cambria Math" w:cs="Times New Roman"/>
                        <w:sz w:val="24"/>
                        <w:szCs w:val="24"/>
                      </w:rPr>
                      <m:t>max⁡</m:t>
                    </m:r>
                    <m:r>
                      <w:rPr>
                        <w:rFonts w:ascii="Cambria Math" w:hAnsi="Cambria Math" w:cs="Times New Roman"/>
                        <w:sz w:val="24"/>
                        <w:szCs w:val="24"/>
                      </w:rPr>
                      <m:t>{HX,HY}</m:t>
                    </m:r>
                  </m:den>
                </m:f>
              </m:oMath>
            </m:oMathPara>
          </w:p>
        </w:tc>
        <w:tc>
          <w:tcPr>
            <w:tcW w:w="808" w:type="pct"/>
            <w:vAlign w:val="center"/>
          </w:tcPr>
          <w:p w14:paraId="75A00300"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Secondary measure of Homogeneity</w:t>
            </w:r>
          </w:p>
        </w:tc>
        <w:tc>
          <w:tcPr>
            <w:tcW w:w="807" w:type="pct"/>
            <w:vAlign w:val="center"/>
          </w:tcPr>
          <w:p w14:paraId="16A00E97"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52307284" w14:textId="77777777" w:rsidTr="001F380A">
        <w:trPr>
          <w:trHeight w:val="1118"/>
        </w:trPr>
        <w:tc>
          <w:tcPr>
            <w:tcW w:w="606" w:type="pct"/>
            <w:vMerge/>
            <w:vAlign w:val="center"/>
          </w:tcPr>
          <w:p w14:paraId="14D29747" w14:textId="77777777" w:rsidR="00C635FF" w:rsidRPr="00821999" w:rsidRDefault="00C635FF" w:rsidP="001F380A">
            <w:pPr>
              <w:spacing w:after="0"/>
              <w:jc w:val="center"/>
              <w:rPr>
                <w:rFonts w:ascii="Times New Roman" w:hAnsi="Times New Roman" w:cs="Times New Roman"/>
                <w:b/>
                <w:sz w:val="24"/>
                <w:szCs w:val="24"/>
              </w:rPr>
            </w:pPr>
          </w:p>
        </w:tc>
        <w:tc>
          <w:tcPr>
            <w:tcW w:w="999" w:type="pct"/>
            <w:vAlign w:val="center"/>
          </w:tcPr>
          <w:p w14:paraId="6E02484C"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Variance</w:t>
            </w:r>
          </w:p>
        </w:tc>
        <w:tc>
          <w:tcPr>
            <w:tcW w:w="1780" w:type="pct"/>
            <w:vAlign w:val="center"/>
          </w:tcPr>
          <w:p w14:paraId="689C6CB7"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hAnsi="Cambria Math" w:cs="Times New Roman"/>
                    <w:sz w:val="24"/>
                    <w:szCs w:val="24"/>
                  </w:rPr>
                  <m:t>Variance=</m:t>
                </m:r>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j=1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i-</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x</m:t>
                                    </m:r>
                                  </m:sub>
                                </m:sSub>
                              </m:e>
                            </m:d>
                          </m:e>
                          <m:sup>
                            <m:r>
                              <w:rPr>
                                <w:rFonts w:ascii="Cambria Math" w:hAnsi="Cambria Math" w:cs="Times New Roman"/>
                                <w:sz w:val="24"/>
                                <w:szCs w:val="24"/>
                              </w:rPr>
                              <m:t>2</m:t>
                            </m:r>
                          </m:sup>
                        </m:sSup>
                        <m:r>
                          <w:rPr>
                            <w:rFonts w:ascii="Cambria Math" w:hAnsi="Cambria Math" w:cs="Times New Roman"/>
                            <w:sz w:val="24"/>
                            <w:szCs w:val="24"/>
                          </w:rPr>
                          <m:t>P(i,j)</m:t>
                        </m:r>
                      </m:e>
                    </m:nary>
                  </m:e>
                </m:nary>
              </m:oMath>
            </m:oMathPara>
          </w:p>
        </w:tc>
        <w:tc>
          <w:tcPr>
            <w:tcW w:w="808" w:type="pct"/>
            <w:vAlign w:val="center"/>
          </w:tcPr>
          <w:p w14:paraId="540391E7"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 xml:space="preserve">Measures </w:t>
            </w:r>
            <w:r w:rsidRPr="00821999">
              <w:rPr>
                <w:rFonts w:ascii="Times New Roman" w:hAnsi="Times New Roman" w:cs="Times New Roman"/>
                <w:sz w:val="24"/>
                <w:szCs w:val="24"/>
                <w:shd w:val="clear" w:color="auto" w:fill="FFFFFF"/>
              </w:rPr>
              <w:t>dispersion of the parameter values around the mean of the combinations of reference and neighborhood pixels</w:t>
            </w:r>
          </w:p>
        </w:tc>
        <w:tc>
          <w:tcPr>
            <w:tcW w:w="807" w:type="pct"/>
            <w:vAlign w:val="center"/>
          </w:tcPr>
          <w:p w14:paraId="28013A90"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511C97D1" w14:textId="77777777" w:rsidTr="001F380A">
        <w:trPr>
          <w:trHeight w:val="1118"/>
        </w:trPr>
        <w:tc>
          <w:tcPr>
            <w:tcW w:w="606" w:type="pct"/>
            <w:vMerge/>
            <w:tcBorders>
              <w:bottom w:val="single" w:sz="12" w:space="0" w:color="auto"/>
            </w:tcBorders>
            <w:vAlign w:val="center"/>
          </w:tcPr>
          <w:p w14:paraId="27A60161" w14:textId="77777777" w:rsidR="00C635FF" w:rsidRPr="00821999" w:rsidRDefault="00C635FF" w:rsidP="001F380A">
            <w:pPr>
              <w:spacing w:after="0"/>
              <w:jc w:val="center"/>
              <w:rPr>
                <w:rFonts w:ascii="Times New Roman" w:hAnsi="Times New Roman" w:cs="Times New Roman"/>
                <w:b/>
                <w:sz w:val="24"/>
                <w:szCs w:val="24"/>
              </w:rPr>
            </w:pPr>
          </w:p>
        </w:tc>
        <w:tc>
          <w:tcPr>
            <w:tcW w:w="4394" w:type="pct"/>
            <w:gridSpan w:val="4"/>
            <w:tcBorders>
              <w:bottom w:val="single" w:sz="12" w:space="0" w:color="auto"/>
            </w:tcBorders>
            <w:vAlign w:val="center"/>
          </w:tcPr>
          <w:p w14:paraId="268FAE65" w14:textId="77777777" w:rsidR="00C635FF" w:rsidRPr="00821999" w:rsidRDefault="00C635FF" w:rsidP="001F380A">
            <w:pPr>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m:rPr>
                  <m:sty m:val="b"/>
                </m:rPr>
                <w:rPr>
                  <w:rFonts w:ascii="Cambria Math" w:hAnsi="Cambria Math" w:cs="Times New Roman"/>
                  <w:sz w:val="24"/>
                  <w:szCs w:val="24"/>
                </w:rPr>
                <m:t>P</m:t>
              </m:r>
              <m:d>
                <m:dPr>
                  <m:ctrlPr>
                    <w:rPr>
                      <w:rFonts w:ascii="Cambria Math" w:hAnsi="Cambria Math" w:cs="Times New Roman"/>
                      <w:sz w:val="24"/>
                      <w:szCs w:val="24"/>
                    </w:rPr>
                  </m:ctrlPr>
                </m:dPr>
                <m:e>
                  <m:r>
                    <m:rPr>
                      <m:sty m:val="p"/>
                    </m:rPr>
                    <w:rPr>
                      <w:rFonts w:ascii="Cambria Math" w:hAnsi="Cambria Math" w:cs="Times New Roman"/>
                      <w:sz w:val="24"/>
                      <w:szCs w:val="24"/>
                    </w:rPr>
                    <m:t>i,j</m:t>
                  </m:r>
                </m:e>
              </m:d>
              <m:r>
                <m:rPr>
                  <m:sty m:val="p"/>
                </m:rPr>
                <w:rPr>
                  <w:rFonts w:ascii="Cambria Math" w:hAnsi="Cambria Math" w:cs="Times New Roman"/>
                  <w:sz w:val="24"/>
                  <w:szCs w:val="24"/>
                </w:rPr>
                <m:t xml:space="preserve"> </m:t>
              </m:r>
            </m:oMath>
            <w:r w:rsidRPr="00821999">
              <w:rPr>
                <w:rFonts w:ascii="Times New Roman" w:hAnsi="Times New Roman" w:cs="Times New Roman"/>
                <w:sz w:val="24"/>
                <w:szCs w:val="24"/>
              </w:rPr>
              <w:t>is the gray level co-occurrence matrix for (</w:t>
            </w:r>
            <m:oMath>
              <m:r>
                <m:rPr>
                  <m:sty m:val="p"/>
                </m:rPr>
                <w:rPr>
                  <w:rFonts w:ascii="Cambria Math" w:hAnsi="Cambria Math" w:cs="Times New Roman"/>
                  <w:sz w:val="24"/>
                  <w:szCs w:val="24"/>
                </w:rPr>
                <m:t>δ=1, α=0)</m:t>
              </m:r>
            </m:oMath>
            <w:r w:rsidRPr="00821999">
              <w:rPr>
                <w:rFonts w:ascii="Times New Roman" w:hAnsi="Times New Roman" w:cs="Times New Roman"/>
                <w:sz w:val="24"/>
                <w:szCs w:val="24"/>
              </w:rPr>
              <w:t>,</w:t>
            </w:r>
          </w:p>
          <w:p w14:paraId="71222F75" w14:textId="77777777" w:rsidR="00C635FF" w:rsidRPr="00821999" w:rsidRDefault="00857441" w:rsidP="001F380A">
            <w:pPr>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r>
                <m:rPr>
                  <m:sty m:val="p"/>
                </m:rPr>
                <w:rPr>
                  <w:rFonts w:ascii="Cambria Math" w:hAnsi="Cambria Math" w:cs="Times New Roman"/>
                  <w:sz w:val="24"/>
                  <w:szCs w:val="24"/>
                </w:rPr>
                <m:t xml:space="preserve"> </m:t>
              </m:r>
            </m:oMath>
            <w:r w:rsidR="00C635FF" w:rsidRPr="00821999">
              <w:rPr>
                <w:rFonts w:ascii="Times New Roman" w:hAnsi="Times New Roman" w:cs="Times New Roman"/>
                <w:sz w:val="24"/>
                <w:szCs w:val="24"/>
              </w:rPr>
              <w:t>is the number of discrete intensity value in the image,</w:t>
            </w:r>
            <m:oMath>
              <m:r>
                <m:rPr>
                  <m:sty m:val="p"/>
                </m:rPr>
                <w:rPr>
                  <w:rFonts w:ascii="Cambria Math" w:hAnsi="Cambria Math" w:cs="Times New Roman"/>
                  <w:sz w:val="24"/>
                  <w:szCs w:val="24"/>
                </w:rPr>
                <m:t xml:space="preserve"> </m:t>
              </m:r>
            </m:oMath>
          </w:p>
          <w:p w14:paraId="47838261" w14:textId="77777777" w:rsidR="00C635FF" w:rsidRPr="00821999" w:rsidRDefault="00C635FF" w:rsidP="001F380A">
            <w:pPr>
              <w:jc w:val="center"/>
              <w:rPr>
                <w:rFonts w:ascii="Times New Roman" w:hAnsi="Times New Roman" w:cs="Times New Roman"/>
                <w:sz w:val="24"/>
                <w:szCs w:val="24"/>
              </w:rPr>
            </w:pPr>
            <m:oMath>
              <m:r>
                <m:rPr>
                  <m:sty m:val="p"/>
                </m:rPr>
                <w:rPr>
                  <w:rFonts w:ascii="Cambria Math" w:hAnsi="Cambria Math" w:cs="Times New Roman"/>
                  <w:sz w:val="24"/>
                  <w:szCs w:val="24"/>
                </w:rPr>
                <m:t>N</m:t>
              </m:r>
            </m:oMath>
            <w:r w:rsidRPr="00821999">
              <w:rPr>
                <w:rFonts w:ascii="Times New Roman" w:hAnsi="Times New Roman" w:cs="Times New Roman"/>
                <w:sz w:val="24"/>
                <w:szCs w:val="24"/>
              </w:rPr>
              <w:t xml:space="preserve"> is the number of voxels in the ROI,</w:t>
            </w:r>
          </w:p>
          <w:p w14:paraId="1B2DAC37" w14:textId="77777777" w:rsidR="00C635FF" w:rsidRPr="00821999" w:rsidRDefault="00C635FF" w:rsidP="001F380A">
            <w:pPr>
              <w:jc w:val="center"/>
              <w:rPr>
                <w:rFonts w:ascii="Times New Roman" w:hAnsi="Times New Roman" w:cs="Times New Roman"/>
                <w:sz w:val="24"/>
                <w:szCs w:val="24"/>
              </w:rPr>
            </w:pPr>
            <m:oMath>
              <m:r>
                <m:rPr>
                  <m:sty m:val="p"/>
                </m:rPr>
                <w:rPr>
                  <w:rFonts w:ascii="Cambria Math" w:hAnsi="Cambria Math" w:cs="Times New Roman"/>
                  <w:sz w:val="24"/>
                  <w:szCs w:val="24"/>
                </w:rPr>
                <w:lastRenderedPageBreak/>
                <m:t>μ</m:t>
              </m:r>
            </m:oMath>
            <w:r w:rsidRPr="00821999">
              <w:rPr>
                <w:rFonts w:ascii="Times New Roman" w:hAnsi="Times New Roman" w:cs="Times New Roman"/>
                <w:sz w:val="24"/>
                <w:szCs w:val="24"/>
              </w:rPr>
              <w:t xml:space="preserve"> is the mean of </w:t>
            </w:r>
            <m:oMath>
              <m:r>
                <m:rPr>
                  <m:sty m:val="b"/>
                </m:rPr>
                <w:rPr>
                  <w:rFonts w:ascii="Cambria Math" w:hAnsi="Cambria Math" w:cs="Times New Roman"/>
                  <w:sz w:val="24"/>
                  <w:szCs w:val="24"/>
                </w:rPr>
                <m:t>P</m:t>
              </m:r>
              <m:d>
                <m:dPr>
                  <m:ctrlPr>
                    <w:rPr>
                      <w:rFonts w:ascii="Cambria Math" w:hAnsi="Cambria Math" w:cs="Times New Roman"/>
                      <w:sz w:val="24"/>
                      <w:szCs w:val="24"/>
                    </w:rPr>
                  </m:ctrlPr>
                </m:dPr>
                <m:e>
                  <m:r>
                    <m:rPr>
                      <m:sty m:val="p"/>
                    </m:rPr>
                    <w:rPr>
                      <w:rFonts w:ascii="Cambria Math" w:hAnsi="Cambria Math" w:cs="Times New Roman"/>
                      <w:sz w:val="24"/>
                      <w:szCs w:val="24"/>
                    </w:rPr>
                    <m:t>i,j</m:t>
                  </m:r>
                </m:e>
              </m:d>
              <m:r>
                <m:rPr>
                  <m:sty m:val="p"/>
                </m:rPr>
                <w:rPr>
                  <w:rFonts w:ascii="Cambria Math" w:hAnsi="Cambria Math" w:cs="Times New Roman"/>
                  <w:sz w:val="24"/>
                  <w:szCs w:val="24"/>
                </w:rPr>
                <m:t>,</m:t>
              </m:r>
            </m:oMath>
          </w:p>
          <w:p w14:paraId="42347FD0" w14:textId="77777777" w:rsidR="00C635FF" w:rsidRPr="00821999" w:rsidRDefault="00857441" w:rsidP="001F380A">
            <w:pPr>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x</m:t>
                  </m:r>
                </m:sub>
              </m:sSub>
              <m:d>
                <m:dPr>
                  <m:ctrlPr>
                    <w:rPr>
                      <w:rFonts w:ascii="Cambria Math" w:hAnsi="Cambria Math" w:cs="Times New Roman"/>
                      <w:sz w:val="24"/>
                      <w:szCs w:val="24"/>
                    </w:rPr>
                  </m:ctrlPr>
                </m:dPr>
                <m:e>
                  <m:r>
                    <m:rPr>
                      <m:sty m:val="p"/>
                    </m:rPr>
                    <w:rPr>
                      <w:rFonts w:ascii="Cambria Math" w:hAnsi="Cambria Math" w:cs="Times New Roman"/>
                      <w:sz w:val="24"/>
                      <w:szCs w:val="24"/>
                    </w:rPr>
                    <m:t>i</m:t>
                  </m:r>
                </m:e>
              </m:d>
              <m:r>
                <m:rPr>
                  <m:sty m:val="p"/>
                </m:rPr>
                <w:rPr>
                  <w:rFonts w:ascii="Cambria Math" w:hAnsi="Cambria Math" w:cs="Times New Roman"/>
                  <w:sz w:val="24"/>
                  <w:szCs w:val="24"/>
                </w:rPr>
                <m:t>=</m:t>
              </m:r>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j=1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r>
                    <m:rPr>
                      <m:sty m:val="b"/>
                    </m:rPr>
                    <w:rPr>
                      <w:rFonts w:ascii="Cambria Math" w:hAnsi="Cambria Math" w:cs="Times New Roman"/>
                      <w:sz w:val="24"/>
                      <w:szCs w:val="24"/>
                    </w:rPr>
                    <m:t>P</m:t>
                  </m:r>
                  <m:r>
                    <m:rPr>
                      <m:sty m:val="p"/>
                    </m:rPr>
                    <w:rPr>
                      <w:rFonts w:ascii="Cambria Math" w:hAnsi="Cambria Math" w:cs="Times New Roman"/>
                      <w:sz w:val="24"/>
                      <w:szCs w:val="24"/>
                    </w:rPr>
                    <m:t>(i,j)</m:t>
                  </m:r>
                </m:e>
              </m:nary>
            </m:oMath>
            <w:r w:rsidR="00C635FF" w:rsidRPr="00821999">
              <w:rPr>
                <w:rFonts w:ascii="Times New Roman" w:hAnsi="Times New Roman" w:cs="Times New Roman"/>
                <w:sz w:val="24"/>
                <w:szCs w:val="24"/>
              </w:rPr>
              <w:t xml:space="preserve"> is the marginal row </w:t>
            </w:r>
            <w:proofErr w:type="gramStart"/>
            <w:r w:rsidR="00C635FF" w:rsidRPr="00821999">
              <w:rPr>
                <w:rFonts w:ascii="Times New Roman" w:hAnsi="Times New Roman" w:cs="Times New Roman"/>
                <w:sz w:val="24"/>
                <w:szCs w:val="24"/>
              </w:rPr>
              <w:t>probabilities,</w:t>
            </w:r>
            <w:proofErr w:type="gramEnd"/>
          </w:p>
          <w:p w14:paraId="7318337D" w14:textId="77777777" w:rsidR="00C635FF" w:rsidRPr="00821999" w:rsidRDefault="00857441" w:rsidP="001F380A">
            <w:pPr>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y</m:t>
                  </m:r>
                </m:sub>
              </m:sSub>
              <m:d>
                <m:dPr>
                  <m:ctrlPr>
                    <w:rPr>
                      <w:rFonts w:ascii="Cambria Math" w:hAnsi="Cambria Math" w:cs="Times New Roman"/>
                      <w:sz w:val="24"/>
                      <w:szCs w:val="24"/>
                    </w:rPr>
                  </m:ctrlPr>
                </m:dPr>
                <m:e>
                  <m:r>
                    <m:rPr>
                      <m:sty m:val="p"/>
                    </m:rPr>
                    <w:rPr>
                      <w:rFonts w:ascii="Cambria Math" w:hAnsi="Cambria Math" w:cs="Times New Roman"/>
                      <w:sz w:val="24"/>
                      <w:szCs w:val="24"/>
                    </w:rPr>
                    <m:t>i</m:t>
                  </m:r>
                </m:e>
              </m:d>
              <m:r>
                <m:rPr>
                  <m:sty m:val="p"/>
                </m:rPr>
                <w:rPr>
                  <w:rFonts w:ascii="Cambria Math" w:hAnsi="Cambria Math" w:cs="Times New Roman"/>
                  <w:sz w:val="24"/>
                  <w:szCs w:val="24"/>
                </w:rPr>
                <m:t>=</m:t>
              </m:r>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r>
                    <m:rPr>
                      <m:sty m:val="b"/>
                    </m:rPr>
                    <w:rPr>
                      <w:rFonts w:ascii="Cambria Math" w:hAnsi="Cambria Math" w:cs="Times New Roman"/>
                      <w:sz w:val="24"/>
                      <w:szCs w:val="24"/>
                    </w:rPr>
                    <m:t>P</m:t>
                  </m:r>
                  <m:r>
                    <m:rPr>
                      <m:sty m:val="p"/>
                    </m:rPr>
                    <w:rPr>
                      <w:rFonts w:ascii="Cambria Math" w:hAnsi="Cambria Math" w:cs="Times New Roman"/>
                      <w:sz w:val="24"/>
                      <w:szCs w:val="24"/>
                    </w:rPr>
                    <m:t>(i,j)</m:t>
                  </m:r>
                </m:e>
              </m:nary>
            </m:oMath>
            <w:r w:rsidR="00C635FF" w:rsidRPr="00821999">
              <w:rPr>
                <w:rFonts w:ascii="Times New Roman" w:hAnsi="Times New Roman" w:cs="Times New Roman"/>
                <w:sz w:val="24"/>
                <w:szCs w:val="24"/>
              </w:rPr>
              <w:t xml:space="preserve"> is the marginal column </w:t>
            </w:r>
            <w:proofErr w:type="gramStart"/>
            <w:r w:rsidR="00C635FF" w:rsidRPr="00821999">
              <w:rPr>
                <w:rFonts w:ascii="Times New Roman" w:hAnsi="Times New Roman" w:cs="Times New Roman"/>
                <w:sz w:val="24"/>
                <w:szCs w:val="24"/>
              </w:rPr>
              <w:t>probabilities,</w:t>
            </w:r>
            <w:proofErr w:type="gramEnd"/>
          </w:p>
          <w:p w14:paraId="027C35F4" w14:textId="77777777" w:rsidR="00C635FF" w:rsidRPr="00821999" w:rsidRDefault="00857441" w:rsidP="001F380A">
            <w:pPr>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μ</m:t>
                  </m:r>
                </m:e>
                <m:sub>
                  <m:r>
                    <m:rPr>
                      <m:sty m:val="p"/>
                    </m:rPr>
                    <w:rPr>
                      <w:rFonts w:ascii="Cambria Math" w:hAnsi="Cambria Math" w:cs="Times New Roman"/>
                      <w:sz w:val="24"/>
                      <w:szCs w:val="24"/>
                    </w:rPr>
                    <m:t>x</m:t>
                  </m:r>
                </m:sub>
              </m:sSub>
            </m:oMath>
            <w:r w:rsidR="00C635FF" w:rsidRPr="00821999">
              <w:rPr>
                <w:rFonts w:ascii="Times New Roman" w:hAnsi="Times New Roman" w:cs="Times New Roman"/>
                <w:sz w:val="24"/>
                <w:szCs w:val="24"/>
              </w:rPr>
              <w:t xml:space="preserve"> is the expected value of marginal row probability,</w:t>
            </w:r>
          </w:p>
          <w:p w14:paraId="722E88B6" w14:textId="77777777" w:rsidR="00C635FF" w:rsidRPr="00821999" w:rsidRDefault="00857441" w:rsidP="001F380A">
            <w:pPr>
              <w:jc w:val="center"/>
              <w:rPr>
                <w:rFonts w:ascii="Times New Roman" w:hAnsi="Times New Roman" w:cs="Times New Roman"/>
                <w:strike/>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μ</m:t>
                  </m:r>
                </m:e>
                <m:sub>
                  <m:r>
                    <w:rPr>
                      <w:rFonts w:ascii="Cambria Math" w:hAnsi="Cambria Math" w:cs="Times New Roman"/>
                      <w:sz w:val="24"/>
                      <w:szCs w:val="24"/>
                    </w:rPr>
                    <m:t>y</m:t>
                  </m:r>
                </m:sub>
              </m:sSub>
            </m:oMath>
            <w:r w:rsidR="00C635FF" w:rsidRPr="00821999">
              <w:rPr>
                <w:rFonts w:ascii="Times New Roman" w:hAnsi="Times New Roman" w:cs="Times New Roman"/>
                <w:sz w:val="24"/>
                <w:szCs w:val="24"/>
              </w:rPr>
              <w:t xml:space="preserve"> is the expected value of marginal column probability,</w:t>
            </w:r>
          </w:p>
          <w:p w14:paraId="7E3F9B5D" w14:textId="77777777" w:rsidR="00C635FF" w:rsidRPr="00821999" w:rsidRDefault="00857441" w:rsidP="001F380A">
            <w:pPr>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σ</m:t>
                  </m:r>
                </m:e>
                <m:sub>
                  <m:r>
                    <m:rPr>
                      <m:sty m:val="p"/>
                    </m:rPr>
                    <w:rPr>
                      <w:rFonts w:ascii="Cambria Math" w:hAnsi="Cambria Math" w:cs="Times New Roman"/>
                      <w:sz w:val="24"/>
                      <w:szCs w:val="24"/>
                    </w:rPr>
                    <m:t>x</m:t>
                  </m:r>
                </m:sub>
              </m:sSub>
            </m:oMath>
            <w:r w:rsidR="00C635FF" w:rsidRPr="00821999">
              <w:rPr>
                <w:rFonts w:ascii="Times New Roman" w:hAnsi="Times New Roman" w:cs="Times New Roman"/>
                <w:sz w:val="24"/>
                <w:szCs w:val="24"/>
              </w:rPr>
              <w:t xml:space="preserve"> is the standard deviation of </w:t>
            </w:r>
            <m:oMath>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x</m:t>
                  </m:r>
                </m:sub>
              </m:sSub>
            </m:oMath>
            <w:r w:rsidR="00C635FF" w:rsidRPr="00821999">
              <w:rPr>
                <w:rFonts w:ascii="Times New Roman" w:hAnsi="Times New Roman" w:cs="Times New Roman"/>
                <w:sz w:val="24"/>
                <w:szCs w:val="24"/>
              </w:rPr>
              <w:t>,</w:t>
            </w:r>
          </w:p>
          <w:p w14:paraId="69382942" w14:textId="77777777" w:rsidR="00C635FF" w:rsidRPr="00821999" w:rsidRDefault="00857441" w:rsidP="001F380A">
            <w:pPr>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σ</m:t>
                  </m:r>
                </m:e>
                <m:sub>
                  <m:r>
                    <m:rPr>
                      <m:sty m:val="p"/>
                    </m:rPr>
                    <w:rPr>
                      <w:rFonts w:ascii="Cambria Math" w:hAnsi="Cambria Math" w:cs="Times New Roman"/>
                      <w:sz w:val="24"/>
                      <w:szCs w:val="24"/>
                    </w:rPr>
                    <m:t>y</m:t>
                  </m:r>
                </m:sub>
              </m:sSub>
            </m:oMath>
            <w:r w:rsidR="00C635FF" w:rsidRPr="00821999">
              <w:rPr>
                <w:rFonts w:ascii="Times New Roman" w:hAnsi="Times New Roman" w:cs="Times New Roman"/>
                <w:sz w:val="24"/>
                <w:szCs w:val="24"/>
              </w:rPr>
              <w:t xml:space="preserve"> is the standard deviation of </w:t>
            </w:r>
            <m:oMath>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y</m:t>
                  </m:r>
                </m:sub>
              </m:sSub>
            </m:oMath>
            <w:r w:rsidR="00C635FF" w:rsidRPr="00821999">
              <w:rPr>
                <w:rFonts w:ascii="Times New Roman" w:hAnsi="Times New Roman" w:cs="Times New Roman"/>
                <w:sz w:val="24"/>
                <w:szCs w:val="24"/>
              </w:rPr>
              <w:t>,</w:t>
            </w:r>
          </w:p>
          <w:p w14:paraId="2A93A72A" w14:textId="77777777" w:rsidR="00C635FF" w:rsidRPr="00821999" w:rsidRDefault="00857441" w:rsidP="001F380A">
            <w:pPr>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x+y</m:t>
                  </m:r>
                </m:sub>
              </m:sSub>
              <m:d>
                <m:dPr>
                  <m:ctrlPr>
                    <w:rPr>
                      <w:rFonts w:ascii="Cambria Math" w:hAnsi="Cambria Math" w:cs="Times New Roman"/>
                      <w:sz w:val="24"/>
                      <w:szCs w:val="24"/>
                    </w:rPr>
                  </m:ctrlPr>
                </m:dPr>
                <m:e>
                  <m:r>
                    <m:rPr>
                      <m:sty m:val="p"/>
                    </m:rPr>
                    <w:rPr>
                      <w:rFonts w:ascii="Cambria Math" w:hAnsi="Cambria Math" w:cs="Times New Roman"/>
                      <w:sz w:val="24"/>
                      <w:szCs w:val="24"/>
                    </w:rPr>
                    <m:t>k</m:t>
                  </m:r>
                </m:e>
              </m:d>
              <m:r>
                <m:rPr>
                  <m:sty m:val="p"/>
                </m:rPr>
                <w:rPr>
                  <w:rFonts w:ascii="Cambria Math" w:hAnsi="Cambria Math" w:cs="Times New Roman"/>
                  <w:sz w:val="24"/>
                  <w:szCs w:val="24"/>
                </w:rPr>
                <m:t>=</m:t>
              </m:r>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j=1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r>
                        <m:rPr>
                          <m:sty m:val="b"/>
                        </m:rPr>
                        <w:rPr>
                          <w:rFonts w:ascii="Cambria Math" w:hAnsi="Cambria Math" w:cs="Times New Roman"/>
                          <w:sz w:val="24"/>
                          <w:szCs w:val="24"/>
                        </w:rPr>
                        <m:t>P</m:t>
                      </m:r>
                      <m:d>
                        <m:dPr>
                          <m:ctrlPr>
                            <w:rPr>
                              <w:rFonts w:ascii="Cambria Math" w:hAnsi="Cambria Math" w:cs="Times New Roman"/>
                              <w:sz w:val="24"/>
                              <w:szCs w:val="24"/>
                            </w:rPr>
                          </m:ctrlPr>
                        </m:dPr>
                        <m:e>
                          <m:r>
                            <m:rPr>
                              <m:sty m:val="p"/>
                            </m:rPr>
                            <w:rPr>
                              <w:rFonts w:ascii="Cambria Math" w:hAnsi="Cambria Math" w:cs="Times New Roman"/>
                              <w:sz w:val="24"/>
                              <w:szCs w:val="24"/>
                            </w:rPr>
                            <m:t>i,j</m:t>
                          </m:r>
                        </m:e>
                      </m:d>
                    </m:e>
                  </m:nary>
                </m:e>
              </m:nary>
              <m:r>
                <m:rPr>
                  <m:sty m:val="p"/>
                </m:rPr>
                <w:rPr>
                  <w:rFonts w:ascii="Cambria Math" w:hAnsi="Cambria Math" w:cs="Times New Roman"/>
                  <w:sz w:val="24"/>
                  <w:szCs w:val="24"/>
                </w:rPr>
                <m:t xml:space="preserve"> , i+j=k, k=2,3,</m:t>
              </m:r>
              <m:r>
                <m:rPr>
                  <m:sty m:val="p"/>
                </m:rPr>
                <w:rPr>
                  <w:rFonts w:ascii="Cambria Math" w:eastAsia="맑은 고딕" w:hAnsi="Cambria Math" w:cs="Times New Roman"/>
                  <w:sz w:val="24"/>
                  <w:szCs w:val="24"/>
                </w:rPr>
                <m:t>…</m:t>
              </m:r>
              <m:r>
                <m:rPr>
                  <m:sty m:val="p"/>
                </m:rPr>
                <w:rPr>
                  <w:rFonts w:ascii="Cambria Math" w:hAnsi="Cambria Math" w:cs="Times New Roman"/>
                  <w:sz w:val="24"/>
                  <w:szCs w:val="24"/>
                </w:rPr>
                <m:t>,2</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oMath>
            <w:r w:rsidR="00C635FF" w:rsidRPr="00821999">
              <w:rPr>
                <w:rFonts w:ascii="Times New Roman" w:hAnsi="Times New Roman" w:cs="Times New Roman"/>
                <w:sz w:val="24"/>
                <w:szCs w:val="24"/>
              </w:rPr>
              <w:t>,</w:t>
            </w:r>
          </w:p>
          <w:p w14:paraId="7D80B618" w14:textId="77777777" w:rsidR="00C635FF" w:rsidRPr="00821999" w:rsidRDefault="00857441" w:rsidP="001F380A">
            <w:pPr>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x-y</m:t>
                  </m:r>
                </m:sub>
              </m:sSub>
              <m:d>
                <m:dPr>
                  <m:ctrlPr>
                    <w:rPr>
                      <w:rFonts w:ascii="Cambria Math" w:hAnsi="Cambria Math" w:cs="Times New Roman"/>
                      <w:sz w:val="24"/>
                      <w:szCs w:val="24"/>
                    </w:rPr>
                  </m:ctrlPr>
                </m:dPr>
                <m:e>
                  <m:r>
                    <m:rPr>
                      <m:sty m:val="p"/>
                    </m:rPr>
                    <w:rPr>
                      <w:rFonts w:ascii="Cambria Math" w:hAnsi="Cambria Math" w:cs="Times New Roman"/>
                      <w:sz w:val="24"/>
                      <w:szCs w:val="24"/>
                    </w:rPr>
                    <m:t>k</m:t>
                  </m:r>
                </m:e>
              </m:d>
              <m:r>
                <m:rPr>
                  <m:sty m:val="p"/>
                </m:rPr>
                <w:rPr>
                  <w:rFonts w:ascii="Cambria Math" w:hAnsi="Cambria Math" w:cs="Times New Roman"/>
                  <w:sz w:val="24"/>
                  <w:szCs w:val="24"/>
                </w:rPr>
                <m:t>=</m:t>
              </m:r>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j=1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r>
                        <m:rPr>
                          <m:sty m:val="b"/>
                        </m:rPr>
                        <w:rPr>
                          <w:rFonts w:ascii="Cambria Math" w:hAnsi="Cambria Math" w:cs="Times New Roman"/>
                          <w:sz w:val="24"/>
                          <w:szCs w:val="24"/>
                        </w:rPr>
                        <m:t>P</m:t>
                      </m:r>
                      <m:d>
                        <m:dPr>
                          <m:ctrlPr>
                            <w:rPr>
                              <w:rFonts w:ascii="Cambria Math" w:hAnsi="Cambria Math" w:cs="Times New Roman"/>
                              <w:sz w:val="24"/>
                              <w:szCs w:val="24"/>
                            </w:rPr>
                          </m:ctrlPr>
                        </m:dPr>
                        <m:e>
                          <m:r>
                            <m:rPr>
                              <m:sty m:val="p"/>
                            </m:rPr>
                            <w:rPr>
                              <w:rFonts w:ascii="Cambria Math" w:hAnsi="Cambria Math" w:cs="Times New Roman"/>
                              <w:sz w:val="24"/>
                              <w:szCs w:val="24"/>
                            </w:rPr>
                            <m:t>i,j</m:t>
                          </m:r>
                        </m:e>
                      </m:d>
                    </m:e>
                  </m:nary>
                </m:e>
              </m:nary>
              <m:r>
                <m:rPr>
                  <m:sty m:val="p"/>
                </m:rPr>
                <w:rPr>
                  <w:rFonts w:ascii="Cambria Math" w:hAnsi="Cambria Math" w:cs="Times New Roman"/>
                  <w:sz w:val="24"/>
                  <w:szCs w:val="24"/>
                </w:rPr>
                <m:t xml:space="preserve"> ,</m:t>
              </m:r>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 xml:space="preserve"> i-j</m:t>
                  </m:r>
                </m:e>
              </m:d>
              <m:r>
                <m:rPr>
                  <m:sty m:val="p"/>
                </m:rPr>
                <w:rPr>
                  <w:rFonts w:ascii="Cambria Math" w:hAnsi="Cambria Math" w:cs="Times New Roman"/>
                  <w:sz w:val="24"/>
                  <w:szCs w:val="24"/>
                </w:rPr>
                <m:t>=k, k=0,1,</m:t>
              </m:r>
              <m:r>
                <m:rPr>
                  <m:sty m:val="p"/>
                </m:rPr>
                <w:rPr>
                  <w:rFonts w:ascii="Cambria Math" w:eastAsia="맑은 고딕" w:hAnsi="Cambria Math" w:cs="Times New Roman"/>
                  <w:sz w:val="24"/>
                  <w:szCs w:val="24"/>
                </w:rPr>
                <m:t>…</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r>
                <m:rPr>
                  <m:sty m:val="p"/>
                </m:rPr>
                <w:rPr>
                  <w:rFonts w:ascii="Cambria Math" w:hAnsi="Cambria Math" w:cs="Times New Roman"/>
                  <w:sz w:val="24"/>
                  <w:szCs w:val="24"/>
                </w:rPr>
                <m:t>-1</m:t>
              </m:r>
            </m:oMath>
            <w:r w:rsidR="00C635FF" w:rsidRPr="00821999">
              <w:rPr>
                <w:rFonts w:ascii="Times New Roman" w:hAnsi="Times New Roman" w:cs="Times New Roman"/>
                <w:sz w:val="24"/>
                <w:szCs w:val="24"/>
              </w:rPr>
              <w:t>,</w:t>
            </w:r>
          </w:p>
          <w:p w14:paraId="4DD6ADA1" w14:textId="77777777" w:rsidR="00C635FF" w:rsidRPr="00821999" w:rsidRDefault="00C635FF" w:rsidP="001F380A">
            <w:pPr>
              <w:jc w:val="center"/>
              <w:rPr>
                <w:rFonts w:ascii="Times New Roman" w:hAnsi="Times New Roman" w:cs="Times New Roman"/>
                <w:sz w:val="24"/>
                <w:szCs w:val="24"/>
              </w:rPr>
            </w:pPr>
            <m:oMath>
              <m:r>
                <m:rPr>
                  <m:sty m:val="p"/>
                </m:rPr>
                <w:rPr>
                  <w:rFonts w:ascii="Cambria Math" w:hAnsi="Cambria Math" w:cs="Times New Roman"/>
                  <w:sz w:val="24"/>
                  <w:szCs w:val="24"/>
                </w:rPr>
                <m:t>HX=-</m:t>
              </m:r>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sSub>
                    <m:sSubPr>
                      <m:ctrlPr>
                        <w:rPr>
                          <w:rFonts w:ascii="Cambria Math" w:hAnsi="Cambria Math" w:cs="Times New Roman"/>
                          <w:sz w:val="24"/>
                          <w:szCs w:val="24"/>
                        </w:rPr>
                      </m:ctrlPr>
                    </m:sSubPr>
                    <m:e>
                      <m:r>
                        <m:rPr>
                          <m:sty m:val="b"/>
                        </m:rPr>
                        <w:rPr>
                          <w:rFonts w:ascii="Cambria Math" w:hAnsi="Cambria Math" w:cs="Times New Roman"/>
                          <w:sz w:val="24"/>
                          <w:szCs w:val="24"/>
                        </w:rPr>
                        <m:t>P</m:t>
                      </m:r>
                    </m:e>
                    <m:sub>
                      <m:r>
                        <m:rPr>
                          <m:sty m:val="p"/>
                        </m:rPr>
                        <w:rPr>
                          <w:rFonts w:ascii="Cambria Math" w:hAnsi="Cambria Math" w:cs="Times New Roman"/>
                          <w:sz w:val="24"/>
                          <w:szCs w:val="24"/>
                        </w:rPr>
                        <m:t>x</m:t>
                      </m:r>
                    </m:sub>
                  </m:sSub>
                  <m:r>
                    <m:rPr>
                      <m:sty m:val="p"/>
                    </m:rPr>
                    <w:rPr>
                      <w:rFonts w:ascii="Cambria Math" w:hAnsi="Cambria Math" w:cs="Times New Roman"/>
                      <w:sz w:val="24"/>
                      <w:szCs w:val="24"/>
                    </w:rPr>
                    <m:t>(i)</m:t>
                  </m:r>
                  <m:func>
                    <m:funcPr>
                      <m:ctrlPr>
                        <w:rPr>
                          <w:rFonts w:ascii="Cambria Math" w:hAnsi="Cambria Math" w:cs="Times New Roman"/>
                          <w:sz w:val="24"/>
                          <w:szCs w:val="24"/>
                        </w:rPr>
                      </m:ctrlPr>
                    </m:funcPr>
                    <m:fName>
                      <m:sSub>
                        <m:sSubPr>
                          <m:ctrlPr>
                            <w:rPr>
                              <w:rFonts w:ascii="Cambria Math" w:hAnsi="Cambria Math" w:cs="Times New Roman"/>
                              <w:sz w:val="24"/>
                              <w:szCs w:val="24"/>
                            </w:rPr>
                          </m:ctrlPr>
                        </m:sSubPr>
                        <m:e>
                          <m:r>
                            <m:rPr>
                              <m:sty m:val="p"/>
                            </m:rPr>
                            <w:rPr>
                              <w:rFonts w:ascii="Cambria Math" w:hAnsi="Cambria Math" w:cs="Times New Roman"/>
                              <w:sz w:val="24"/>
                              <w:szCs w:val="24"/>
                            </w:rPr>
                            <m:t>log</m:t>
                          </m:r>
                        </m:e>
                        <m:sub>
                          <m:r>
                            <m:rPr>
                              <m:sty m:val="p"/>
                            </m:rPr>
                            <w:rPr>
                              <w:rFonts w:ascii="Cambria Math" w:hAnsi="Cambria Math" w:cs="Times New Roman"/>
                              <w:sz w:val="24"/>
                              <w:szCs w:val="24"/>
                            </w:rPr>
                            <m:t>2</m:t>
                          </m:r>
                        </m:sub>
                      </m:sSub>
                    </m:fName>
                    <m:e>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x</m:t>
                              </m:r>
                            </m:sub>
                          </m:sSub>
                          <m:r>
                            <m:rPr>
                              <m:sty m:val="p"/>
                            </m:rPr>
                            <w:rPr>
                              <w:rFonts w:ascii="Cambria Math" w:hAnsi="Cambria Math" w:cs="Times New Roman"/>
                              <w:sz w:val="24"/>
                              <w:szCs w:val="24"/>
                            </w:rPr>
                            <m:t>(i)</m:t>
                          </m:r>
                        </m:e>
                      </m:d>
                    </m:e>
                  </m:func>
                </m:e>
              </m:nary>
            </m:oMath>
            <w:r w:rsidRPr="00821999">
              <w:rPr>
                <w:rFonts w:ascii="Times New Roman" w:hAnsi="Times New Roman" w:cs="Times New Roman"/>
                <w:sz w:val="24"/>
                <w:szCs w:val="24"/>
              </w:rPr>
              <w:t xml:space="preserve"> is the entropy of </w:t>
            </w:r>
            <m:oMath>
              <m:sSub>
                <m:sSubPr>
                  <m:ctrlPr>
                    <w:rPr>
                      <w:rFonts w:ascii="Cambria Math" w:hAnsi="Cambria Math" w:cs="Times New Roman"/>
                      <w:sz w:val="24"/>
                      <w:szCs w:val="24"/>
                    </w:rPr>
                  </m:ctrlPr>
                </m:sSubPr>
                <m:e>
                  <m:r>
                    <m:rPr>
                      <m:sty m:val="b"/>
                    </m:rPr>
                    <w:rPr>
                      <w:rFonts w:ascii="Cambria Math" w:hAnsi="Cambria Math" w:cs="Times New Roman"/>
                      <w:sz w:val="24"/>
                      <w:szCs w:val="24"/>
                    </w:rPr>
                    <m:t>P</m:t>
                  </m:r>
                </m:e>
                <m:sub>
                  <m:r>
                    <m:rPr>
                      <m:sty m:val="p"/>
                    </m:rPr>
                    <w:rPr>
                      <w:rFonts w:ascii="Cambria Math" w:hAnsi="Cambria Math" w:cs="Times New Roman"/>
                      <w:sz w:val="24"/>
                      <w:szCs w:val="24"/>
                    </w:rPr>
                    <m:t>x</m:t>
                  </m:r>
                </m:sub>
              </m:sSub>
            </m:oMath>
            <w:r w:rsidRPr="00821999">
              <w:rPr>
                <w:rFonts w:ascii="Times New Roman" w:hAnsi="Times New Roman" w:cs="Times New Roman"/>
                <w:sz w:val="24"/>
                <w:szCs w:val="24"/>
              </w:rPr>
              <w:t>,</w:t>
            </w:r>
          </w:p>
          <w:p w14:paraId="3FCFDD85" w14:textId="77777777" w:rsidR="00C635FF" w:rsidRPr="00821999" w:rsidRDefault="00C635FF" w:rsidP="001F380A">
            <w:pPr>
              <w:jc w:val="center"/>
              <w:rPr>
                <w:rFonts w:ascii="Times New Roman" w:hAnsi="Times New Roman" w:cs="Times New Roman"/>
                <w:sz w:val="24"/>
                <w:szCs w:val="24"/>
              </w:rPr>
            </w:pPr>
            <m:oMath>
              <m:r>
                <m:rPr>
                  <m:sty m:val="p"/>
                </m:rPr>
                <w:rPr>
                  <w:rFonts w:ascii="Cambria Math" w:hAnsi="Cambria Math" w:cs="Times New Roman"/>
                  <w:sz w:val="24"/>
                  <w:szCs w:val="24"/>
                </w:rPr>
                <m:t>HY=-</m:t>
              </m:r>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sSub>
                    <m:sSubPr>
                      <m:ctrlPr>
                        <w:rPr>
                          <w:rFonts w:ascii="Cambria Math" w:hAnsi="Cambria Math" w:cs="Times New Roman"/>
                          <w:sz w:val="24"/>
                          <w:szCs w:val="24"/>
                        </w:rPr>
                      </m:ctrlPr>
                    </m:sSubPr>
                    <m:e>
                      <m:r>
                        <m:rPr>
                          <m:sty m:val="b"/>
                        </m:rPr>
                        <w:rPr>
                          <w:rFonts w:ascii="Cambria Math" w:hAnsi="Cambria Math" w:cs="Times New Roman"/>
                          <w:sz w:val="24"/>
                          <w:szCs w:val="24"/>
                        </w:rPr>
                        <m:t>P</m:t>
                      </m:r>
                    </m:e>
                    <m:sub>
                      <m:r>
                        <m:rPr>
                          <m:sty m:val="p"/>
                        </m:rPr>
                        <w:rPr>
                          <w:rFonts w:ascii="Cambria Math" w:hAnsi="Cambria Math" w:cs="Times New Roman"/>
                          <w:sz w:val="24"/>
                          <w:szCs w:val="24"/>
                        </w:rPr>
                        <m:t>y</m:t>
                      </m:r>
                    </m:sub>
                  </m:sSub>
                  <m:r>
                    <m:rPr>
                      <m:sty m:val="p"/>
                    </m:rPr>
                    <w:rPr>
                      <w:rFonts w:ascii="Cambria Math" w:hAnsi="Cambria Math" w:cs="Times New Roman"/>
                      <w:sz w:val="24"/>
                      <w:szCs w:val="24"/>
                    </w:rPr>
                    <m:t>(i)</m:t>
                  </m:r>
                  <m:func>
                    <m:funcPr>
                      <m:ctrlPr>
                        <w:rPr>
                          <w:rFonts w:ascii="Cambria Math" w:hAnsi="Cambria Math" w:cs="Times New Roman"/>
                          <w:sz w:val="24"/>
                          <w:szCs w:val="24"/>
                        </w:rPr>
                      </m:ctrlPr>
                    </m:funcPr>
                    <m:fName>
                      <m:sSub>
                        <m:sSubPr>
                          <m:ctrlPr>
                            <w:rPr>
                              <w:rFonts w:ascii="Cambria Math" w:hAnsi="Cambria Math" w:cs="Times New Roman"/>
                              <w:sz w:val="24"/>
                              <w:szCs w:val="24"/>
                            </w:rPr>
                          </m:ctrlPr>
                        </m:sSubPr>
                        <m:e>
                          <m:r>
                            <m:rPr>
                              <m:sty m:val="p"/>
                            </m:rPr>
                            <w:rPr>
                              <w:rFonts w:ascii="Cambria Math" w:hAnsi="Cambria Math" w:cs="Times New Roman"/>
                              <w:sz w:val="24"/>
                              <w:szCs w:val="24"/>
                            </w:rPr>
                            <m:t>log</m:t>
                          </m:r>
                        </m:e>
                        <m:sub>
                          <m:r>
                            <m:rPr>
                              <m:sty m:val="p"/>
                            </m:rPr>
                            <w:rPr>
                              <w:rFonts w:ascii="Cambria Math" w:hAnsi="Cambria Math" w:cs="Times New Roman"/>
                              <w:sz w:val="24"/>
                              <w:szCs w:val="24"/>
                            </w:rPr>
                            <m:t>2</m:t>
                          </m:r>
                        </m:sub>
                      </m:sSub>
                    </m:fName>
                    <m:e>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y</m:t>
                              </m:r>
                            </m:sub>
                          </m:sSub>
                          <m:r>
                            <m:rPr>
                              <m:sty m:val="p"/>
                            </m:rPr>
                            <w:rPr>
                              <w:rFonts w:ascii="Cambria Math" w:hAnsi="Cambria Math" w:cs="Times New Roman"/>
                              <w:sz w:val="24"/>
                              <w:szCs w:val="24"/>
                            </w:rPr>
                            <m:t>(i)</m:t>
                          </m:r>
                        </m:e>
                      </m:d>
                    </m:e>
                  </m:func>
                </m:e>
              </m:nary>
            </m:oMath>
            <w:r w:rsidRPr="00821999">
              <w:rPr>
                <w:rFonts w:ascii="Times New Roman" w:hAnsi="Times New Roman" w:cs="Times New Roman"/>
                <w:sz w:val="24"/>
                <w:szCs w:val="24"/>
              </w:rPr>
              <w:t xml:space="preserve"> is the entropy of </w:t>
            </w:r>
            <m:oMath>
              <m:sSub>
                <m:sSubPr>
                  <m:ctrlPr>
                    <w:rPr>
                      <w:rFonts w:ascii="Cambria Math" w:hAnsi="Cambria Math" w:cs="Times New Roman"/>
                      <w:sz w:val="24"/>
                      <w:szCs w:val="24"/>
                    </w:rPr>
                  </m:ctrlPr>
                </m:sSubPr>
                <m:e>
                  <m:r>
                    <m:rPr>
                      <m:sty m:val="b"/>
                    </m:rPr>
                    <w:rPr>
                      <w:rFonts w:ascii="Cambria Math" w:hAnsi="Cambria Math" w:cs="Times New Roman"/>
                      <w:sz w:val="24"/>
                      <w:szCs w:val="24"/>
                    </w:rPr>
                    <m:t>P</m:t>
                  </m:r>
                </m:e>
                <m:sub>
                  <m:r>
                    <m:rPr>
                      <m:sty m:val="p"/>
                    </m:rPr>
                    <w:rPr>
                      <w:rFonts w:ascii="Cambria Math" w:hAnsi="Cambria Math" w:cs="Times New Roman"/>
                      <w:sz w:val="24"/>
                      <w:szCs w:val="24"/>
                    </w:rPr>
                    <m:t>y</m:t>
                  </m:r>
                </m:sub>
              </m:sSub>
            </m:oMath>
            <w:r w:rsidRPr="00821999">
              <w:rPr>
                <w:rFonts w:ascii="Times New Roman" w:hAnsi="Times New Roman" w:cs="Times New Roman"/>
                <w:sz w:val="24"/>
                <w:szCs w:val="24"/>
              </w:rPr>
              <w:t>,</w:t>
            </w:r>
          </w:p>
          <w:p w14:paraId="2471FD9A" w14:textId="77777777" w:rsidR="00C635FF" w:rsidRPr="00821999" w:rsidRDefault="00C635FF" w:rsidP="001F380A">
            <w:pPr>
              <w:jc w:val="center"/>
              <w:rPr>
                <w:rFonts w:ascii="Times New Roman" w:hAnsi="Times New Roman" w:cs="Times New Roman"/>
                <w:sz w:val="24"/>
                <w:szCs w:val="24"/>
              </w:rPr>
            </w:pPr>
            <m:oMath>
              <m:r>
                <m:rPr>
                  <m:sty m:val="p"/>
                </m:rPr>
                <w:rPr>
                  <w:rFonts w:ascii="Cambria Math" w:hAnsi="Cambria Math" w:cs="Times New Roman"/>
                  <w:sz w:val="24"/>
                  <w:szCs w:val="24"/>
                </w:rPr>
                <m:t>HXY=-</m:t>
              </m:r>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j=1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r>
                        <m:rPr>
                          <m:sty m:val="b"/>
                        </m:rPr>
                        <w:rPr>
                          <w:rFonts w:ascii="Cambria Math" w:hAnsi="Cambria Math" w:cs="Times New Roman"/>
                          <w:sz w:val="24"/>
                          <w:szCs w:val="24"/>
                        </w:rPr>
                        <m:t>P</m:t>
                      </m:r>
                      <m:d>
                        <m:dPr>
                          <m:ctrlPr>
                            <w:rPr>
                              <w:rFonts w:ascii="Cambria Math" w:hAnsi="Cambria Math" w:cs="Times New Roman"/>
                              <w:sz w:val="24"/>
                              <w:szCs w:val="24"/>
                            </w:rPr>
                          </m:ctrlPr>
                        </m:dPr>
                        <m:e>
                          <m:r>
                            <m:rPr>
                              <m:sty m:val="p"/>
                            </m:rPr>
                            <w:rPr>
                              <w:rFonts w:ascii="Cambria Math" w:hAnsi="Cambria Math" w:cs="Times New Roman"/>
                              <w:sz w:val="24"/>
                              <w:szCs w:val="24"/>
                            </w:rPr>
                            <m:t>i,j</m:t>
                          </m:r>
                        </m:e>
                      </m:d>
                    </m:e>
                  </m:nary>
                </m:e>
              </m:nary>
              <m:func>
                <m:funcPr>
                  <m:ctrlPr>
                    <w:rPr>
                      <w:rFonts w:ascii="Cambria Math" w:hAnsi="Cambria Math" w:cs="Times New Roman"/>
                      <w:sz w:val="24"/>
                      <w:szCs w:val="24"/>
                    </w:rPr>
                  </m:ctrlPr>
                </m:funcPr>
                <m:fName>
                  <m:sSub>
                    <m:sSubPr>
                      <m:ctrlPr>
                        <w:rPr>
                          <w:rFonts w:ascii="Cambria Math" w:hAnsi="Cambria Math" w:cs="Times New Roman"/>
                          <w:sz w:val="24"/>
                          <w:szCs w:val="24"/>
                        </w:rPr>
                      </m:ctrlPr>
                    </m:sSubPr>
                    <m:e>
                      <m:r>
                        <m:rPr>
                          <m:sty m:val="p"/>
                        </m:rPr>
                        <w:rPr>
                          <w:rFonts w:ascii="Cambria Math" w:hAnsi="Cambria Math" w:cs="Times New Roman"/>
                          <w:sz w:val="24"/>
                          <w:szCs w:val="24"/>
                        </w:rPr>
                        <m:t>log</m:t>
                      </m:r>
                    </m:e>
                    <m:sub>
                      <m:r>
                        <m:rPr>
                          <m:sty m:val="p"/>
                        </m:rPr>
                        <w:rPr>
                          <w:rFonts w:ascii="Cambria Math" w:hAnsi="Cambria Math" w:cs="Times New Roman"/>
                          <w:sz w:val="24"/>
                          <w:szCs w:val="24"/>
                        </w:rPr>
                        <m:t>2</m:t>
                      </m:r>
                    </m:sub>
                  </m:sSub>
                </m:fName>
                <m:e>
                  <m:d>
                    <m:dPr>
                      <m:begChr m:val="["/>
                      <m:endChr m:val="]"/>
                      <m:ctrlPr>
                        <w:rPr>
                          <w:rFonts w:ascii="Cambria Math" w:hAnsi="Cambria Math" w:cs="Times New Roman"/>
                          <w:sz w:val="24"/>
                          <w:szCs w:val="24"/>
                        </w:rPr>
                      </m:ctrlPr>
                    </m:dPr>
                    <m:e>
                      <m:r>
                        <m:rPr>
                          <m:sty m:val="b"/>
                        </m:rPr>
                        <w:rPr>
                          <w:rFonts w:ascii="Cambria Math" w:hAnsi="Cambria Math" w:cs="Times New Roman"/>
                          <w:sz w:val="24"/>
                          <w:szCs w:val="24"/>
                        </w:rPr>
                        <m:t>P</m:t>
                      </m:r>
                      <m:r>
                        <m:rPr>
                          <m:sty m:val="p"/>
                        </m:rPr>
                        <w:rPr>
                          <w:rFonts w:ascii="Cambria Math" w:hAnsi="Cambria Math" w:cs="Times New Roman"/>
                          <w:sz w:val="24"/>
                          <w:szCs w:val="24"/>
                        </w:rPr>
                        <m:t>(i,j)</m:t>
                      </m:r>
                    </m:e>
                  </m:d>
                </m:e>
              </m:func>
              <m:r>
                <m:rPr>
                  <m:sty m:val="p"/>
                </m:rPr>
                <w:rPr>
                  <w:rFonts w:ascii="Cambria Math" w:hAnsi="Cambria Math" w:cs="Times New Roman"/>
                  <w:sz w:val="24"/>
                  <w:szCs w:val="24"/>
                </w:rPr>
                <m:t xml:space="preserve"> </m:t>
              </m:r>
            </m:oMath>
            <w:r w:rsidRPr="00821999">
              <w:rPr>
                <w:rFonts w:ascii="Times New Roman" w:hAnsi="Times New Roman" w:cs="Times New Roman"/>
                <w:sz w:val="24"/>
                <w:szCs w:val="24"/>
              </w:rPr>
              <w:t xml:space="preserve">is the entropy of </w:t>
            </w:r>
            <m:oMath>
              <m:r>
                <m:rPr>
                  <m:sty m:val="b"/>
                </m:rPr>
                <w:rPr>
                  <w:rFonts w:ascii="Cambria Math" w:hAnsi="Cambria Math" w:cs="Times New Roman"/>
                  <w:sz w:val="24"/>
                  <w:szCs w:val="24"/>
                </w:rPr>
                <m:t>P</m:t>
              </m:r>
              <m:d>
                <m:dPr>
                  <m:ctrlPr>
                    <w:rPr>
                      <w:rFonts w:ascii="Cambria Math" w:hAnsi="Cambria Math" w:cs="Times New Roman"/>
                      <w:sz w:val="24"/>
                      <w:szCs w:val="24"/>
                    </w:rPr>
                  </m:ctrlPr>
                </m:dPr>
                <m:e>
                  <m:r>
                    <m:rPr>
                      <m:sty m:val="p"/>
                    </m:rPr>
                    <w:rPr>
                      <w:rFonts w:ascii="Cambria Math" w:hAnsi="Cambria Math" w:cs="Times New Roman"/>
                      <w:sz w:val="24"/>
                      <w:szCs w:val="24"/>
                    </w:rPr>
                    <m:t>i,j</m:t>
                  </m:r>
                </m:e>
              </m:d>
            </m:oMath>
          </w:p>
          <w:p w14:paraId="441ABEF5" w14:textId="77777777" w:rsidR="00C635FF" w:rsidRPr="00821999" w:rsidRDefault="00C635FF" w:rsidP="001F380A">
            <w:pPr>
              <w:jc w:val="center"/>
              <w:rPr>
                <w:rFonts w:ascii="Times New Roman" w:hAnsi="Times New Roman" w:cs="Times New Roman"/>
                <w:sz w:val="24"/>
                <w:szCs w:val="24"/>
              </w:rPr>
            </w:pPr>
            <m:oMathPara>
              <m:oMath>
                <m:r>
                  <m:rPr>
                    <m:sty m:val="p"/>
                  </m:rPr>
                  <w:rPr>
                    <w:rFonts w:ascii="Cambria Math" w:hAnsi="Cambria Math" w:cs="Times New Roman"/>
                    <w:sz w:val="24"/>
                    <w:szCs w:val="24"/>
                  </w:rPr>
                  <m:t>HXY1=-</m:t>
                </m:r>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i=1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j=1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g</m:t>
                            </m:r>
                          </m:sub>
                        </m:sSub>
                      </m:sup>
                      <m:e>
                        <m:r>
                          <m:rPr>
                            <m:sty m:val="b"/>
                          </m:rPr>
                          <w:rPr>
                            <w:rFonts w:ascii="Cambria Math" w:hAnsi="Cambria Math" w:cs="Times New Roman"/>
                            <w:sz w:val="24"/>
                            <w:szCs w:val="24"/>
                          </w:rPr>
                          <m:t>P</m:t>
                        </m:r>
                        <m:d>
                          <m:dPr>
                            <m:ctrlPr>
                              <w:rPr>
                                <w:rFonts w:ascii="Cambria Math" w:hAnsi="Cambria Math" w:cs="Times New Roman"/>
                                <w:sz w:val="24"/>
                                <w:szCs w:val="24"/>
                              </w:rPr>
                            </m:ctrlPr>
                          </m:dPr>
                          <m:e>
                            <m:r>
                              <m:rPr>
                                <m:sty m:val="p"/>
                              </m:rPr>
                              <w:rPr>
                                <w:rFonts w:ascii="Cambria Math" w:hAnsi="Cambria Math" w:cs="Times New Roman"/>
                                <w:sz w:val="24"/>
                                <w:szCs w:val="24"/>
                              </w:rPr>
                              <m:t>i,j</m:t>
                            </m:r>
                          </m:e>
                        </m:d>
                        <m:func>
                          <m:funcPr>
                            <m:ctrlPr>
                              <w:rPr>
                                <w:rFonts w:ascii="Cambria Math" w:hAnsi="Cambria Math" w:cs="Times New Roman"/>
                                <w:sz w:val="24"/>
                                <w:szCs w:val="24"/>
                              </w:rPr>
                            </m:ctrlPr>
                          </m:funcPr>
                          <m:fName>
                            <m:r>
                              <m:rPr>
                                <m:sty m:val="p"/>
                              </m:rPr>
                              <w:rPr>
                                <w:rFonts w:ascii="Cambria Math" w:hAnsi="Cambria Math" w:cs="Times New Roman"/>
                                <w:sz w:val="24"/>
                                <w:szCs w:val="24"/>
                              </w:rPr>
                              <m:t>log</m:t>
                            </m:r>
                          </m:fName>
                          <m:e>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x</m:t>
                                </m:r>
                              </m:sub>
                            </m:sSub>
                            <m:d>
                              <m:dPr>
                                <m:ctrlPr>
                                  <w:rPr>
                                    <w:rFonts w:ascii="Cambria Math" w:hAnsi="Cambria Math" w:cs="Times New Roman"/>
                                    <w:sz w:val="24"/>
                                    <w:szCs w:val="24"/>
                                  </w:rPr>
                                </m:ctrlPr>
                              </m:dPr>
                              <m:e>
                                <m:r>
                                  <m:rPr>
                                    <m:sty m:val="p"/>
                                  </m:rPr>
                                  <w:rPr>
                                    <w:rFonts w:ascii="Cambria Math" w:hAnsi="Cambria Math" w:cs="Times New Roman"/>
                                    <w:sz w:val="24"/>
                                    <w:szCs w:val="24"/>
                                  </w:rPr>
                                  <m:t>i</m:t>
                                </m:r>
                              </m:e>
                            </m:d>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y</m:t>
                                </m:r>
                              </m:sub>
                            </m:sSub>
                            <m:d>
                              <m:dPr>
                                <m:ctrlPr>
                                  <w:rPr>
                                    <w:rFonts w:ascii="Cambria Math" w:hAnsi="Cambria Math" w:cs="Times New Roman"/>
                                    <w:sz w:val="24"/>
                                    <w:szCs w:val="24"/>
                                  </w:rPr>
                                </m:ctrlPr>
                              </m:dPr>
                              <m:e>
                                <m:r>
                                  <m:rPr>
                                    <m:sty m:val="p"/>
                                  </m:rPr>
                                  <w:rPr>
                                    <w:rFonts w:ascii="Cambria Math" w:hAnsi="Cambria Math" w:cs="Times New Roman"/>
                                    <w:sz w:val="24"/>
                                    <w:szCs w:val="24"/>
                                  </w:rPr>
                                  <m:t>j</m:t>
                                </m:r>
                              </m:e>
                            </m:d>
                            <m:r>
                              <m:rPr>
                                <m:sty m:val="p"/>
                              </m:rPr>
                              <w:rPr>
                                <w:rFonts w:ascii="Cambria Math" w:hAnsi="Cambria Math" w:cs="Times New Roman"/>
                                <w:sz w:val="24"/>
                                <w:szCs w:val="24"/>
                              </w:rPr>
                              <m:t>)</m:t>
                            </m:r>
                          </m:e>
                        </m:func>
                      </m:e>
                    </m:nary>
                  </m:e>
                </m:nary>
              </m:oMath>
            </m:oMathPara>
          </w:p>
        </w:tc>
      </w:tr>
      <w:tr w:rsidR="00C635FF" w:rsidRPr="00821999" w14:paraId="7EB96F3C" w14:textId="77777777" w:rsidTr="001F380A">
        <w:tc>
          <w:tcPr>
            <w:tcW w:w="606" w:type="pct"/>
            <w:vMerge w:val="restart"/>
            <w:tcBorders>
              <w:top w:val="single" w:sz="12" w:space="0" w:color="auto"/>
              <w:bottom w:val="single" w:sz="4" w:space="0" w:color="AEAAAA" w:themeColor="background2" w:themeShade="BF"/>
            </w:tcBorders>
            <w:vAlign w:val="center"/>
            <w:hideMark/>
          </w:tcPr>
          <w:p w14:paraId="50F90C75" w14:textId="77777777" w:rsidR="00C635FF" w:rsidRPr="00821999" w:rsidRDefault="00C635FF" w:rsidP="001F380A">
            <w:pPr>
              <w:spacing w:after="0"/>
              <w:jc w:val="center"/>
              <w:rPr>
                <w:rFonts w:ascii="Times New Roman" w:hAnsi="Times New Roman" w:cs="Times New Roman"/>
                <w:b/>
                <w:sz w:val="24"/>
                <w:szCs w:val="24"/>
              </w:rPr>
            </w:pPr>
            <w:r w:rsidRPr="00821999">
              <w:rPr>
                <w:rFonts w:ascii="Times New Roman" w:hAnsi="Times New Roman" w:cs="Times New Roman"/>
                <w:b/>
                <w:sz w:val="24"/>
                <w:szCs w:val="24"/>
              </w:rPr>
              <w:t xml:space="preserve">GLSZM-based </w:t>
            </w:r>
            <w:r w:rsidRPr="00821999">
              <w:rPr>
                <w:rFonts w:ascii="Times New Roman" w:hAnsi="Times New Roman" w:cs="Times New Roman"/>
                <w:b/>
                <w:sz w:val="24"/>
                <w:szCs w:val="24"/>
              </w:rPr>
              <w:lastRenderedPageBreak/>
              <w:t xml:space="preserve">features (32 bins) </w:t>
            </w:r>
            <w:r w:rsidRPr="00821999">
              <w:rPr>
                <w:rFonts w:ascii="Times New Roman" w:hAnsi="Times New Roman" w:cs="Times New Roman"/>
                <w:b/>
                <w:sz w:val="24"/>
                <w:szCs w:val="24"/>
              </w:rPr>
              <w:fldChar w:fldCharType="begin" w:fldLock="1"/>
            </w:r>
            <w:r w:rsidRPr="00821999">
              <w:rPr>
                <w:rFonts w:ascii="Times New Roman" w:hAnsi="Times New Roman" w:cs="Times New Roman"/>
                <w:b/>
                <w:sz w:val="24"/>
                <w:szCs w:val="24"/>
              </w:rPr>
              <w:instrText>ADDIN CSL_CITATION {"citationItems":[{"id":"ITEM-1","itemData":{"DOI":"10.1371/journal.pone.0088598","ISBN":"1932-6203 (Electronic)\\n1932-6203 (Linking)","ISSN":"19326203","PMID":"24586348","abstract":"BACKGROUND AND PURPOSE: To correlate changes of various CT parameters after the neoadjuvant treatment in patients with lung adenocarcinoma with pathologic responses, focused on their relationship with different therapeutic options, particularly of EGFR-TKI and concurrent chemoradiation therapy (CCRT) settings. MATERIALS AND METHODS: We reviewed pre-operative CT images of primary tumors and surgical specimens obtained after neoadjuvant therapy (TKI, n = 23; CCRT, n = 28) from 51 patients with lung adenocarcinoma. Serial changes in tumor volume, density, mass, skewness/kurtosis, and size-zone variability/intensity variability) were assessed from CT datasets. The changes in CT parameters were correlated with histopathologic responses, and the relationship between CT variables and histopathologic responses was compared between TKI and CCRT groups. RESULTS: Tumor volume, mass, kurtosis, and skewness were significant predictors of pathologic response in CCRT group in univariate analysis. Using multivariate analysis, kurtosis was found to be independent predictor. In TKI group, intensity variability and size-zone variability were significantly decreased in pathologic responder group. Intensity variability was found to be an independent predictor for pathologic response on multivariate analysis. CONCLUSIONS: Quantitative CT variables including histogram or texture analysis have potential as a predictive tool for response evaluation, and it may better reflect treatment response than standard response criteria based on size changes.","author":[{"dropping-particle":"","family":"Chong","given":"Yousun","non-dropping-particle":"","parse-names":false,"suffix":""},{"dropping-particle":"","family":"Kim","given":"Jae Hun","non-dropping-particle":"","parse-names":false,"suffix":""},{"dropping-particle":"","family":"Lee","given":"Ho Yun","non-dropping-particle":"","parse-names":false,"suffix":""},{"dropping-particle":"","family":"Ahn","given":"Yong Chan","non-dropping-particle":"","parse-names":false,"suffix":""},{"dropping-particle":"","family":"Lee","given":"Kyung Soo","non-dropping-particle":"","parse-names":false,"suffix":""},{"dropping-particle":"","family":"Ahn","given":"Myung Ju","non-dropping-particle":"","parse-names":false,"suffix":""},{"dropping-particle":"","family":"Kim","given":"Jhingook","non-dropping-particle":"","parse-names":false,"suffix":""},{"dropping-particle":"","family":"Shim","given":"Young Mog","non-dropping-particle":"","parse-names":false,"suffix":""},{"dropping-particle":"","family":"Han","given":"Joungho","non-dropping-particle":"","parse-names":false,"suffix":""},{"dropping-particle":"La","family":"Choi","given":"Yoon","non-dropping-particle":"","parse-names":false,"suffix":""}],"container-title":"PLoS ONE","id":"ITEM-1","issue":"2","issued":{"date-parts":[["2014"]]},"page":"1-8","title":"Quantitative CT variables enabling response prediction in neoadjuvant therapy with EGFR-TKIs: Are they different from those in neoadjuvant concurrent chemoradiotherapy?","type":"article-journal","volume":"9"},"uris":["http://www.mendeley.com/documents/?uuid=f4fd9b9a-ef01-4871-ac5b-3c28c35ef3ec"]}],"mendeley":{"formattedCitation":"[4]","plainTextFormattedCitation":"[4]","previouslyFormattedCitation":"[4]"},"properties":{"noteIndex":0},"schema":"https://github.com/citation-style-language/schema/raw/master/csl-citation.json"}</w:instrText>
            </w:r>
            <w:r w:rsidRPr="00821999">
              <w:rPr>
                <w:rFonts w:ascii="Times New Roman" w:hAnsi="Times New Roman" w:cs="Times New Roman"/>
                <w:b/>
                <w:sz w:val="24"/>
                <w:szCs w:val="24"/>
              </w:rPr>
              <w:fldChar w:fldCharType="separate"/>
            </w:r>
            <w:r w:rsidRPr="00821999">
              <w:rPr>
                <w:rFonts w:ascii="Times New Roman" w:hAnsi="Times New Roman" w:cs="Times New Roman"/>
                <w:noProof/>
                <w:sz w:val="24"/>
                <w:szCs w:val="24"/>
              </w:rPr>
              <w:t>[4]</w:t>
            </w:r>
            <w:r w:rsidRPr="00821999">
              <w:rPr>
                <w:rFonts w:ascii="Times New Roman" w:hAnsi="Times New Roman" w:cs="Times New Roman"/>
                <w:b/>
                <w:sz w:val="24"/>
                <w:szCs w:val="24"/>
              </w:rPr>
              <w:fldChar w:fldCharType="end"/>
            </w:r>
          </w:p>
        </w:tc>
        <w:tc>
          <w:tcPr>
            <w:tcW w:w="999" w:type="pct"/>
            <w:tcBorders>
              <w:top w:val="single" w:sz="12" w:space="0" w:color="auto"/>
              <w:bottom w:val="single" w:sz="4" w:space="0" w:color="AEAAAA" w:themeColor="background2" w:themeShade="BF"/>
            </w:tcBorders>
            <w:vAlign w:val="center"/>
            <w:hideMark/>
          </w:tcPr>
          <w:p w14:paraId="7D5FD50B"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lastRenderedPageBreak/>
              <w:t>Size-zone variability</w:t>
            </w:r>
          </w:p>
        </w:tc>
        <w:tc>
          <w:tcPr>
            <w:tcW w:w="1780" w:type="pct"/>
            <w:tcBorders>
              <w:top w:val="single" w:sz="12" w:space="0" w:color="auto"/>
              <w:bottom w:val="single" w:sz="4" w:space="0" w:color="AEAAAA" w:themeColor="background2" w:themeShade="BF"/>
            </w:tcBorders>
            <w:vAlign w:val="center"/>
            <w:hideMark/>
          </w:tcPr>
          <w:p w14:paraId="607D0074"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Size zone variability=</m:t>
                </m:r>
                <m:f>
                  <m:fPr>
                    <m:ctrlPr>
                      <w:rPr>
                        <w:rFonts w:ascii="Cambria Math" w:hAnsi="Cambria Math" w:cs="Times New Roman"/>
                        <w:sz w:val="24"/>
                        <w:szCs w:val="24"/>
                      </w:rPr>
                    </m:ctrlPr>
                  </m:fPr>
                  <m:num>
                    <m:r>
                      <w:rPr>
                        <w:rFonts w:ascii="Cambria Math" w:hAnsi="Cambria Math" w:cs="Times New Roman"/>
                        <w:sz w:val="24"/>
                        <w:szCs w:val="24"/>
                      </w:rPr>
                      <m:t>1</m:t>
                    </m:r>
                  </m:num>
                  <m:den>
                    <m:r>
                      <m:rPr>
                        <m:sty m:val="p"/>
                      </m:rPr>
                      <w:rPr>
                        <w:rFonts w:ascii="Cambria Math" w:hAnsi="Cambria Math" w:cs="Times New Roman"/>
                        <w:sz w:val="24"/>
                        <w:szCs w:val="24"/>
                      </w:rPr>
                      <m:t>Θ</m:t>
                    </m:r>
                  </m:den>
                </m:f>
                <m:sSup>
                  <m:sSupPr>
                    <m:ctrlPr>
                      <w:rPr>
                        <w:rFonts w:ascii="Cambria Math" w:hAnsi="Cambria Math" w:cs="Times New Roman"/>
                        <w:i/>
                        <w:sz w:val="24"/>
                        <w:szCs w:val="24"/>
                      </w:rPr>
                    </m:ctrlPr>
                  </m:sSupPr>
                  <m:e>
                    <m:nary>
                      <m:naryPr>
                        <m:chr m:val="∑"/>
                        <m:limLoc m:val="undOvr"/>
                        <m:ctrlPr>
                          <w:rPr>
                            <w:rFonts w:ascii="Cambria Math" w:hAnsi="Cambria Math" w:cs="Times New Roman"/>
                            <w:sz w:val="24"/>
                            <w:szCs w:val="24"/>
                          </w:rPr>
                        </m:ctrlPr>
                      </m:naryPr>
                      <m:sub>
                        <m:r>
                          <w:rPr>
                            <w:rFonts w:ascii="Cambria Math" w:hAnsi="Cambria Math" w:cs="Times New Roman"/>
                            <w:sz w:val="24"/>
                            <w:szCs w:val="24"/>
                          </w:rPr>
                          <m:t>m=1</m:t>
                        </m:r>
                      </m:sub>
                      <m:sup>
                        <m:r>
                          <w:rPr>
                            <w:rFonts w:ascii="Cambria Math" w:hAnsi="Cambria Math" w:cs="Times New Roman"/>
                            <w:sz w:val="24"/>
                            <w:szCs w:val="24"/>
                          </w:rPr>
                          <m:t>M</m:t>
                        </m:r>
                      </m:sup>
                      <m:e>
                        <m:d>
                          <m:dPr>
                            <m:begChr m:val="["/>
                            <m:endChr m:val="]"/>
                            <m:ctrlPr>
                              <w:rPr>
                                <w:rFonts w:ascii="Cambria Math" w:hAnsi="Cambria Math" w:cs="Times New Roman"/>
                                <w:i/>
                                <w:sz w:val="24"/>
                                <w:szCs w:val="24"/>
                              </w:rPr>
                            </m:ctrlPr>
                          </m:dP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n=1</m:t>
                                </m:r>
                              </m:sub>
                              <m:sup>
                                <m:r>
                                  <w:rPr>
                                    <w:rFonts w:ascii="Cambria Math" w:hAnsi="Cambria Math" w:cs="Times New Roman"/>
                                    <w:sz w:val="24"/>
                                    <w:szCs w:val="24"/>
                                  </w:rPr>
                                  <m:t>N</m:t>
                                </m:r>
                              </m:sup>
                              <m:e>
                                <m:r>
                                  <m:rPr>
                                    <m:sty m:val="bi"/>
                                  </m:rP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m,n</m:t>
                                    </m:r>
                                  </m:e>
                                </m:d>
                              </m:e>
                            </m:nary>
                          </m:e>
                        </m:d>
                      </m:e>
                    </m:nary>
                  </m:e>
                  <m:sup>
                    <m:r>
                      <w:rPr>
                        <w:rFonts w:ascii="Cambria Math" w:hAnsi="Cambria Math" w:cs="Times New Roman"/>
                        <w:sz w:val="24"/>
                        <w:szCs w:val="24"/>
                      </w:rPr>
                      <m:t>2</m:t>
                    </m:r>
                  </m:sup>
                </m:sSup>
              </m:oMath>
            </m:oMathPara>
          </w:p>
        </w:tc>
        <w:tc>
          <w:tcPr>
            <w:tcW w:w="808" w:type="pct"/>
            <w:tcBorders>
              <w:top w:val="single" w:sz="12" w:space="0" w:color="auto"/>
              <w:bottom w:val="single" w:sz="4" w:space="0" w:color="AEAAAA" w:themeColor="background2" w:themeShade="BF"/>
            </w:tcBorders>
            <w:vAlign w:val="center"/>
            <w:hideMark/>
          </w:tcPr>
          <w:p w14:paraId="36874CEA"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Variability in the size of ROI</w:t>
            </w:r>
          </w:p>
        </w:tc>
        <w:tc>
          <w:tcPr>
            <w:tcW w:w="807" w:type="pct"/>
            <w:tcBorders>
              <w:top w:val="single" w:sz="12" w:space="0" w:color="auto"/>
              <w:bottom w:val="single" w:sz="4" w:space="0" w:color="AEAAAA" w:themeColor="background2" w:themeShade="BF"/>
            </w:tcBorders>
            <w:vAlign w:val="center"/>
          </w:tcPr>
          <w:p w14:paraId="7F9E80A0"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408D1D26" w14:textId="77777777" w:rsidTr="001F380A">
        <w:trPr>
          <w:trHeight w:val="70"/>
        </w:trPr>
        <w:tc>
          <w:tcPr>
            <w:tcW w:w="606" w:type="pct"/>
            <w:vMerge/>
            <w:tcBorders>
              <w:top w:val="single" w:sz="4" w:space="0" w:color="AEAAAA" w:themeColor="background2" w:themeShade="BF"/>
            </w:tcBorders>
            <w:vAlign w:val="center"/>
            <w:hideMark/>
          </w:tcPr>
          <w:p w14:paraId="2AED4D67" w14:textId="77777777" w:rsidR="00C635FF" w:rsidRPr="00821999" w:rsidRDefault="00C635FF" w:rsidP="001F380A">
            <w:pPr>
              <w:spacing w:after="0"/>
              <w:jc w:val="center"/>
              <w:rPr>
                <w:rFonts w:ascii="Times New Roman" w:hAnsi="Times New Roman" w:cs="Times New Roman"/>
                <w:b/>
                <w:sz w:val="24"/>
                <w:szCs w:val="24"/>
              </w:rPr>
            </w:pPr>
          </w:p>
        </w:tc>
        <w:tc>
          <w:tcPr>
            <w:tcW w:w="999" w:type="pct"/>
            <w:tcBorders>
              <w:top w:val="single" w:sz="4" w:space="0" w:color="AEAAAA" w:themeColor="background2" w:themeShade="BF"/>
            </w:tcBorders>
            <w:vAlign w:val="center"/>
            <w:hideMark/>
          </w:tcPr>
          <w:p w14:paraId="6CBF44F4"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Intensity variability</w:t>
            </w:r>
          </w:p>
        </w:tc>
        <w:tc>
          <w:tcPr>
            <w:tcW w:w="1780" w:type="pct"/>
            <w:tcBorders>
              <w:top w:val="single" w:sz="4" w:space="0" w:color="AEAAAA" w:themeColor="background2" w:themeShade="BF"/>
            </w:tcBorders>
            <w:vAlign w:val="center"/>
            <w:hideMark/>
          </w:tcPr>
          <w:p w14:paraId="00C52AFF"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Intensity variability=</m:t>
                </m:r>
                <m:f>
                  <m:fPr>
                    <m:ctrlPr>
                      <w:rPr>
                        <w:rFonts w:ascii="Cambria Math" w:hAnsi="Cambria Math" w:cs="Times New Roman"/>
                        <w:sz w:val="24"/>
                        <w:szCs w:val="24"/>
                      </w:rPr>
                    </m:ctrlPr>
                  </m:fPr>
                  <m:num>
                    <m:r>
                      <w:rPr>
                        <w:rFonts w:ascii="Cambria Math" w:hAnsi="Cambria Math" w:cs="Times New Roman"/>
                        <w:sz w:val="24"/>
                        <w:szCs w:val="24"/>
                      </w:rPr>
                      <m:t>1</m:t>
                    </m:r>
                  </m:num>
                  <m:den>
                    <m:r>
                      <m:rPr>
                        <m:sty m:val="p"/>
                      </m:rPr>
                      <w:rPr>
                        <w:rFonts w:ascii="Cambria Math" w:hAnsi="Cambria Math" w:cs="Times New Roman"/>
                        <w:sz w:val="24"/>
                        <w:szCs w:val="24"/>
                      </w:rPr>
                      <m:t>Θ</m:t>
                    </m:r>
                  </m:den>
                </m:f>
                <m:sSup>
                  <m:sSupPr>
                    <m:ctrlPr>
                      <w:rPr>
                        <w:rFonts w:ascii="Cambria Math" w:hAnsi="Cambria Math" w:cs="Times New Roman"/>
                        <w:i/>
                        <w:sz w:val="24"/>
                        <w:szCs w:val="24"/>
                      </w:rPr>
                    </m:ctrlPr>
                  </m:sSupPr>
                  <m:e>
                    <m:nary>
                      <m:naryPr>
                        <m:chr m:val="∑"/>
                        <m:limLoc m:val="undOvr"/>
                        <m:ctrlPr>
                          <w:rPr>
                            <w:rFonts w:ascii="Cambria Math" w:hAnsi="Cambria Math" w:cs="Times New Roman"/>
                            <w:sz w:val="24"/>
                            <w:szCs w:val="24"/>
                          </w:rPr>
                        </m:ctrlPr>
                      </m:naryPr>
                      <m:sub>
                        <m:r>
                          <w:rPr>
                            <w:rFonts w:ascii="Cambria Math" w:hAnsi="Cambria Math" w:cs="Times New Roman"/>
                            <w:sz w:val="24"/>
                            <w:szCs w:val="24"/>
                          </w:rPr>
                          <m:t>n=1</m:t>
                        </m:r>
                      </m:sub>
                      <m:sup>
                        <m:r>
                          <w:rPr>
                            <w:rFonts w:ascii="Cambria Math" w:hAnsi="Cambria Math" w:cs="Times New Roman"/>
                            <w:sz w:val="24"/>
                            <w:szCs w:val="24"/>
                          </w:rPr>
                          <m:t>N</m:t>
                        </m:r>
                      </m:sup>
                      <m:e>
                        <m:d>
                          <m:dPr>
                            <m:begChr m:val="["/>
                            <m:endChr m:val="]"/>
                            <m:ctrlPr>
                              <w:rPr>
                                <w:rFonts w:ascii="Cambria Math" w:hAnsi="Cambria Math" w:cs="Times New Roman"/>
                                <w:i/>
                                <w:sz w:val="24"/>
                                <w:szCs w:val="24"/>
                              </w:rPr>
                            </m:ctrlPr>
                          </m:dP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m=1</m:t>
                                </m:r>
                              </m:sub>
                              <m:sup>
                                <m:r>
                                  <w:rPr>
                                    <w:rFonts w:ascii="Cambria Math" w:hAnsi="Cambria Math" w:cs="Times New Roman"/>
                                    <w:sz w:val="24"/>
                                    <w:szCs w:val="24"/>
                                  </w:rPr>
                                  <m:t>M</m:t>
                                </m:r>
                              </m:sup>
                              <m:e>
                                <m:r>
                                  <m:rPr>
                                    <m:sty m:val="bi"/>
                                  </m:rP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m,n</m:t>
                                    </m:r>
                                  </m:e>
                                </m:d>
                              </m:e>
                            </m:nary>
                          </m:e>
                        </m:d>
                      </m:e>
                    </m:nary>
                  </m:e>
                  <m:sup>
                    <m:r>
                      <w:rPr>
                        <w:rFonts w:ascii="Cambria Math" w:hAnsi="Cambria Math" w:cs="Times New Roman"/>
                        <w:sz w:val="24"/>
                        <w:szCs w:val="24"/>
                      </w:rPr>
                      <m:t>2</m:t>
                    </m:r>
                  </m:sup>
                </m:sSup>
              </m:oMath>
            </m:oMathPara>
          </w:p>
        </w:tc>
        <w:tc>
          <w:tcPr>
            <w:tcW w:w="808" w:type="pct"/>
            <w:tcBorders>
              <w:top w:val="single" w:sz="4" w:space="0" w:color="AEAAAA" w:themeColor="background2" w:themeShade="BF"/>
            </w:tcBorders>
            <w:vAlign w:val="center"/>
            <w:hideMark/>
          </w:tcPr>
          <w:p w14:paraId="270F30E9"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Variability in the intensity of ROI</w:t>
            </w:r>
          </w:p>
        </w:tc>
        <w:tc>
          <w:tcPr>
            <w:tcW w:w="807" w:type="pct"/>
            <w:tcBorders>
              <w:top w:val="single" w:sz="4" w:space="0" w:color="AEAAAA" w:themeColor="background2" w:themeShade="BF"/>
            </w:tcBorders>
            <w:vAlign w:val="center"/>
          </w:tcPr>
          <w:p w14:paraId="0CD41DEF"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shd w:val="clear" w:color="auto" w:fill="FFFFFF"/>
              </w:rPr>
              <w:t>O</w:t>
            </w:r>
          </w:p>
        </w:tc>
      </w:tr>
      <w:tr w:rsidR="00C635FF" w:rsidRPr="00821999" w14:paraId="24F44808" w14:textId="77777777" w:rsidTr="001F380A">
        <w:trPr>
          <w:trHeight w:val="70"/>
        </w:trPr>
        <w:tc>
          <w:tcPr>
            <w:tcW w:w="606" w:type="pct"/>
            <w:vMerge/>
            <w:tcBorders>
              <w:bottom w:val="single" w:sz="12" w:space="0" w:color="auto"/>
            </w:tcBorders>
            <w:vAlign w:val="center"/>
            <w:hideMark/>
          </w:tcPr>
          <w:p w14:paraId="00A4094C" w14:textId="77777777" w:rsidR="00C635FF" w:rsidRPr="00821999" w:rsidRDefault="00C635FF" w:rsidP="001F380A">
            <w:pPr>
              <w:spacing w:after="0"/>
              <w:jc w:val="center"/>
              <w:rPr>
                <w:rFonts w:ascii="Times New Roman" w:hAnsi="Times New Roman" w:cs="Times New Roman"/>
                <w:b/>
                <w:sz w:val="24"/>
                <w:szCs w:val="24"/>
              </w:rPr>
            </w:pPr>
          </w:p>
        </w:tc>
        <w:tc>
          <w:tcPr>
            <w:tcW w:w="4394" w:type="pct"/>
            <w:gridSpan w:val="4"/>
            <w:tcBorders>
              <w:bottom w:val="single" w:sz="12" w:space="0" w:color="auto"/>
            </w:tcBorders>
            <w:vAlign w:val="center"/>
            <w:hideMark/>
          </w:tcPr>
          <w:p w14:paraId="3005532C" w14:textId="77777777" w:rsidR="00C635FF" w:rsidRPr="00821999" w:rsidRDefault="00C635FF" w:rsidP="001F380A">
            <w:pPr>
              <w:spacing w:after="0"/>
              <w:jc w:val="center"/>
              <w:rPr>
                <w:rFonts w:ascii="Times New Roman" w:eastAsiaTheme="minorHAnsi" w:hAnsi="Times New Roman" w:cs="Times New Roman"/>
                <w:sz w:val="24"/>
                <w:szCs w:val="24"/>
              </w:rPr>
            </w:pPr>
            <w:r w:rsidRPr="00821999">
              <w:rPr>
                <w:rFonts w:ascii="Times New Roman" w:eastAsiaTheme="minorHAnsi" w:hAnsi="Times New Roman" w:cs="Times New Roman"/>
                <w:sz w:val="24"/>
                <w:szCs w:val="24"/>
              </w:rPr>
              <w:t xml:space="preserve">Where </w:t>
            </w:r>
            <m:oMath>
              <m:r>
                <m:rPr>
                  <m:sty m:val="bi"/>
                </m:rPr>
                <w:rPr>
                  <w:rFonts w:ascii="Cambria Math" w:eastAsiaTheme="minorHAnsi" w:hAnsi="Cambria Math" w:cs="Times New Roman"/>
                  <w:sz w:val="24"/>
                  <w:szCs w:val="24"/>
                </w:rPr>
                <m:t>P</m:t>
              </m:r>
              <m:d>
                <m:dPr>
                  <m:ctrlPr>
                    <w:rPr>
                      <w:rFonts w:ascii="Cambria Math" w:eastAsiaTheme="minorHAnsi" w:hAnsi="Cambria Math" w:cs="Times New Roman"/>
                      <w:i/>
                      <w:sz w:val="24"/>
                      <w:szCs w:val="24"/>
                    </w:rPr>
                  </m:ctrlPr>
                </m:dPr>
                <m:e>
                  <m:r>
                    <w:rPr>
                      <w:rFonts w:ascii="Cambria Math" w:eastAsiaTheme="minorHAnsi" w:hAnsi="Cambria Math" w:cs="Times New Roman"/>
                      <w:sz w:val="24"/>
                      <w:szCs w:val="24"/>
                    </w:rPr>
                    <m:t>m,n</m:t>
                  </m:r>
                </m:e>
              </m:d>
            </m:oMath>
            <w:r w:rsidRPr="00821999">
              <w:rPr>
                <w:rFonts w:ascii="Times New Roman" w:eastAsiaTheme="minorHAnsi" w:hAnsi="Times New Roman" w:cs="Times New Roman"/>
                <w:sz w:val="24"/>
                <w:szCs w:val="24"/>
              </w:rPr>
              <w:t xml:space="preserve"> is the intensity size zone matrix</w:t>
            </w:r>
          </w:p>
          <w:p w14:paraId="5754790E" w14:textId="77777777" w:rsidR="00C635FF" w:rsidRPr="00821999" w:rsidRDefault="00C635FF" w:rsidP="001F380A">
            <w:pPr>
              <w:spacing w:after="0"/>
              <w:jc w:val="center"/>
              <w:rPr>
                <w:rFonts w:ascii="Times New Roman" w:eastAsiaTheme="minorHAnsi" w:hAnsi="Times New Roman" w:cs="Times New Roman"/>
                <w:sz w:val="24"/>
                <w:szCs w:val="24"/>
              </w:rPr>
            </w:pPr>
            <m:oMath>
              <m:r>
                <m:rPr>
                  <m:sty m:val="p"/>
                </m:rPr>
                <w:rPr>
                  <w:rFonts w:ascii="Cambria Math" w:eastAsiaTheme="minorHAnsi" w:hAnsi="Cambria Math" w:cs="Times New Roman"/>
                  <w:sz w:val="24"/>
                  <w:szCs w:val="24"/>
                </w:rPr>
                <m:t>Θ</m:t>
              </m:r>
            </m:oMath>
            <w:r w:rsidRPr="00821999">
              <w:rPr>
                <w:rFonts w:ascii="Times New Roman" w:eastAsiaTheme="minorHAnsi" w:hAnsi="Times New Roman" w:cs="Times New Roman"/>
                <w:sz w:val="24"/>
                <w:szCs w:val="24"/>
              </w:rPr>
              <w:t xml:space="preserve"> represents the number of homogeneous areas in tumor,</w:t>
            </w:r>
          </w:p>
          <w:p w14:paraId="5EB4EAA9" w14:textId="77777777" w:rsidR="00C635FF" w:rsidRPr="00821999" w:rsidRDefault="00C635FF" w:rsidP="001F380A">
            <w:pPr>
              <w:spacing w:after="0"/>
              <w:jc w:val="center"/>
              <w:rPr>
                <w:rFonts w:ascii="Times New Roman" w:eastAsiaTheme="minorHAnsi" w:hAnsi="Times New Roman" w:cs="Times New Roman"/>
                <w:sz w:val="24"/>
                <w:szCs w:val="24"/>
              </w:rPr>
            </w:pPr>
            <m:oMath>
              <m:r>
                <w:rPr>
                  <w:rFonts w:ascii="Cambria Math" w:eastAsiaTheme="minorHAnsi" w:hAnsi="Cambria Math" w:cs="Times New Roman"/>
                  <w:sz w:val="24"/>
                  <w:szCs w:val="24"/>
                </w:rPr>
                <m:t>M</m:t>
              </m:r>
            </m:oMath>
            <w:r w:rsidRPr="00821999">
              <w:rPr>
                <w:rFonts w:ascii="Times New Roman" w:eastAsiaTheme="minorHAnsi" w:hAnsi="Times New Roman" w:cs="Times New Roman"/>
                <w:sz w:val="24"/>
                <w:szCs w:val="24"/>
              </w:rPr>
              <w:t xml:space="preserve"> is the number of distinct intensity values,</w:t>
            </w:r>
          </w:p>
          <w:p w14:paraId="5D9B2C03" w14:textId="77777777" w:rsidR="00C635FF" w:rsidRPr="00821999" w:rsidRDefault="00C635FF" w:rsidP="001F380A">
            <w:pPr>
              <w:spacing w:after="0"/>
              <w:jc w:val="center"/>
              <w:rPr>
                <w:rFonts w:ascii="Times New Roman" w:eastAsiaTheme="minorHAnsi" w:hAnsi="Times New Roman" w:cs="Times New Roman"/>
                <w:sz w:val="24"/>
                <w:szCs w:val="24"/>
              </w:rPr>
            </w:pPr>
            <m:oMath>
              <m:r>
                <w:rPr>
                  <w:rFonts w:ascii="Cambria Math" w:eastAsiaTheme="minorHAnsi" w:hAnsi="Cambria Math" w:cs="Times New Roman"/>
                  <w:sz w:val="24"/>
                  <w:szCs w:val="24"/>
                </w:rPr>
                <m:t>N</m:t>
              </m:r>
            </m:oMath>
            <w:r w:rsidRPr="00821999">
              <w:rPr>
                <w:rFonts w:ascii="Times New Roman" w:eastAsiaTheme="minorHAnsi" w:hAnsi="Times New Roman" w:cs="Times New Roman"/>
                <w:sz w:val="24"/>
                <w:szCs w:val="24"/>
              </w:rPr>
              <w:t xml:space="preserve"> is the size of homogeneous area in the matrix </w:t>
            </w:r>
            <m:oMath>
              <m:r>
                <m:rPr>
                  <m:sty m:val="bi"/>
                </m:rPr>
                <w:rPr>
                  <w:rFonts w:ascii="Cambria Math" w:eastAsiaTheme="minorHAnsi" w:hAnsi="Cambria Math" w:cs="Times New Roman"/>
                  <w:sz w:val="24"/>
                  <w:szCs w:val="24"/>
                </w:rPr>
                <m:t>P</m:t>
              </m:r>
              <m:d>
                <m:dPr>
                  <m:ctrlPr>
                    <w:rPr>
                      <w:rFonts w:ascii="Cambria Math" w:eastAsiaTheme="minorHAnsi" w:hAnsi="Cambria Math" w:cs="Times New Roman"/>
                      <w:i/>
                      <w:sz w:val="24"/>
                      <w:szCs w:val="24"/>
                    </w:rPr>
                  </m:ctrlPr>
                </m:dPr>
                <m:e>
                  <m:r>
                    <w:rPr>
                      <w:rFonts w:ascii="Cambria Math" w:eastAsiaTheme="minorHAnsi" w:hAnsi="Cambria Math" w:cs="Times New Roman"/>
                      <w:sz w:val="24"/>
                      <w:szCs w:val="24"/>
                    </w:rPr>
                    <m:t>m,n</m:t>
                  </m:r>
                </m:e>
              </m:d>
            </m:oMath>
          </w:p>
        </w:tc>
      </w:tr>
      <w:tr w:rsidR="00C635FF" w:rsidRPr="00821999" w14:paraId="099C85A3" w14:textId="77777777" w:rsidTr="001F380A">
        <w:trPr>
          <w:trHeight w:val="70"/>
        </w:trPr>
        <w:tc>
          <w:tcPr>
            <w:tcW w:w="606" w:type="pct"/>
            <w:vMerge w:val="restart"/>
            <w:tcBorders>
              <w:top w:val="single" w:sz="12" w:space="0" w:color="auto"/>
              <w:bottom w:val="single" w:sz="4" w:space="0" w:color="AEAAAA" w:themeColor="background2" w:themeShade="BF"/>
            </w:tcBorders>
            <w:shd w:val="clear" w:color="auto" w:fill="auto"/>
            <w:vAlign w:val="center"/>
          </w:tcPr>
          <w:p w14:paraId="4A7C25AF" w14:textId="77777777" w:rsidR="00C635FF" w:rsidRPr="00821999" w:rsidRDefault="00C635FF" w:rsidP="001F380A">
            <w:pPr>
              <w:spacing w:after="0"/>
              <w:jc w:val="center"/>
              <w:rPr>
                <w:rFonts w:ascii="Times New Roman" w:eastAsiaTheme="minorHAnsi" w:hAnsi="Times New Roman" w:cs="Times New Roman"/>
                <w:b/>
                <w:iCs/>
                <w:sz w:val="24"/>
                <w:szCs w:val="24"/>
              </w:rPr>
            </w:pPr>
            <w:r w:rsidRPr="00821999">
              <w:rPr>
                <w:rFonts w:ascii="Times New Roman" w:eastAsiaTheme="minorHAnsi" w:hAnsi="Times New Roman" w:cs="Times New Roman"/>
                <w:b/>
                <w:iCs/>
                <w:sz w:val="24"/>
                <w:szCs w:val="24"/>
              </w:rPr>
              <w:t xml:space="preserve">NGTDM-based features </w:t>
            </w:r>
            <w:r w:rsidRPr="00821999">
              <w:rPr>
                <w:rFonts w:ascii="Times New Roman" w:eastAsiaTheme="minorHAnsi" w:hAnsi="Times New Roman" w:cs="Times New Roman"/>
                <w:b/>
                <w:iCs/>
                <w:sz w:val="24"/>
                <w:szCs w:val="24"/>
              </w:rPr>
              <w:fldChar w:fldCharType="begin" w:fldLock="1"/>
            </w:r>
            <w:r w:rsidRPr="00821999">
              <w:rPr>
                <w:rFonts w:ascii="Times New Roman" w:eastAsiaTheme="minorHAnsi" w:hAnsi="Times New Roman" w:cs="Times New Roman"/>
                <w:b/>
                <w:iCs/>
                <w:sz w:val="24"/>
                <w:szCs w:val="24"/>
              </w:rPr>
              <w:instrText>ADDIN CSL_CITATION {"citationItems":[{"id":"ITEM-1","itemData":{"DOI":"10.1371/journal.pone.0076880","ISSN":"19326203","PMID":"24146940","abstract":"There is a strong research interest in identifying the surface roughness of the carotid arterial inner wall via texture analysis for early diagnosis of atherosclerosis. The purpose of this study is to assess the efficacy of texture analysis methods for identifying arterial roughness in the early stage of atherosclerosis. Ultrasound images of common carotid arteries of 15 normal mice fed a normal diet and 28 apoE(-/-) mice fed a high-fat diet were recorded by a high-frequency ultrasound system (Vevo 2100, frequency: 40 MHz). Six different texture feature sets were extracted based on the following methods: first-order statistics, fractal dimension texture analysis, spatial gray level dependence matrix, gray level difference statistics, the neighborhood gray tone difference matrix, and the statistical feature matrix. Statistical analysis indicates that 11 of 19 texture features can be used to distinguish between normal and abnormal groups (p&lt;0.05). When the 11 optimal features were used as inputs to a support vector machine classifier, we achieved over 89% accuracy, 87% sensitivity and 93% specificity. The accuracy, sensitivity and specificity for the k-nearest neighbor classifier were 73%, 75% and 70%, respectively. The results show that it is feasible to identify arterial surface roughness based on texture features extracted from ultrasound images of the carotid arterial wall. This method is shown to be useful for early detection and diagnosis of atherosclerosis.","author":[{"dropping-particle":"","family":"Niu","given":"Lili","non-dropping-particle":"","parse-names":false,"suffix":""},{"dropping-particle":"","family":"Qian","given":"Ming","non-dropping-particle":"","parse-names":false,"suffix":""},{"dropping-particle":"","family":"Yang","given":"Wei","non-dropping-particle":"","parse-names":false,"suffix":""},{"dropping-particle":"","family":"Meng","given":"Long","non-dropping-particle":"","parse-names":false,"suffix":""},{"dropping-particle":"","family":"Xiao","given":"Yang","non-dropping-particle":"","parse-names":false,"suffix":""},{"dropping-particle":"","family":"Wong","given":"Kelvin K L","non-dropping-particle":"","parse-names":false,"suffix":""},{"dropping-particle":"","family":"Abbott","given":"Derek","non-dropping-particle":"","parse-names":false,"suffix":""},{"dropping-particle":"","family":"Liu","given":"Xin","non-dropping-particle":"","parse-names":false,"suffix":""},{"dropping-particle":"","family":"Zheng","given":"Hairong","non-dropping-particle":"","parse-names":false,"suffix":""}],"container-title":"PLoS ONE","id":"ITEM-1","issue":"10","issued":{"date-parts":[["2013"]]},"title":"Surface Roughness Detection of Arteries via Texture Analysis of Ultrasound Images for Early Diagnosis of Atherosclerosis","type":"article-journal","volume":"8"},"uris":["http://www.mendeley.com/documents/?uuid=6d47613c-7030-4cbf-a332-c4e415535741"]},{"id":"ITEM-2","itemData":{"DOI":"10.1007/s13244-012-0196-6","ISBN":"1869-4101","ISSN":"18694101","PMID":"23093486","abstract":"BACKGROUND: Tumor spatial heterogeneity is an important prognostic factor, which may be reflected in medical images\\n\\nMETHODS: Image texture analysis is an approach of quantifying heterogeneity that may not be appreciated by the naked eye. Different methods can be applied including statistical-, model-, and transform-based methods.\\n\\nRESULTS: Early evidence suggests that texture analysis has the potential to augment diagnosis and characterization as well as improve tumor staging and therapy response assessment in oncological practice.\\n\\nCONCLUSION: This review provides an overview of the application of texture analysis with different imaging modalities, CT, MRI, and PET, to date and describes the technical challenges that have limited its widespread clinical implementation so far. With further efforts to refine its application, image texture analysis has the potential to develop into a valuable clinical tool for oncologic imaging. TEACHING POINTS : • Tumor spatial heterogeneity is an important prognostic factor. • Image texture analysis is an approach of quantifying heterogeneity. • Different methods can be applied, including statistical-, model-, and transform-based methods. • Texture analysis could improve the diagnosis, tumor staging, and therapy response assessment.","author":[{"dropping-particle":"","family":"Davnall","given":"Fergus","non-dropping-particle":"","parse-names":false,"suffix":""},{"dropping-particle":"","family":"Yip","given":"Connie S P","non-dropping-particle":"","parse-names":false,"suffix":""},{"dropping-particle":"","family":"Ljungqvist","given":"Gunnar","non-dropping-particle":"","parse-names":false,"suffix":""},{"dropping-particle":"","family":"Selmi","given":"Mariyah","non-dropping-particle":"","parse-names":false,"suffix":""},{"dropping-particle":"","family":"Ng","given":"Francesca","non-dropping-particle":"","parse-names":false,"suffix":""},{"dropping-particle":"","family":"Sanghera","given":"Bal","non-dropping-particle":"","parse-names":false,"suffix":""},{"dropping-particle":"","family":"Ganeshan","given":"Balaji","non-dropping-particle":"","parse-names":false,"suffix":""},{"dropping-particle":"","family":"Miles","given":"Kenneth a.","non-dropping-particle":"","parse-names":false,"suffix":""},{"dropping-particle":"","family":"Cook","given":"Gary J.","non-dropping-particle":"","parse-names":false,"suffix":""},{"dropping-particle":"","family":"Goh","given":"Vicky","non-dropping-particle":"","parse-names":false,"suffix":""}],"container-title":"Insights into Imaging","id":"ITEM-2","issued":{"date-parts":[["2012"]]},"page":"573-589","title":"Assessment of tumor heterogeneity: An emerging imaging tool for clinical practice?","type":"article-journal","volume":"3"},"uris":["http://www.mendeley.com/documents/?uuid=2afbc593-ac79-44a8-b00e-5497491dbe94"]}],"mendeley":{"formattedCitation":"[5,6]","plainTextFormattedCitation":"[5,6]","previouslyFormattedCitation":"[5,6]"},"properties":{"noteIndex":0},"schema":"https://github.com/citation-style-language/schema/raw/master/csl-citation.json"}</w:instrText>
            </w:r>
            <w:r w:rsidRPr="00821999">
              <w:rPr>
                <w:rFonts w:ascii="Times New Roman" w:eastAsiaTheme="minorHAnsi" w:hAnsi="Times New Roman" w:cs="Times New Roman"/>
                <w:b/>
                <w:iCs/>
                <w:sz w:val="24"/>
                <w:szCs w:val="24"/>
              </w:rPr>
              <w:fldChar w:fldCharType="separate"/>
            </w:r>
            <w:r w:rsidRPr="00821999">
              <w:rPr>
                <w:rFonts w:ascii="Times New Roman" w:eastAsiaTheme="minorHAnsi" w:hAnsi="Times New Roman" w:cs="Times New Roman"/>
                <w:iCs/>
                <w:noProof/>
                <w:sz w:val="24"/>
                <w:szCs w:val="24"/>
              </w:rPr>
              <w:t>[5,6]</w:t>
            </w:r>
            <w:r w:rsidRPr="00821999">
              <w:rPr>
                <w:rFonts w:ascii="Times New Roman" w:eastAsiaTheme="minorHAnsi" w:hAnsi="Times New Roman" w:cs="Times New Roman"/>
                <w:b/>
                <w:iCs/>
                <w:sz w:val="24"/>
                <w:szCs w:val="24"/>
              </w:rPr>
              <w:fldChar w:fldCharType="end"/>
            </w:r>
          </w:p>
        </w:tc>
        <w:tc>
          <w:tcPr>
            <w:tcW w:w="999" w:type="pct"/>
            <w:tcBorders>
              <w:top w:val="single" w:sz="12" w:space="0" w:color="auto"/>
              <w:bottom w:val="single" w:sz="4" w:space="0" w:color="AEAAAA" w:themeColor="background2" w:themeShade="BF"/>
            </w:tcBorders>
            <w:vAlign w:val="center"/>
          </w:tcPr>
          <w:p w14:paraId="17BE8F0E" w14:textId="77777777" w:rsidR="00C635FF" w:rsidRPr="00821999" w:rsidRDefault="00C635FF" w:rsidP="001F380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821999">
              <w:rPr>
                <w:rFonts w:ascii="Times New Roman" w:hAnsi="Times New Roman" w:cs="Times New Roman"/>
                <w:kern w:val="0"/>
                <w:sz w:val="24"/>
                <w:szCs w:val="24"/>
              </w:rPr>
              <w:t>Busyness</w:t>
            </w:r>
          </w:p>
        </w:tc>
        <w:tc>
          <w:tcPr>
            <w:tcW w:w="1780" w:type="pct"/>
            <w:tcBorders>
              <w:top w:val="single" w:sz="12" w:space="0" w:color="auto"/>
              <w:bottom w:val="single" w:sz="4" w:space="0" w:color="AEAAAA" w:themeColor="background2" w:themeShade="BF"/>
            </w:tcBorders>
            <w:vAlign w:val="center"/>
          </w:tcPr>
          <w:p w14:paraId="0482D5D2"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Busyness=</m:t>
                </m:r>
                <m:nary>
                  <m:naryPr>
                    <m:chr m:val="∑"/>
                    <m:limLoc m:val="undOvr"/>
                    <m:ctrlPr>
                      <w:rPr>
                        <w:rFonts w:ascii="Cambria Math" w:eastAsia="맑은 고딕" w:hAnsi="Cambria Math" w:cs="Times New Roman"/>
                        <w:sz w:val="24"/>
                        <w:szCs w:val="24"/>
                      </w:rPr>
                    </m:ctrlPr>
                  </m:naryPr>
                  <m:sub>
                    <m:r>
                      <w:rPr>
                        <w:rFonts w:ascii="Cambria Math" w:eastAsia="맑은 고딕" w:hAnsi="Cambria Math" w:cs="Times New Roman"/>
                        <w:sz w:val="24"/>
                        <w:szCs w:val="24"/>
                      </w:rPr>
                      <m:t>i=1</m:t>
                    </m:r>
                  </m:sub>
                  <m:sup>
                    <m:r>
                      <w:rPr>
                        <w:rFonts w:ascii="Cambria Math" w:eastAsia="맑은 고딕" w:hAnsi="Cambria Math" w:cs="Times New Roman"/>
                        <w:sz w:val="24"/>
                        <w:szCs w:val="24"/>
                      </w:rPr>
                      <m:t>L</m:t>
                    </m:r>
                  </m:sup>
                  <m:e>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i</m:t>
                        </m:r>
                      </m:sub>
                    </m:sSub>
                    <m:r>
                      <w:rPr>
                        <w:rFonts w:ascii="Cambria Math" w:eastAsia="맑은 고딕" w:hAnsi="Cambria Math" w:cs="Times New Roman"/>
                        <w:sz w:val="24"/>
                        <w:szCs w:val="24"/>
                      </w:rPr>
                      <m:t>s(i)/</m:t>
                    </m:r>
                    <m:nary>
                      <m:naryPr>
                        <m:chr m:val="∑"/>
                        <m:limLoc m:val="undOvr"/>
                        <m:ctrlPr>
                          <w:rPr>
                            <w:rFonts w:ascii="Cambria Math" w:eastAsia="맑은 고딕" w:hAnsi="Cambria Math" w:cs="Times New Roman"/>
                            <w:i/>
                            <w:sz w:val="24"/>
                            <w:szCs w:val="24"/>
                          </w:rPr>
                        </m:ctrlPr>
                      </m:naryPr>
                      <m:sub>
                        <m:r>
                          <w:rPr>
                            <w:rFonts w:ascii="Cambria Math" w:eastAsia="맑은 고딕" w:hAnsi="Cambria Math" w:cs="Times New Roman"/>
                            <w:sz w:val="24"/>
                            <w:szCs w:val="24"/>
                          </w:rPr>
                          <m:t>i=1</m:t>
                        </m:r>
                      </m:sub>
                      <m:sup>
                        <m:r>
                          <w:rPr>
                            <w:rFonts w:ascii="Cambria Math" w:eastAsia="맑은 고딕" w:hAnsi="Cambria Math" w:cs="Times New Roman"/>
                            <w:sz w:val="24"/>
                            <w:szCs w:val="24"/>
                          </w:rPr>
                          <m:t>L</m:t>
                        </m:r>
                      </m:sup>
                      <m:e>
                        <m:nary>
                          <m:naryPr>
                            <m:chr m:val="∑"/>
                            <m:limLoc m:val="undOvr"/>
                            <m:ctrlPr>
                              <w:rPr>
                                <w:rFonts w:ascii="Cambria Math" w:eastAsia="맑은 고딕" w:hAnsi="Cambria Math" w:cs="Times New Roman"/>
                                <w:i/>
                                <w:sz w:val="24"/>
                                <w:szCs w:val="24"/>
                              </w:rPr>
                            </m:ctrlPr>
                          </m:naryPr>
                          <m:sub>
                            <m:r>
                              <w:rPr>
                                <w:rFonts w:ascii="Cambria Math" w:eastAsia="맑은 고딕" w:hAnsi="Cambria Math" w:cs="Times New Roman"/>
                                <w:sz w:val="24"/>
                                <w:szCs w:val="24"/>
                              </w:rPr>
                              <m:t>j=1</m:t>
                            </m:r>
                          </m:sub>
                          <m:sup>
                            <m:r>
                              <w:rPr>
                                <w:rFonts w:ascii="Cambria Math" w:eastAsia="맑은 고딕" w:hAnsi="Cambria Math" w:cs="Times New Roman"/>
                                <w:sz w:val="24"/>
                                <w:szCs w:val="24"/>
                              </w:rPr>
                              <m:t>L</m:t>
                            </m:r>
                          </m:sup>
                          <m:e>
                            <m:r>
                              <w:rPr>
                                <w:rFonts w:ascii="Cambria Math" w:eastAsia="맑은 고딕" w:hAnsi="Cambria Math" w:cs="Times New Roman"/>
                                <w:sz w:val="24"/>
                                <w:szCs w:val="24"/>
                              </w:rPr>
                              <m:t>(i</m:t>
                            </m:r>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i</m:t>
                                </m:r>
                              </m:sub>
                            </m:sSub>
                            <m:r>
                              <w:rPr>
                                <w:rFonts w:ascii="Cambria Math" w:eastAsia="맑은 고딕" w:hAnsi="Cambria Math" w:cs="Times New Roman"/>
                                <w:sz w:val="24"/>
                                <w:szCs w:val="24"/>
                              </w:rPr>
                              <m:t>-j</m:t>
                            </m:r>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j</m:t>
                                </m:r>
                              </m:sub>
                            </m:sSub>
                            <m:r>
                              <w:rPr>
                                <w:rFonts w:ascii="Cambria Math" w:eastAsia="맑은 고딕" w:hAnsi="Cambria Math" w:cs="Times New Roman"/>
                                <w:sz w:val="24"/>
                                <w:szCs w:val="24"/>
                              </w:rPr>
                              <m:t>)</m:t>
                            </m:r>
                          </m:e>
                        </m:nary>
                      </m:e>
                    </m:nary>
                  </m:e>
                </m:nary>
              </m:oMath>
            </m:oMathPara>
          </w:p>
        </w:tc>
        <w:tc>
          <w:tcPr>
            <w:tcW w:w="808" w:type="pct"/>
            <w:tcBorders>
              <w:top w:val="single" w:sz="12" w:space="0" w:color="auto"/>
              <w:bottom w:val="single" w:sz="4" w:space="0" w:color="AEAAAA" w:themeColor="background2" w:themeShade="BF"/>
            </w:tcBorders>
            <w:vAlign w:val="center"/>
          </w:tcPr>
          <w:p w14:paraId="2A518294" w14:textId="77777777" w:rsidR="00C635FF" w:rsidRPr="00821999" w:rsidRDefault="00C635FF" w:rsidP="001F380A">
            <w:pPr>
              <w:spacing w:after="0"/>
              <w:jc w:val="center"/>
              <w:rPr>
                <w:rStyle w:val="Char2"/>
                <w:rFonts w:ascii="Times New Roman" w:hAnsi="Times New Roman" w:cs="Times New Roman"/>
              </w:rPr>
            </w:pPr>
            <w:r w:rsidRPr="00821999">
              <w:rPr>
                <w:rStyle w:val="Char2"/>
                <w:rFonts w:ascii="Times New Roman" w:hAnsi="Times New Roman" w:cs="Times New Roman"/>
              </w:rPr>
              <w:t>Measure of spatial rate of gray-level change</w:t>
            </w:r>
          </w:p>
        </w:tc>
        <w:tc>
          <w:tcPr>
            <w:tcW w:w="807" w:type="pct"/>
            <w:tcBorders>
              <w:top w:val="single" w:sz="12" w:space="0" w:color="auto"/>
              <w:bottom w:val="single" w:sz="4" w:space="0" w:color="AEAAAA" w:themeColor="background2" w:themeShade="BF"/>
            </w:tcBorders>
            <w:vAlign w:val="center"/>
          </w:tcPr>
          <w:p w14:paraId="140B1E77"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14E39730" w14:textId="77777777" w:rsidTr="001F380A">
        <w:trPr>
          <w:trHeight w:val="70"/>
        </w:trPr>
        <w:tc>
          <w:tcPr>
            <w:tcW w:w="606" w:type="pct"/>
            <w:vMerge/>
            <w:tcBorders>
              <w:top w:val="single" w:sz="4" w:space="0" w:color="AEAAAA" w:themeColor="background2" w:themeShade="BF"/>
            </w:tcBorders>
            <w:shd w:val="clear" w:color="auto" w:fill="auto"/>
            <w:vAlign w:val="center"/>
          </w:tcPr>
          <w:p w14:paraId="54BF7FDA"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tcBorders>
              <w:top w:val="single" w:sz="4" w:space="0" w:color="AEAAAA" w:themeColor="background2" w:themeShade="BF"/>
            </w:tcBorders>
            <w:vAlign w:val="center"/>
          </w:tcPr>
          <w:p w14:paraId="5198AC87" w14:textId="77777777" w:rsidR="00C635FF" w:rsidRPr="00821999" w:rsidRDefault="00C635FF" w:rsidP="001F380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821999">
              <w:rPr>
                <w:rFonts w:ascii="Times New Roman" w:hAnsi="Times New Roman" w:cs="Times New Roman"/>
                <w:kern w:val="0"/>
                <w:sz w:val="24"/>
                <w:szCs w:val="24"/>
              </w:rPr>
              <w:t>Coarseness</w:t>
            </w:r>
          </w:p>
        </w:tc>
        <w:tc>
          <w:tcPr>
            <w:tcW w:w="1780" w:type="pct"/>
            <w:tcBorders>
              <w:top w:val="single" w:sz="4" w:space="0" w:color="AEAAAA" w:themeColor="background2" w:themeShade="BF"/>
            </w:tcBorders>
            <w:vAlign w:val="center"/>
          </w:tcPr>
          <w:p w14:paraId="691FAB2E"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Coarseness</m:t>
                </m:r>
                <m:r>
                  <w:rPr>
                    <w:rFonts w:ascii="Cambria Math" w:eastAsia="맑은 고딕" w:hAnsi="Cambria Math" w:cs="Times New Roman"/>
                    <w:sz w:val="24"/>
                    <w:szCs w:val="24"/>
                  </w:rPr>
                  <m:t>=</m:t>
                </m:r>
                <m:sSup>
                  <m:sSupPr>
                    <m:ctrlPr>
                      <w:rPr>
                        <w:rFonts w:ascii="Cambria Math" w:eastAsia="맑은 고딕" w:hAnsi="Cambria Math" w:cs="Times New Roman"/>
                        <w:sz w:val="24"/>
                        <w:szCs w:val="24"/>
                      </w:rPr>
                    </m:ctrlPr>
                  </m:sSupPr>
                  <m:e>
                    <m:d>
                      <m:dPr>
                        <m:begChr m:val="["/>
                        <m:endChr m:val="]"/>
                        <m:ctrlPr>
                          <w:rPr>
                            <w:rFonts w:ascii="Cambria Math" w:eastAsia="맑은 고딕" w:hAnsi="Cambria Math" w:cs="Times New Roman"/>
                            <w:sz w:val="24"/>
                            <w:szCs w:val="24"/>
                          </w:rPr>
                        </m:ctrlPr>
                      </m:dPr>
                      <m:e>
                        <m:nary>
                          <m:naryPr>
                            <m:chr m:val="∑"/>
                            <m:limLoc m:val="undOvr"/>
                            <m:ctrlPr>
                              <w:rPr>
                                <w:rFonts w:ascii="Cambria Math" w:eastAsia="맑은 고딕" w:hAnsi="Cambria Math" w:cs="Times New Roman"/>
                                <w:sz w:val="24"/>
                                <w:szCs w:val="24"/>
                              </w:rPr>
                            </m:ctrlPr>
                          </m:naryPr>
                          <m:sub>
                            <m:r>
                              <w:rPr>
                                <w:rFonts w:ascii="Cambria Math" w:eastAsia="맑은 고딕" w:hAnsi="Cambria Math" w:cs="Times New Roman"/>
                                <w:sz w:val="24"/>
                                <w:szCs w:val="24"/>
                              </w:rPr>
                              <m:t>i=1</m:t>
                            </m:r>
                          </m:sub>
                          <m:sup>
                            <m:r>
                              <w:rPr>
                                <w:rFonts w:ascii="Cambria Math" w:eastAsia="맑은 고딕" w:hAnsi="Cambria Math" w:cs="Times New Roman"/>
                                <w:sz w:val="24"/>
                                <w:szCs w:val="24"/>
                              </w:rPr>
                              <m:t>L</m:t>
                            </m:r>
                          </m:sup>
                          <m:e>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i</m:t>
                                </m:r>
                              </m:sub>
                            </m:sSub>
                            <m:r>
                              <w:rPr>
                                <w:rFonts w:ascii="Cambria Math" w:eastAsia="맑은 고딕" w:hAnsi="Cambria Math" w:cs="Times New Roman"/>
                                <w:sz w:val="24"/>
                                <w:szCs w:val="24"/>
                              </w:rPr>
                              <m:t>s(i)</m:t>
                            </m:r>
                          </m:e>
                        </m:nary>
                      </m:e>
                    </m:d>
                  </m:e>
                  <m:sup>
                    <m:r>
                      <w:rPr>
                        <w:rFonts w:ascii="Cambria Math" w:eastAsia="맑은 고딕" w:hAnsi="Cambria Math" w:cs="Times New Roman"/>
                        <w:sz w:val="24"/>
                        <w:szCs w:val="24"/>
                      </w:rPr>
                      <m:t>-1</m:t>
                    </m:r>
                  </m:sup>
                </m:sSup>
              </m:oMath>
            </m:oMathPara>
          </w:p>
        </w:tc>
        <w:tc>
          <w:tcPr>
            <w:tcW w:w="808" w:type="pct"/>
            <w:tcBorders>
              <w:top w:val="single" w:sz="4" w:space="0" w:color="AEAAAA" w:themeColor="background2" w:themeShade="BF"/>
            </w:tcBorders>
            <w:vAlign w:val="center"/>
          </w:tcPr>
          <w:p w14:paraId="7EF6F260" w14:textId="77777777" w:rsidR="00C635FF" w:rsidRPr="00821999" w:rsidRDefault="00C635FF" w:rsidP="001F380A">
            <w:pPr>
              <w:spacing w:after="0"/>
              <w:jc w:val="center"/>
              <w:rPr>
                <w:rStyle w:val="Char2"/>
                <w:rFonts w:ascii="Times New Roman" w:hAnsi="Times New Roman" w:cs="Times New Roman"/>
              </w:rPr>
            </w:pPr>
            <w:r w:rsidRPr="00821999">
              <w:rPr>
                <w:rStyle w:val="Char2"/>
                <w:rFonts w:ascii="Times New Roman" w:hAnsi="Times New Roman" w:cs="Times New Roman"/>
              </w:rPr>
              <w:t>Measure of edge density</w:t>
            </w:r>
          </w:p>
        </w:tc>
        <w:tc>
          <w:tcPr>
            <w:tcW w:w="807" w:type="pct"/>
            <w:tcBorders>
              <w:top w:val="single" w:sz="4" w:space="0" w:color="AEAAAA" w:themeColor="background2" w:themeShade="BF"/>
            </w:tcBorders>
            <w:vAlign w:val="center"/>
          </w:tcPr>
          <w:p w14:paraId="62BD57F1"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11B457FE" w14:textId="77777777" w:rsidTr="001F380A">
        <w:trPr>
          <w:trHeight w:val="70"/>
        </w:trPr>
        <w:tc>
          <w:tcPr>
            <w:tcW w:w="606" w:type="pct"/>
            <w:vMerge/>
            <w:shd w:val="clear" w:color="auto" w:fill="auto"/>
            <w:vAlign w:val="center"/>
          </w:tcPr>
          <w:p w14:paraId="7A2BCFB8"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7DCCCA63" w14:textId="77777777" w:rsidR="00C635FF" w:rsidRPr="00821999" w:rsidRDefault="00C635FF" w:rsidP="001F380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821999">
              <w:rPr>
                <w:rFonts w:ascii="Times New Roman" w:hAnsi="Times New Roman" w:cs="Times New Roman"/>
                <w:kern w:val="0"/>
                <w:sz w:val="24"/>
                <w:szCs w:val="24"/>
              </w:rPr>
              <w:t>Complexity</w:t>
            </w:r>
          </w:p>
        </w:tc>
        <w:tc>
          <w:tcPr>
            <w:tcW w:w="1780" w:type="pct"/>
            <w:vAlign w:val="center"/>
          </w:tcPr>
          <w:p w14:paraId="347D449B"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Complexity</m:t>
                </m:r>
                <m:r>
                  <w:rPr>
                    <w:rFonts w:ascii="Cambria Math" w:eastAsia="맑은 고딕" w:hAnsi="Cambria Math" w:cs="Times New Roman"/>
                    <w:sz w:val="24"/>
                    <w:szCs w:val="24"/>
                  </w:rPr>
                  <m:t>=</m:t>
                </m:r>
                <m:nary>
                  <m:naryPr>
                    <m:chr m:val="∑"/>
                    <m:limLoc m:val="undOvr"/>
                    <m:ctrlPr>
                      <w:rPr>
                        <w:rFonts w:ascii="Cambria Math" w:eastAsia="맑은 고딕" w:hAnsi="Cambria Math" w:cs="Times New Roman"/>
                        <w:i/>
                        <w:sz w:val="24"/>
                        <w:szCs w:val="24"/>
                      </w:rPr>
                    </m:ctrlPr>
                  </m:naryPr>
                  <m:sub>
                    <m:r>
                      <w:rPr>
                        <w:rFonts w:ascii="Cambria Math" w:eastAsia="맑은 고딕" w:hAnsi="Cambria Math" w:cs="Times New Roman"/>
                        <w:sz w:val="24"/>
                        <w:szCs w:val="24"/>
                      </w:rPr>
                      <m:t>i=1</m:t>
                    </m:r>
                  </m:sub>
                  <m:sup>
                    <m:r>
                      <w:rPr>
                        <w:rFonts w:ascii="Cambria Math" w:eastAsia="맑은 고딕" w:hAnsi="Cambria Math" w:cs="Times New Roman"/>
                        <w:sz w:val="24"/>
                        <w:szCs w:val="24"/>
                      </w:rPr>
                      <m:t>L</m:t>
                    </m:r>
                  </m:sup>
                  <m:e>
                    <m:nary>
                      <m:naryPr>
                        <m:chr m:val="∑"/>
                        <m:limLoc m:val="undOvr"/>
                        <m:ctrlPr>
                          <w:rPr>
                            <w:rFonts w:ascii="Cambria Math" w:eastAsia="맑은 고딕" w:hAnsi="Cambria Math" w:cs="Times New Roman"/>
                            <w:i/>
                            <w:sz w:val="24"/>
                            <w:szCs w:val="24"/>
                          </w:rPr>
                        </m:ctrlPr>
                      </m:naryPr>
                      <m:sub>
                        <m:r>
                          <w:rPr>
                            <w:rFonts w:ascii="Cambria Math" w:eastAsia="맑은 고딕" w:hAnsi="Cambria Math" w:cs="Times New Roman"/>
                            <w:sz w:val="24"/>
                            <w:szCs w:val="24"/>
                          </w:rPr>
                          <m:t>j=1</m:t>
                        </m:r>
                      </m:sub>
                      <m:sup>
                        <m:r>
                          <w:rPr>
                            <w:rFonts w:ascii="Cambria Math" w:eastAsia="맑은 고딕" w:hAnsi="Cambria Math" w:cs="Times New Roman"/>
                            <w:sz w:val="24"/>
                            <w:szCs w:val="24"/>
                          </w:rPr>
                          <m:t>L</m:t>
                        </m:r>
                      </m:sup>
                      <m:e>
                        <m:d>
                          <m:dPr>
                            <m:begChr m:val="{"/>
                            <m:endChr m:val="}"/>
                            <m:ctrlPr>
                              <w:rPr>
                                <w:rFonts w:ascii="Cambria Math" w:eastAsia="맑은 고딕" w:hAnsi="Cambria Math" w:cs="Times New Roman"/>
                                <w:i/>
                                <w:sz w:val="24"/>
                                <w:szCs w:val="24"/>
                              </w:rPr>
                            </m:ctrlPr>
                          </m:dPr>
                          <m:e>
                            <m:d>
                              <m:dPr>
                                <m:ctrlPr>
                                  <w:rPr>
                                    <w:rFonts w:ascii="Cambria Math" w:eastAsia="맑은 고딕" w:hAnsi="Cambria Math" w:cs="Times New Roman"/>
                                    <w:i/>
                                    <w:sz w:val="24"/>
                                    <w:szCs w:val="24"/>
                                  </w:rPr>
                                </m:ctrlPr>
                              </m:dPr>
                              <m:e>
                                <m:d>
                                  <m:dPr>
                                    <m:begChr m:val="|"/>
                                    <m:endChr m:val="|"/>
                                    <m:ctrlPr>
                                      <w:rPr>
                                        <w:rFonts w:ascii="Cambria Math" w:eastAsia="맑은 고딕" w:hAnsi="Cambria Math" w:cs="Times New Roman"/>
                                        <w:i/>
                                        <w:sz w:val="24"/>
                                        <w:szCs w:val="24"/>
                                      </w:rPr>
                                    </m:ctrlPr>
                                  </m:dPr>
                                  <m:e>
                                    <m:r>
                                      <w:rPr>
                                        <w:rFonts w:ascii="Cambria Math" w:eastAsia="맑은 고딕" w:hAnsi="Cambria Math" w:cs="Times New Roman"/>
                                        <w:sz w:val="24"/>
                                        <w:szCs w:val="24"/>
                                      </w:rPr>
                                      <m:t>i-j</m:t>
                                    </m:r>
                                  </m:e>
                                </m:d>
                              </m:e>
                            </m:d>
                            <m:r>
                              <w:rPr>
                                <w:rFonts w:ascii="Cambria Math" w:eastAsia="맑은 고딕" w:hAnsi="Cambria Math" w:cs="Times New Roman"/>
                                <w:sz w:val="24"/>
                                <w:szCs w:val="24"/>
                              </w:rPr>
                              <m:t>/(</m:t>
                            </m:r>
                            <m:sSup>
                              <m:sSupPr>
                                <m:ctrlPr>
                                  <w:rPr>
                                    <w:rFonts w:ascii="Cambria Math" w:eastAsia="맑은 고딕" w:hAnsi="Cambria Math" w:cs="Times New Roman"/>
                                    <w:i/>
                                    <w:sz w:val="24"/>
                                    <w:szCs w:val="24"/>
                                  </w:rPr>
                                </m:ctrlPr>
                              </m:sSupPr>
                              <m:e>
                                <m:r>
                                  <w:rPr>
                                    <w:rFonts w:ascii="Cambria Math" w:eastAsia="맑은 고딕" w:hAnsi="Cambria Math" w:cs="Times New Roman"/>
                                    <w:sz w:val="24"/>
                                    <w:szCs w:val="24"/>
                                  </w:rPr>
                                  <m:t>n</m:t>
                                </m:r>
                              </m:e>
                              <m:sup>
                                <m:r>
                                  <w:rPr>
                                    <w:rFonts w:ascii="Cambria Math" w:eastAsia="맑은 고딕" w:hAnsi="Cambria Math" w:cs="Times New Roman"/>
                                    <w:sz w:val="24"/>
                                    <w:szCs w:val="24"/>
                                  </w:rPr>
                                  <m:t>2</m:t>
                                </m:r>
                              </m:sup>
                            </m:sSup>
                            <m:d>
                              <m:dPr>
                                <m:ctrlPr>
                                  <w:rPr>
                                    <w:rFonts w:ascii="Cambria Math" w:eastAsia="맑은 고딕" w:hAnsi="Cambria Math" w:cs="Times New Roman"/>
                                    <w:i/>
                                    <w:sz w:val="24"/>
                                    <w:szCs w:val="24"/>
                                  </w:rPr>
                                </m:ctrlPr>
                              </m:dPr>
                              <m:e>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i</m:t>
                                    </m:r>
                                  </m:sub>
                                </m:sSub>
                                <m:r>
                                  <w:rPr>
                                    <w:rFonts w:ascii="Cambria Math" w:eastAsia="맑은 고딕" w:hAnsi="Cambria Math" w:cs="Times New Roman"/>
                                    <w:sz w:val="24"/>
                                    <w:szCs w:val="24"/>
                                  </w:rPr>
                                  <m:t>+</m:t>
                                </m:r>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j</m:t>
                                    </m:r>
                                  </m:sub>
                                </m:sSub>
                              </m:e>
                            </m:d>
                            <m:r>
                              <w:rPr>
                                <w:rFonts w:ascii="Cambria Math" w:eastAsia="맑은 고딕" w:hAnsi="Cambria Math" w:cs="Times New Roman"/>
                                <w:sz w:val="24"/>
                                <w:szCs w:val="24"/>
                              </w:rPr>
                              <m:t>)</m:t>
                            </m:r>
                          </m:e>
                        </m:d>
                        <m:d>
                          <m:dPr>
                            <m:begChr m:val="{"/>
                            <m:endChr m:val="}"/>
                            <m:ctrlPr>
                              <w:rPr>
                                <w:rFonts w:ascii="Cambria Math" w:eastAsia="맑은 고딕" w:hAnsi="Cambria Math" w:cs="Times New Roman"/>
                                <w:i/>
                                <w:sz w:val="24"/>
                                <w:szCs w:val="24"/>
                              </w:rPr>
                            </m:ctrlPr>
                          </m:dPr>
                          <m:e>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i</m:t>
                                </m:r>
                              </m:sub>
                            </m:sSub>
                            <m:r>
                              <w:rPr>
                                <w:rFonts w:ascii="Cambria Math" w:eastAsia="맑은 고딕" w:hAnsi="Cambria Math" w:cs="Times New Roman"/>
                                <w:sz w:val="24"/>
                                <w:szCs w:val="24"/>
                              </w:rPr>
                              <m:t>s</m:t>
                            </m:r>
                            <m:d>
                              <m:dPr>
                                <m:ctrlPr>
                                  <w:rPr>
                                    <w:rFonts w:ascii="Cambria Math" w:eastAsia="맑은 고딕" w:hAnsi="Cambria Math" w:cs="Times New Roman"/>
                                    <w:i/>
                                    <w:sz w:val="24"/>
                                    <w:szCs w:val="24"/>
                                  </w:rPr>
                                </m:ctrlPr>
                              </m:dPr>
                              <m:e>
                                <m:r>
                                  <w:rPr>
                                    <w:rFonts w:ascii="Cambria Math" w:eastAsia="맑은 고딕" w:hAnsi="Cambria Math" w:cs="Times New Roman"/>
                                    <w:sz w:val="24"/>
                                    <w:szCs w:val="24"/>
                                  </w:rPr>
                                  <m:t>i</m:t>
                                </m:r>
                              </m:e>
                            </m:d>
                            <m:r>
                              <w:rPr>
                                <w:rFonts w:ascii="Cambria Math" w:eastAsia="맑은 고딕" w:hAnsi="Cambria Math" w:cs="Times New Roman"/>
                                <w:sz w:val="24"/>
                                <w:szCs w:val="24"/>
                              </w:rPr>
                              <m:t>+</m:t>
                            </m:r>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j</m:t>
                                </m:r>
                              </m:sub>
                            </m:sSub>
                            <m:r>
                              <w:rPr>
                                <w:rFonts w:ascii="Cambria Math" w:eastAsia="맑은 고딕" w:hAnsi="Cambria Math" w:cs="Times New Roman"/>
                                <w:sz w:val="24"/>
                                <w:szCs w:val="24"/>
                              </w:rPr>
                              <m:t>s(j)</m:t>
                            </m:r>
                          </m:e>
                        </m:d>
                      </m:e>
                    </m:nary>
                  </m:e>
                </m:nary>
              </m:oMath>
            </m:oMathPara>
          </w:p>
        </w:tc>
        <w:tc>
          <w:tcPr>
            <w:tcW w:w="808" w:type="pct"/>
            <w:vAlign w:val="center"/>
          </w:tcPr>
          <w:p w14:paraId="44BDC5E6" w14:textId="77777777" w:rsidR="00C635FF" w:rsidRPr="00821999" w:rsidRDefault="00C635FF" w:rsidP="001F380A">
            <w:pPr>
              <w:spacing w:after="0"/>
              <w:jc w:val="center"/>
              <w:rPr>
                <w:rStyle w:val="Char2"/>
                <w:rFonts w:ascii="Times New Roman" w:hAnsi="Times New Roman" w:cs="Times New Roman"/>
              </w:rPr>
            </w:pPr>
            <w:r w:rsidRPr="00821999">
              <w:rPr>
                <w:rStyle w:val="Char2"/>
                <w:rFonts w:ascii="Times New Roman" w:hAnsi="Times New Roman" w:cs="Times New Roman"/>
              </w:rPr>
              <w:t>Measure of the amount of information in a ROI (gray-level intensities, number of sharp edges)</w:t>
            </w:r>
          </w:p>
        </w:tc>
        <w:tc>
          <w:tcPr>
            <w:tcW w:w="807" w:type="pct"/>
            <w:vAlign w:val="center"/>
          </w:tcPr>
          <w:p w14:paraId="3F5DEF5B"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1E98C68A" w14:textId="77777777" w:rsidTr="001F380A">
        <w:trPr>
          <w:trHeight w:val="70"/>
        </w:trPr>
        <w:tc>
          <w:tcPr>
            <w:tcW w:w="606" w:type="pct"/>
            <w:vMerge/>
            <w:shd w:val="clear" w:color="auto" w:fill="auto"/>
            <w:vAlign w:val="center"/>
          </w:tcPr>
          <w:p w14:paraId="4EA06E42"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7BB2C2A6" w14:textId="77777777" w:rsidR="00C635FF" w:rsidRPr="00821999" w:rsidRDefault="00C635FF" w:rsidP="001F380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821999">
              <w:rPr>
                <w:rFonts w:ascii="Times New Roman" w:hAnsi="Times New Roman" w:cs="Times New Roman"/>
                <w:kern w:val="0"/>
                <w:sz w:val="24"/>
                <w:szCs w:val="24"/>
              </w:rPr>
              <w:t>Contrast</w:t>
            </w:r>
          </w:p>
        </w:tc>
        <w:tc>
          <w:tcPr>
            <w:tcW w:w="1780" w:type="pct"/>
            <w:vAlign w:val="center"/>
          </w:tcPr>
          <w:p w14:paraId="13E250FE"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Contrast</m:t>
                </m:r>
                <m:r>
                  <w:rPr>
                    <w:rFonts w:ascii="Cambria Math" w:eastAsia="맑은 고딕" w:hAnsi="Cambria Math" w:cs="Times New Roman"/>
                    <w:sz w:val="24"/>
                    <w:szCs w:val="24"/>
                  </w:rPr>
                  <m:t>=</m:t>
                </m:r>
                <m:f>
                  <m:fPr>
                    <m:ctrlPr>
                      <w:rPr>
                        <w:rFonts w:ascii="Cambria Math" w:eastAsia="맑은 고딕" w:hAnsi="Cambria Math" w:cs="Times New Roman"/>
                        <w:i/>
                        <w:sz w:val="24"/>
                        <w:szCs w:val="24"/>
                      </w:rPr>
                    </m:ctrlPr>
                  </m:fPr>
                  <m:num>
                    <m:r>
                      <w:rPr>
                        <w:rFonts w:ascii="Cambria Math" w:eastAsia="맑은 고딕" w:hAnsi="Cambria Math" w:cs="Times New Roman"/>
                        <w:sz w:val="24"/>
                        <w:szCs w:val="24"/>
                      </w:rPr>
                      <m:t>1</m:t>
                    </m:r>
                  </m:num>
                  <m:den>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N</m:t>
                        </m:r>
                      </m:e>
                      <m:sub>
                        <m:r>
                          <w:rPr>
                            <w:rFonts w:ascii="Cambria Math" w:eastAsia="맑은 고딕" w:hAnsi="Cambria Math" w:cs="Times New Roman"/>
                            <w:sz w:val="24"/>
                            <w:szCs w:val="24"/>
                          </w:rPr>
                          <m:t>g</m:t>
                        </m:r>
                      </m:sub>
                    </m:sSub>
                    <m:r>
                      <w:rPr>
                        <w:rFonts w:ascii="Cambria Math" w:eastAsia="맑은 고딕" w:hAnsi="Cambria Math" w:cs="Times New Roman"/>
                        <w:sz w:val="24"/>
                        <w:szCs w:val="24"/>
                      </w:rPr>
                      <m:t>(</m:t>
                    </m:r>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N</m:t>
                        </m:r>
                      </m:e>
                      <m:sub>
                        <m:r>
                          <w:rPr>
                            <w:rFonts w:ascii="Cambria Math" w:eastAsia="맑은 고딕" w:hAnsi="Cambria Math" w:cs="Times New Roman"/>
                            <w:sz w:val="24"/>
                            <w:szCs w:val="24"/>
                          </w:rPr>
                          <m:t>g</m:t>
                        </m:r>
                      </m:sub>
                    </m:sSub>
                    <m:r>
                      <w:rPr>
                        <w:rFonts w:ascii="Cambria Math" w:eastAsia="맑은 고딕" w:hAnsi="Cambria Math" w:cs="Times New Roman"/>
                        <w:sz w:val="24"/>
                        <w:szCs w:val="24"/>
                      </w:rPr>
                      <m:t>-1)</m:t>
                    </m:r>
                  </m:den>
                </m:f>
                <m:nary>
                  <m:naryPr>
                    <m:chr m:val="∑"/>
                    <m:limLoc m:val="undOvr"/>
                    <m:ctrlPr>
                      <w:rPr>
                        <w:rFonts w:ascii="Cambria Math" w:eastAsia="맑은 고딕" w:hAnsi="Cambria Math" w:cs="Times New Roman"/>
                        <w:i/>
                        <w:sz w:val="24"/>
                        <w:szCs w:val="24"/>
                      </w:rPr>
                    </m:ctrlPr>
                  </m:naryPr>
                  <m:sub>
                    <m:r>
                      <w:rPr>
                        <w:rFonts w:ascii="Cambria Math" w:eastAsia="맑은 고딕" w:hAnsi="Cambria Math" w:cs="Times New Roman"/>
                        <w:sz w:val="24"/>
                        <w:szCs w:val="24"/>
                      </w:rPr>
                      <m:t>i=1</m:t>
                    </m:r>
                  </m:sub>
                  <m:sup>
                    <m:r>
                      <w:rPr>
                        <w:rFonts w:ascii="Cambria Math" w:eastAsia="맑은 고딕" w:hAnsi="Cambria Math" w:cs="Times New Roman"/>
                        <w:sz w:val="24"/>
                        <w:szCs w:val="24"/>
                      </w:rPr>
                      <m:t>L</m:t>
                    </m:r>
                  </m:sup>
                  <m:e>
                    <m:nary>
                      <m:naryPr>
                        <m:chr m:val="∑"/>
                        <m:limLoc m:val="undOvr"/>
                        <m:ctrlPr>
                          <w:rPr>
                            <w:rFonts w:ascii="Cambria Math" w:eastAsia="맑은 고딕" w:hAnsi="Cambria Math" w:cs="Times New Roman"/>
                            <w:i/>
                            <w:sz w:val="24"/>
                            <w:szCs w:val="24"/>
                          </w:rPr>
                        </m:ctrlPr>
                      </m:naryPr>
                      <m:sub>
                        <m:r>
                          <w:rPr>
                            <w:rFonts w:ascii="Cambria Math" w:eastAsia="맑은 고딕" w:hAnsi="Cambria Math" w:cs="Times New Roman"/>
                            <w:sz w:val="24"/>
                            <w:szCs w:val="24"/>
                          </w:rPr>
                          <m:t>j=1</m:t>
                        </m:r>
                      </m:sub>
                      <m:sup>
                        <m:r>
                          <w:rPr>
                            <w:rFonts w:ascii="Cambria Math" w:eastAsia="맑은 고딕" w:hAnsi="Cambria Math" w:cs="Times New Roman"/>
                            <w:sz w:val="24"/>
                            <w:szCs w:val="24"/>
                          </w:rPr>
                          <m:t>L</m:t>
                        </m:r>
                      </m:sup>
                      <m:e>
                        <m:sSup>
                          <m:sSupPr>
                            <m:ctrlPr>
                              <w:rPr>
                                <w:rFonts w:ascii="Cambria Math" w:eastAsia="맑은 고딕" w:hAnsi="Cambria Math" w:cs="Times New Roman"/>
                                <w:i/>
                                <w:sz w:val="24"/>
                                <w:szCs w:val="24"/>
                              </w:rPr>
                            </m:ctrlPr>
                          </m:sSupPr>
                          <m:e>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i</m:t>
                                </m:r>
                              </m:sub>
                            </m:sSub>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j</m:t>
                                </m:r>
                              </m:sub>
                            </m:sSub>
                            <m:d>
                              <m:dPr>
                                <m:ctrlPr>
                                  <w:rPr>
                                    <w:rFonts w:ascii="Cambria Math" w:eastAsia="맑은 고딕" w:hAnsi="Cambria Math" w:cs="Times New Roman"/>
                                    <w:i/>
                                    <w:sz w:val="24"/>
                                    <w:szCs w:val="24"/>
                                  </w:rPr>
                                </m:ctrlPr>
                              </m:dPr>
                              <m:e>
                                <m:r>
                                  <w:rPr>
                                    <w:rFonts w:ascii="Cambria Math" w:eastAsia="맑은 고딕" w:hAnsi="Cambria Math" w:cs="Times New Roman"/>
                                    <w:sz w:val="24"/>
                                    <w:szCs w:val="24"/>
                                  </w:rPr>
                                  <m:t>i-j</m:t>
                                </m:r>
                              </m:e>
                            </m:d>
                          </m:e>
                          <m:sup>
                            <m:r>
                              <w:rPr>
                                <w:rFonts w:ascii="Cambria Math" w:eastAsia="맑은 고딕" w:hAnsi="Cambria Math" w:cs="Times New Roman"/>
                                <w:sz w:val="24"/>
                                <w:szCs w:val="24"/>
                              </w:rPr>
                              <m:t>2</m:t>
                            </m:r>
                          </m:sup>
                        </m:sSup>
                        <m:r>
                          <w:rPr>
                            <w:rFonts w:ascii="Cambria Math" w:eastAsia="맑은 고딕" w:hAnsi="Cambria Math" w:cs="Times New Roman"/>
                            <w:sz w:val="24"/>
                            <w:szCs w:val="24"/>
                          </w:rPr>
                          <m:t>∙</m:t>
                        </m:r>
                        <m:f>
                          <m:fPr>
                            <m:ctrlPr>
                              <w:rPr>
                                <w:rFonts w:ascii="Cambria Math" w:eastAsia="맑은 고딕" w:hAnsi="Cambria Math" w:cs="Times New Roman"/>
                                <w:i/>
                                <w:sz w:val="24"/>
                                <w:szCs w:val="24"/>
                              </w:rPr>
                            </m:ctrlPr>
                          </m:fPr>
                          <m:num>
                            <m:r>
                              <w:rPr>
                                <w:rFonts w:ascii="Cambria Math" w:eastAsia="맑은 고딕" w:hAnsi="Cambria Math" w:cs="Times New Roman"/>
                                <w:sz w:val="24"/>
                                <w:szCs w:val="24"/>
                              </w:rPr>
                              <m:t>1</m:t>
                            </m:r>
                          </m:num>
                          <m:den>
                            <m:sSup>
                              <m:sSupPr>
                                <m:ctrlPr>
                                  <w:rPr>
                                    <w:rFonts w:ascii="Cambria Math" w:eastAsia="맑은 고딕" w:hAnsi="Cambria Math" w:cs="Times New Roman"/>
                                    <w:i/>
                                    <w:sz w:val="24"/>
                                    <w:szCs w:val="24"/>
                                  </w:rPr>
                                </m:ctrlPr>
                              </m:sSupPr>
                              <m:e>
                                <m:r>
                                  <w:rPr>
                                    <w:rFonts w:ascii="Cambria Math" w:eastAsia="맑은 고딕" w:hAnsi="Cambria Math" w:cs="Times New Roman"/>
                                    <w:sz w:val="24"/>
                                    <w:szCs w:val="24"/>
                                  </w:rPr>
                                  <m:t>n</m:t>
                                </m:r>
                              </m:e>
                              <m:sup>
                                <m:r>
                                  <w:rPr>
                                    <w:rFonts w:ascii="Cambria Math" w:eastAsia="맑은 고딕" w:hAnsi="Cambria Math" w:cs="Times New Roman"/>
                                    <w:sz w:val="24"/>
                                    <w:szCs w:val="24"/>
                                  </w:rPr>
                                  <m:t>2</m:t>
                                </m:r>
                              </m:sup>
                            </m:sSup>
                          </m:den>
                        </m:f>
                      </m:e>
                    </m:nary>
                  </m:e>
                </m:nary>
                <m:nary>
                  <m:naryPr>
                    <m:chr m:val="∑"/>
                    <m:limLoc m:val="undOvr"/>
                    <m:ctrlPr>
                      <w:rPr>
                        <w:rFonts w:ascii="Cambria Math" w:eastAsia="맑은 고딕" w:hAnsi="Cambria Math" w:cs="Times New Roman"/>
                        <w:sz w:val="24"/>
                        <w:szCs w:val="24"/>
                      </w:rPr>
                    </m:ctrlPr>
                  </m:naryPr>
                  <m:sub>
                    <m:r>
                      <w:rPr>
                        <w:rFonts w:ascii="Cambria Math" w:eastAsia="맑은 고딕" w:hAnsi="Cambria Math" w:cs="Times New Roman"/>
                        <w:sz w:val="24"/>
                        <w:szCs w:val="24"/>
                      </w:rPr>
                      <m:t>i=1</m:t>
                    </m:r>
                  </m:sub>
                  <m:sup>
                    <m:r>
                      <w:rPr>
                        <w:rFonts w:ascii="Cambria Math" w:eastAsia="맑은 고딕" w:hAnsi="Cambria Math" w:cs="Times New Roman"/>
                        <w:sz w:val="24"/>
                        <w:szCs w:val="24"/>
                      </w:rPr>
                      <m:t>L</m:t>
                    </m:r>
                  </m:sup>
                  <m:e>
                    <m:r>
                      <w:rPr>
                        <w:rFonts w:ascii="Cambria Math" w:eastAsia="맑은 고딕" w:hAnsi="Cambria Math" w:cs="Times New Roman"/>
                        <w:sz w:val="24"/>
                        <w:szCs w:val="24"/>
                      </w:rPr>
                      <m:t>s(i)</m:t>
                    </m:r>
                  </m:e>
                </m:nary>
              </m:oMath>
            </m:oMathPara>
          </w:p>
        </w:tc>
        <w:tc>
          <w:tcPr>
            <w:tcW w:w="808" w:type="pct"/>
            <w:vAlign w:val="center"/>
          </w:tcPr>
          <w:p w14:paraId="6C49EF52" w14:textId="77777777" w:rsidR="00C635FF" w:rsidRPr="00821999" w:rsidRDefault="00C635FF" w:rsidP="001F380A">
            <w:pPr>
              <w:spacing w:after="0"/>
              <w:jc w:val="center"/>
              <w:rPr>
                <w:rStyle w:val="Char2"/>
                <w:rFonts w:ascii="Times New Roman" w:hAnsi="Times New Roman" w:cs="Times New Roman"/>
              </w:rPr>
            </w:pPr>
            <w:r w:rsidRPr="00821999">
              <w:rPr>
                <w:rStyle w:val="Char2"/>
                <w:rFonts w:ascii="Times New Roman" w:hAnsi="Times New Roman" w:cs="Times New Roman"/>
              </w:rPr>
              <w:t>Measure of local variations and spread of matrix values</w:t>
            </w:r>
          </w:p>
        </w:tc>
        <w:tc>
          <w:tcPr>
            <w:tcW w:w="807" w:type="pct"/>
            <w:vAlign w:val="center"/>
          </w:tcPr>
          <w:p w14:paraId="6B6F0ED4"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634372E1" w14:textId="77777777" w:rsidTr="001F380A">
        <w:trPr>
          <w:trHeight w:val="70"/>
        </w:trPr>
        <w:tc>
          <w:tcPr>
            <w:tcW w:w="606" w:type="pct"/>
            <w:vMerge/>
            <w:shd w:val="clear" w:color="auto" w:fill="auto"/>
            <w:vAlign w:val="center"/>
          </w:tcPr>
          <w:p w14:paraId="660568C8"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7891B9E3" w14:textId="77777777" w:rsidR="00C635FF" w:rsidRPr="00821999" w:rsidRDefault="00C635FF" w:rsidP="001F380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821999">
              <w:rPr>
                <w:rFonts w:ascii="Times New Roman" w:hAnsi="Times New Roman" w:cs="Times New Roman"/>
                <w:kern w:val="0"/>
                <w:sz w:val="24"/>
                <w:szCs w:val="24"/>
              </w:rPr>
              <w:t>Strength</w:t>
            </w:r>
          </w:p>
        </w:tc>
        <w:tc>
          <w:tcPr>
            <w:tcW w:w="1780" w:type="pct"/>
            <w:vAlign w:val="center"/>
          </w:tcPr>
          <w:p w14:paraId="099535A0"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Strength</m:t>
                </m:r>
                <m:r>
                  <w:rPr>
                    <w:rFonts w:ascii="Cambria Math" w:eastAsia="맑은 고딕" w:hAnsi="Cambria Math" w:cs="Times New Roman"/>
                    <w:sz w:val="24"/>
                    <w:szCs w:val="24"/>
                  </w:rPr>
                  <m:t>=</m:t>
                </m:r>
                <m:nary>
                  <m:naryPr>
                    <m:chr m:val="∑"/>
                    <m:limLoc m:val="undOvr"/>
                    <m:ctrlPr>
                      <w:rPr>
                        <w:rFonts w:ascii="Cambria Math" w:eastAsia="맑은 고딕" w:hAnsi="Cambria Math" w:cs="Times New Roman"/>
                        <w:i/>
                        <w:sz w:val="24"/>
                        <w:szCs w:val="24"/>
                      </w:rPr>
                    </m:ctrlPr>
                  </m:naryPr>
                  <m:sub>
                    <m:r>
                      <w:rPr>
                        <w:rFonts w:ascii="Cambria Math" w:eastAsia="맑은 고딕" w:hAnsi="Cambria Math" w:cs="Times New Roman"/>
                        <w:sz w:val="24"/>
                        <w:szCs w:val="24"/>
                      </w:rPr>
                      <m:t>i=1</m:t>
                    </m:r>
                  </m:sub>
                  <m:sup>
                    <m:r>
                      <w:rPr>
                        <w:rFonts w:ascii="Cambria Math" w:eastAsia="맑은 고딕" w:hAnsi="Cambria Math" w:cs="Times New Roman"/>
                        <w:sz w:val="24"/>
                        <w:szCs w:val="24"/>
                      </w:rPr>
                      <m:t>L</m:t>
                    </m:r>
                  </m:sup>
                  <m:e>
                    <m:nary>
                      <m:naryPr>
                        <m:chr m:val="∑"/>
                        <m:limLoc m:val="undOvr"/>
                        <m:ctrlPr>
                          <w:rPr>
                            <w:rFonts w:ascii="Cambria Math" w:eastAsia="맑은 고딕" w:hAnsi="Cambria Math" w:cs="Times New Roman"/>
                            <w:i/>
                            <w:sz w:val="24"/>
                            <w:szCs w:val="24"/>
                          </w:rPr>
                        </m:ctrlPr>
                      </m:naryPr>
                      <m:sub>
                        <m:r>
                          <w:rPr>
                            <w:rFonts w:ascii="Cambria Math" w:eastAsia="맑은 고딕" w:hAnsi="Cambria Math" w:cs="Times New Roman"/>
                            <w:sz w:val="24"/>
                            <w:szCs w:val="24"/>
                          </w:rPr>
                          <m:t>j=1</m:t>
                        </m:r>
                      </m:sub>
                      <m:sup>
                        <m:r>
                          <w:rPr>
                            <w:rFonts w:ascii="Cambria Math" w:eastAsia="맑은 고딕" w:hAnsi="Cambria Math" w:cs="Times New Roman"/>
                            <w:sz w:val="24"/>
                            <w:szCs w:val="24"/>
                          </w:rPr>
                          <m:t>L</m:t>
                        </m:r>
                      </m:sup>
                      <m:e>
                        <m:r>
                          <w:rPr>
                            <w:rFonts w:ascii="Cambria Math" w:eastAsia="맑은 고딕" w:hAnsi="Cambria Math" w:cs="Times New Roman"/>
                            <w:sz w:val="24"/>
                            <w:szCs w:val="24"/>
                          </w:rPr>
                          <m:t>(</m:t>
                        </m:r>
                        <m:sSup>
                          <m:sSupPr>
                            <m:ctrlPr>
                              <w:rPr>
                                <w:rFonts w:ascii="Cambria Math" w:eastAsia="맑은 고딕" w:hAnsi="Cambria Math" w:cs="Times New Roman"/>
                                <w:i/>
                                <w:sz w:val="24"/>
                                <w:szCs w:val="24"/>
                              </w:rPr>
                            </m:ctrlPr>
                          </m:sSupPr>
                          <m:e>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i</m:t>
                                </m:r>
                              </m:sub>
                            </m:sSub>
                            <m:r>
                              <w:rPr>
                                <w:rFonts w:ascii="Cambria Math" w:eastAsia="맑은 고딕" w:hAnsi="Cambria Math" w:cs="Times New Roman"/>
                                <w:sz w:val="24"/>
                                <w:szCs w:val="24"/>
                              </w:rPr>
                              <m:t>+</m:t>
                            </m:r>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j</m:t>
                                </m:r>
                              </m:sub>
                            </m:sSub>
                            <m:r>
                              <w:rPr>
                                <w:rFonts w:ascii="Cambria Math" w:eastAsia="맑은 고딕" w:hAnsi="Cambria Math" w:cs="Times New Roman"/>
                                <w:sz w:val="24"/>
                                <w:szCs w:val="24"/>
                              </w:rPr>
                              <m:t>)</m:t>
                            </m:r>
                            <m:d>
                              <m:dPr>
                                <m:ctrlPr>
                                  <w:rPr>
                                    <w:rFonts w:ascii="Cambria Math" w:eastAsia="맑은 고딕" w:hAnsi="Cambria Math" w:cs="Times New Roman"/>
                                    <w:i/>
                                    <w:sz w:val="24"/>
                                    <w:szCs w:val="24"/>
                                  </w:rPr>
                                </m:ctrlPr>
                              </m:dPr>
                              <m:e>
                                <m:r>
                                  <w:rPr>
                                    <w:rFonts w:ascii="Cambria Math" w:eastAsia="맑은 고딕" w:hAnsi="Cambria Math" w:cs="Times New Roman"/>
                                    <w:sz w:val="24"/>
                                    <w:szCs w:val="24"/>
                                  </w:rPr>
                                  <m:t>i-j</m:t>
                                </m:r>
                              </m:e>
                            </m:d>
                          </m:e>
                          <m:sup>
                            <m:r>
                              <w:rPr>
                                <w:rFonts w:ascii="Cambria Math" w:eastAsia="맑은 고딕" w:hAnsi="Cambria Math" w:cs="Times New Roman"/>
                                <w:sz w:val="24"/>
                                <w:szCs w:val="24"/>
                              </w:rPr>
                              <m:t>2</m:t>
                            </m:r>
                          </m:sup>
                        </m:sSup>
                        <m:r>
                          <w:rPr>
                            <w:rFonts w:ascii="Cambria Math" w:eastAsia="맑은 고딕" w:hAnsi="Cambria Math" w:cs="Times New Roman"/>
                            <w:sz w:val="24"/>
                            <w:szCs w:val="24"/>
                          </w:rPr>
                          <m:t>/</m:t>
                        </m:r>
                      </m:e>
                    </m:nary>
                  </m:e>
                </m:nary>
                <m:nary>
                  <m:naryPr>
                    <m:chr m:val="∑"/>
                    <m:limLoc m:val="undOvr"/>
                    <m:ctrlPr>
                      <w:rPr>
                        <w:rFonts w:ascii="Cambria Math" w:eastAsia="맑은 고딕" w:hAnsi="Cambria Math" w:cs="Times New Roman"/>
                        <w:sz w:val="24"/>
                        <w:szCs w:val="24"/>
                      </w:rPr>
                    </m:ctrlPr>
                  </m:naryPr>
                  <m:sub>
                    <m:r>
                      <w:rPr>
                        <w:rFonts w:ascii="Cambria Math" w:eastAsia="맑은 고딕" w:hAnsi="Cambria Math" w:cs="Times New Roman"/>
                        <w:sz w:val="24"/>
                        <w:szCs w:val="24"/>
                      </w:rPr>
                      <m:t>i=1</m:t>
                    </m:r>
                  </m:sub>
                  <m:sup>
                    <m:r>
                      <w:rPr>
                        <w:rFonts w:ascii="Cambria Math" w:eastAsia="맑은 고딕" w:hAnsi="Cambria Math" w:cs="Times New Roman"/>
                        <w:sz w:val="24"/>
                        <w:szCs w:val="24"/>
                      </w:rPr>
                      <m:t>L</m:t>
                    </m:r>
                  </m:sup>
                  <m:e>
                    <m:r>
                      <w:rPr>
                        <w:rFonts w:ascii="Cambria Math" w:eastAsia="맑은 고딕" w:hAnsi="Cambria Math" w:cs="Times New Roman"/>
                        <w:sz w:val="24"/>
                        <w:szCs w:val="24"/>
                      </w:rPr>
                      <m:t>s(i)</m:t>
                    </m:r>
                  </m:e>
                </m:nary>
              </m:oMath>
            </m:oMathPara>
          </w:p>
        </w:tc>
        <w:tc>
          <w:tcPr>
            <w:tcW w:w="808" w:type="pct"/>
            <w:vAlign w:val="center"/>
          </w:tcPr>
          <w:p w14:paraId="3C36EDDA" w14:textId="77777777" w:rsidR="00C635FF" w:rsidRPr="00821999" w:rsidRDefault="00C635FF" w:rsidP="001F380A">
            <w:pPr>
              <w:spacing w:after="0"/>
              <w:jc w:val="center"/>
              <w:rPr>
                <w:rStyle w:val="Char2"/>
                <w:rFonts w:ascii="Times New Roman" w:hAnsi="Times New Roman" w:cs="Times New Roman"/>
              </w:rPr>
            </w:pPr>
          </w:p>
        </w:tc>
        <w:tc>
          <w:tcPr>
            <w:tcW w:w="807" w:type="pct"/>
            <w:vAlign w:val="center"/>
          </w:tcPr>
          <w:p w14:paraId="224F9CEA"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661D5482" w14:textId="77777777" w:rsidTr="001F380A">
        <w:trPr>
          <w:trHeight w:val="70"/>
        </w:trPr>
        <w:tc>
          <w:tcPr>
            <w:tcW w:w="606" w:type="pct"/>
            <w:vMerge/>
            <w:tcBorders>
              <w:bottom w:val="single" w:sz="12" w:space="0" w:color="auto"/>
            </w:tcBorders>
            <w:shd w:val="clear" w:color="auto" w:fill="auto"/>
            <w:vAlign w:val="center"/>
          </w:tcPr>
          <w:p w14:paraId="2D9B1295"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4394" w:type="pct"/>
            <w:gridSpan w:val="4"/>
            <w:tcBorders>
              <w:bottom w:val="single" w:sz="12" w:space="0" w:color="auto"/>
            </w:tcBorders>
            <w:vAlign w:val="center"/>
          </w:tcPr>
          <w:p w14:paraId="3124A6BC" w14:textId="77777777" w:rsidR="00C635FF" w:rsidRPr="00821999" w:rsidRDefault="00C635FF" w:rsidP="001F380A">
            <w:pPr>
              <w:spacing w:after="0"/>
              <w:jc w:val="center"/>
              <w:rPr>
                <w:rStyle w:val="Char2"/>
                <w:rFonts w:ascii="Times New Roman" w:hAnsi="Times New Roman" w:cs="Times New Roman"/>
              </w:rPr>
            </w:pPr>
            <w:r w:rsidRPr="00821999">
              <w:rPr>
                <w:rStyle w:val="Char2"/>
                <w:rFonts w:ascii="Times New Roman" w:hAnsi="Times New Roman" w:cs="Times New Roman"/>
              </w:rPr>
              <w:t xml:space="preserve">Where </w:t>
            </w:r>
            <m:oMath>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p</m:t>
                  </m:r>
                </m:e>
                <m:sub>
                  <m:r>
                    <w:rPr>
                      <w:rFonts w:ascii="Cambria Math" w:eastAsia="맑은 고딕" w:hAnsi="Cambria Math" w:cs="Times New Roman"/>
                      <w:sz w:val="24"/>
                      <w:szCs w:val="24"/>
                    </w:rPr>
                    <m:t>i</m:t>
                  </m:r>
                </m:sub>
              </m:sSub>
            </m:oMath>
            <w:r w:rsidRPr="00821999">
              <w:rPr>
                <w:rFonts w:ascii="Times New Roman" w:hAnsi="Times New Roman" w:cs="Times New Roman"/>
                <w:sz w:val="24"/>
                <w:szCs w:val="24"/>
              </w:rPr>
              <w:t xml:space="preserve"> is the probability of occurrence of gray level value, </w:t>
            </w:r>
            <m:oMath>
              <m:r>
                <w:rPr>
                  <w:rFonts w:ascii="Cambria Math" w:eastAsia="맑은 고딕" w:hAnsi="Cambria Math" w:cs="Times New Roman"/>
                  <w:sz w:val="24"/>
                  <w:szCs w:val="24"/>
                </w:rPr>
                <m:t>s(i)</m:t>
              </m:r>
            </m:oMath>
            <w:r w:rsidRPr="00821999">
              <w:rPr>
                <w:rFonts w:ascii="Times New Roman" w:hAnsi="Times New Roman" w:cs="Times New Roman"/>
                <w:sz w:val="24"/>
                <w:szCs w:val="24"/>
              </w:rPr>
              <w:t xml:space="preserve"> is the NGTDM, </w:t>
            </w:r>
            <m:oMath>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N</m:t>
                  </m:r>
                </m:e>
                <m:sub>
                  <m:r>
                    <w:rPr>
                      <w:rFonts w:ascii="Cambria Math" w:eastAsia="맑은 고딕" w:hAnsi="Cambria Math" w:cs="Times New Roman"/>
                      <w:sz w:val="24"/>
                      <w:szCs w:val="24"/>
                    </w:rPr>
                    <m:t>g</m:t>
                  </m:r>
                </m:sub>
              </m:sSub>
            </m:oMath>
            <w:r w:rsidRPr="00821999">
              <w:rPr>
                <w:rFonts w:ascii="Times New Roman" w:hAnsi="Times New Roman" w:cs="Times New Roman"/>
                <w:sz w:val="24"/>
                <w:szCs w:val="24"/>
              </w:rPr>
              <w:t xml:space="preserve"> is the total number of different gray levels in the ROI, </w:t>
            </w:r>
            <m:oMath>
              <m:r>
                <w:rPr>
                  <w:rFonts w:ascii="Cambria Math" w:eastAsia="맑은 고딕" w:hAnsi="Cambria Math" w:cs="Times New Roman"/>
                  <w:sz w:val="24"/>
                  <w:szCs w:val="24"/>
                </w:rPr>
                <m:t>L</m:t>
              </m:r>
            </m:oMath>
            <w:r w:rsidRPr="00821999">
              <w:rPr>
                <w:rFonts w:ascii="Times New Roman" w:hAnsi="Times New Roman" w:cs="Times New Roman"/>
                <w:sz w:val="24"/>
                <w:szCs w:val="24"/>
              </w:rPr>
              <w:t xml:space="preserve"> is the number of possible gray levels</w:t>
            </w:r>
          </w:p>
        </w:tc>
      </w:tr>
      <w:tr w:rsidR="00C635FF" w:rsidRPr="00821999" w14:paraId="5C7B733D" w14:textId="77777777" w:rsidTr="001F380A">
        <w:trPr>
          <w:trHeight w:val="70"/>
        </w:trPr>
        <w:tc>
          <w:tcPr>
            <w:tcW w:w="606" w:type="pct"/>
            <w:vMerge w:val="restart"/>
            <w:tcBorders>
              <w:top w:val="single" w:sz="12" w:space="0" w:color="auto"/>
              <w:bottom w:val="single" w:sz="4" w:space="0" w:color="AEAAAA" w:themeColor="background2" w:themeShade="BF"/>
            </w:tcBorders>
            <w:shd w:val="clear" w:color="auto" w:fill="auto"/>
            <w:vAlign w:val="center"/>
          </w:tcPr>
          <w:p w14:paraId="0E3FF3BE" w14:textId="77777777" w:rsidR="00C635FF" w:rsidRPr="00821999" w:rsidRDefault="00C635FF" w:rsidP="001F380A">
            <w:pPr>
              <w:spacing w:after="0"/>
              <w:jc w:val="center"/>
              <w:rPr>
                <w:rFonts w:ascii="Times New Roman" w:eastAsiaTheme="minorHAnsi" w:hAnsi="Times New Roman" w:cs="Times New Roman"/>
                <w:b/>
                <w:iCs/>
                <w:sz w:val="24"/>
                <w:szCs w:val="24"/>
              </w:rPr>
            </w:pPr>
            <w:r w:rsidRPr="00821999">
              <w:rPr>
                <w:rFonts w:ascii="Times New Roman" w:eastAsiaTheme="minorHAnsi" w:hAnsi="Times New Roman" w:cs="Times New Roman"/>
                <w:b/>
                <w:iCs/>
                <w:sz w:val="24"/>
                <w:szCs w:val="24"/>
              </w:rPr>
              <w:lastRenderedPageBreak/>
              <w:t xml:space="preserve">Filter-based features </w:t>
            </w:r>
            <w:r w:rsidRPr="00821999">
              <w:rPr>
                <w:rFonts w:ascii="Times New Roman" w:eastAsiaTheme="minorHAnsi" w:hAnsi="Times New Roman" w:cs="Times New Roman"/>
                <w:b/>
                <w:iCs/>
                <w:sz w:val="24"/>
                <w:szCs w:val="24"/>
              </w:rPr>
              <w:fldChar w:fldCharType="begin" w:fldLock="1"/>
            </w:r>
            <w:r w:rsidRPr="00821999">
              <w:rPr>
                <w:rFonts w:ascii="Times New Roman" w:eastAsiaTheme="minorHAnsi" w:hAnsi="Times New Roman" w:cs="Times New Roman"/>
                <w:b/>
                <w:iCs/>
                <w:sz w:val="24"/>
                <w:szCs w:val="24"/>
              </w:rPr>
              <w:instrText>ADDIN CSL_CITATION {"citationItems":[{"id":"ITEM-1","itemData":{"DOI":"10.1038/srep33860","ISBN":"2045-2322","ISSN":"20452322","PMID":"27645803","abstract":"Medical imaging plays a fundamental role in oncology and drug development, by providing a non-invasive method to visualize tumor phenotype. Radiomics can quantify this phenotype comprehensively by applying image-characterization algorithms, and may provide important information beyond tumor size or burden. In this study, we investigated if radiomics can identify a gefitinib response-phenotype, studying high-resolution computed-tomography (CT) imaging of forty-seven patients with early-stage non-small cell lung cancer before and after three weeks of therapy. On the baseline-scan, radiomic-feature Laws-Energy was significantly predictive for EGFR-mutation status (AUC = 0.67, p = 0.03), while volume (AUC = 0.59, p = 0.27) and diameter (AUC = 0.56, p = 0.46) were not. Although no features were predictive on the post-treatment scan (p &gt; 0.08), the change in features between the two scans was strongly predictive (significant feature AUC-range = 0.74-0.91). A technical validation revealed that the associated features were also highly stable for test-retest (mean ± std: ICC = 0.96 ± 0.06). This pilot study shows that radiomic data before treatment is able to predict mutation status and associated gefitinib response non-invasively, demonstrating the potential of radiomics-based phenotyping to improve the stratification and response assessment between tyrosine kinase inhibitors (TKIs) sensitive and resistant patient populations.","author":[{"dropping-particle":"","family":"Aerts","given":"Hugo J.W.L.","non-dropping-particle":"","parse-names":false,"suffix":""},{"dropping-particle":"","family":"Grossmann","given":"Patrick","non-dropping-particle":"","parse-names":false,"suffix":""},{"dropping-particle":"","family":"Tan","given":"Yongqiang","non-dropping-particle":"","parse-names":false,"suffix":""},{"dropping-particle":"","family":"Oxnard","given":"Geoffrey G.","non-dropping-particle":"","parse-names":false,"suffix":""},{"dropping-particle":"","family":"Rizvi","given":"Naiyer","non-dropping-particle":"","parse-names":false,"suffix":""},{"dropping-particle":"","family":"Schwartz","given":"Lawrence H.","non-dropping-particle":"","parse-names":false,"suffix":""},{"dropping-particle":"","family":"Zhao","given":"Binsheng","non-dropping-particle":"","parse-names":false,"suffix":""}],"container-title":"Scientific Reports","id":"ITEM-1","issue":"September","issued":{"date-parts":[["2016"]]},"publisher":"Nature Publishing Group","title":"Defining a Radiomic Response Phenotype: A Pilot Study using targeted therapy in NSCLC","type":"article-journal","volume":"6"},"uris":["http://www.mendeley.com/documents/?uuid=acae8c78-04bf-46cd-a595-37fe2f8323bd"]}],"mendeley":{"formattedCitation":"[3]","plainTextFormattedCitation":"[3]","previouslyFormattedCitation":"[3]"},"properties":{"noteIndex":0},"schema":"https://github.com/citation-style-language/schema/raw/master/csl-citation.json"}</w:instrText>
            </w:r>
            <w:r w:rsidRPr="00821999">
              <w:rPr>
                <w:rFonts w:ascii="Times New Roman" w:eastAsiaTheme="minorHAnsi" w:hAnsi="Times New Roman" w:cs="Times New Roman"/>
                <w:b/>
                <w:iCs/>
                <w:sz w:val="24"/>
                <w:szCs w:val="24"/>
              </w:rPr>
              <w:fldChar w:fldCharType="separate"/>
            </w:r>
            <w:r w:rsidRPr="00821999">
              <w:rPr>
                <w:rFonts w:ascii="Times New Roman" w:eastAsiaTheme="minorHAnsi" w:hAnsi="Times New Roman" w:cs="Times New Roman"/>
                <w:iCs/>
                <w:noProof/>
                <w:sz w:val="24"/>
                <w:szCs w:val="24"/>
              </w:rPr>
              <w:t>[3]</w:t>
            </w:r>
            <w:r w:rsidRPr="00821999">
              <w:rPr>
                <w:rFonts w:ascii="Times New Roman" w:eastAsiaTheme="minorHAnsi" w:hAnsi="Times New Roman" w:cs="Times New Roman"/>
                <w:b/>
                <w:iCs/>
                <w:sz w:val="24"/>
                <w:szCs w:val="24"/>
              </w:rPr>
              <w:fldChar w:fldCharType="end"/>
            </w:r>
          </w:p>
          <w:p w14:paraId="467684CF" w14:textId="77777777" w:rsidR="00C635FF" w:rsidRPr="00821999" w:rsidRDefault="00C635FF" w:rsidP="001F380A">
            <w:pPr>
              <w:spacing w:after="0"/>
              <w:jc w:val="center"/>
              <w:rPr>
                <w:rFonts w:ascii="Times New Roman" w:eastAsiaTheme="minorHAnsi" w:hAnsi="Times New Roman" w:cs="Times New Roman"/>
                <w:b/>
                <w:iCs/>
                <w:sz w:val="24"/>
                <w:szCs w:val="24"/>
              </w:rPr>
            </w:pPr>
            <w:r w:rsidRPr="00821999">
              <w:rPr>
                <w:rFonts w:ascii="Times New Roman" w:eastAsiaTheme="minorHAnsi" w:hAnsi="Times New Roman" w:cs="Times New Roman"/>
                <w:b/>
                <w:iCs/>
                <w:sz w:val="24"/>
                <w:szCs w:val="24"/>
              </w:rPr>
              <w:t>(LoG)</w:t>
            </w:r>
          </w:p>
        </w:tc>
        <w:tc>
          <w:tcPr>
            <w:tcW w:w="999" w:type="pct"/>
            <w:tcBorders>
              <w:top w:val="single" w:sz="12" w:space="0" w:color="auto"/>
              <w:bottom w:val="single" w:sz="4" w:space="0" w:color="AEAAAA" w:themeColor="background2" w:themeShade="BF"/>
            </w:tcBorders>
            <w:vAlign w:val="center"/>
          </w:tcPr>
          <w:p w14:paraId="4BD1C94C" w14:textId="77777777" w:rsidR="00C635FF" w:rsidRPr="00821999" w:rsidRDefault="00C635FF" w:rsidP="001F380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821999">
              <w:rPr>
                <w:rFonts w:ascii="Times New Roman" w:eastAsia="맑은 고딕" w:hAnsi="Times New Roman" w:cs="Times New Roman"/>
                <w:color w:val="000000"/>
                <w:kern w:val="0"/>
                <w:sz w:val="24"/>
                <w:szCs w:val="24"/>
              </w:rPr>
              <w:t>Mean</w:t>
            </w:r>
          </w:p>
        </w:tc>
        <w:tc>
          <w:tcPr>
            <w:tcW w:w="1780" w:type="pct"/>
            <w:tcBorders>
              <w:top w:val="single" w:sz="12" w:space="0" w:color="auto"/>
              <w:bottom w:val="single" w:sz="4" w:space="0" w:color="AEAAAA" w:themeColor="background2" w:themeShade="BF"/>
            </w:tcBorders>
            <w:vAlign w:val="center"/>
          </w:tcPr>
          <w:p w14:paraId="4A24491E"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Mean=</m:t>
                </m:r>
                <m:f>
                  <m:fPr>
                    <m:ctrlPr>
                      <w:rPr>
                        <w:rFonts w:ascii="Cambria Math" w:eastAsia="맑은 고딕" w:hAnsi="Cambria Math" w:cs="Times New Roman"/>
                        <w:sz w:val="24"/>
                        <w:szCs w:val="24"/>
                      </w:rPr>
                    </m:ctrlPr>
                  </m:fPr>
                  <m:num>
                    <m:r>
                      <m:rPr>
                        <m:sty m:val="p"/>
                      </m:rPr>
                      <w:rPr>
                        <w:rFonts w:ascii="Cambria Math" w:eastAsia="맑은 고딕" w:hAnsi="Cambria Math" w:cs="Times New Roman"/>
                        <w:sz w:val="24"/>
                        <w:szCs w:val="24"/>
                      </w:rPr>
                      <m:t>1</m:t>
                    </m:r>
                  </m:num>
                  <m:den>
                    <m:r>
                      <m:rPr>
                        <m:sty m:val="p"/>
                      </m:rPr>
                      <w:rPr>
                        <w:rFonts w:ascii="Cambria Math" w:eastAsia="맑은 고딕" w:hAnsi="Cambria Math" w:cs="Times New Roman"/>
                        <w:sz w:val="24"/>
                        <w:szCs w:val="24"/>
                      </w:rPr>
                      <m:t>N</m:t>
                    </m:r>
                  </m:den>
                </m:f>
                <m:nary>
                  <m:naryPr>
                    <m:chr m:val="∑"/>
                    <m:limLoc m:val="undOvr"/>
                    <m:ctrlPr>
                      <w:rPr>
                        <w:rFonts w:ascii="Cambria Math" w:eastAsia="맑은 고딕" w:hAnsi="Cambria Math" w:cs="Times New Roman"/>
                        <w:sz w:val="24"/>
                        <w:szCs w:val="24"/>
                      </w:rPr>
                    </m:ctrlPr>
                  </m:naryPr>
                  <m:sub>
                    <m:r>
                      <m:rPr>
                        <m:sty m:val="p"/>
                      </m:rPr>
                      <w:rPr>
                        <w:rFonts w:ascii="Cambria Math" w:eastAsia="맑은 고딕" w:hAnsi="Cambria Math" w:cs="Times New Roman"/>
                        <w:sz w:val="24"/>
                        <w:szCs w:val="24"/>
                      </w:rPr>
                      <m:t>i</m:t>
                    </m:r>
                  </m:sub>
                  <m:sup>
                    <m:r>
                      <m:rPr>
                        <m:sty m:val="p"/>
                      </m:rPr>
                      <w:rPr>
                        <w:rFonts w:ascii="Cambria Math" w:eastAsia="맑은 고딕" w:hAnsi="Cambria Math" w:cs="Times New Roman"/>
                        <w:sz w:val="24"/>
                        <w:szCs w:val="24"/>
                      </w:rPr>
                      <m:t>N</m:t>
                    </m:r>
                  </m:sup>
                  <m:e>
                    <m:r>
                      <m:rPr>
                        <m:sty m:val="p"/>
                      </m:rPr>
                      <w:rPr>
                        <w:rFonts w:ascii="Cambria Math" w:eastAsia="맑은 고딕" w:hAnsi="Cambria Math" w:cs="Times New Roman"/>
                        <w:sz w:val="24"/>
                        <w:szCs w:val="24"/>
                      </w:rPr>
                      <m:t>G(i)</m:t>
                    </m:r>
                  </m:e>
                </m:nary>
              </m:oMath>
            </m:oMathPara>
          </w:p>
          <w:p w14:paraId="6D15DBF0"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G</m:t>
              </m:r>
            </m:oMath>
            <w:r w:rsidRPr="00821999">
              <w:rPr>
                <w:rFonts w:ascii="Times New Roman" w:hAnsi="Times New Roman" w:cs="Times New Roman"/>
                <w:sz w:val="24"/>
                <w:szCs w:val="24"/>
              </w:rPr>
              <w:t xml:space="preserve"> denote the filtered 3d image matrix with </w:t>
            </w:r>
            <m:oMath>
              <m:r>
                <m:rPr>
                  <m:sty m:val="p"/>
                </m:rPr>
                <w:rPr>
                  <w:rFonts w:ascii="Cambria Math" w:hAnsi="Cambria Math" w:cs="Times New Roman"/>
                  <w:sz w:val="24"/>
                  <w:szCs w:val="24"/>
                </w:rPr>
                <m:t>N</m:t>
              </m:r>
            </m:oMath>
            <w:r w:rsidRPr="00821999">
              <w:rPr>
                <w:rFonts w:ascii="Times New Roman" w:hAnsi="Times New Roman" w:cs="Times New Roman"/>
                <w:sz w:val="24"/>
                <w:szCs w:val="24"/>
              </w:rPr>
              <w:t xml:space="preserve"> voxel.</w:t>
            </w:r>
          </w:p>
        </w:tc>
        <w:tc>
          <w:tcPr>
            <w:tcW w:w="808" w:type="pct"/>
            <w:tcBorders>
              <w:top w:val="single" w:sz="12" w:space="0" w:color="auto"/>
              <w:bottom w:val="single" w:sz="4" w:space="0" w:color="AEAAAA" w:themeColor="background2" w:themeShade="BF"/>
            </w:tcBorders>
            <w:vAlign w:val="center"/>
          </w:tcPr>
          <w:p w14:paraId="7AA3706F"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Style w:val="Char2"/>
                <w:rFonts w:ascii="Times New Roman" w:hAnsi="Times New Roman" w:cs="Times New Roman"/>
              </w:rPr>
              <w:t>Measurement of mean of ROI image processed by LoG filter</w:t>
            </w:r>
          </w:p>
        </w:tc>
        <w:tc>
          <w:tcPr>
            <w:tcW w:w="807" w:type="pct"/>
            <w:tcBorders>
              <w:top w:val="single" w:sz="12" w:space="0" w:color="auto"/>
              <w:bottom w:val="single" w:sz="4" w:space="0" w:color="AEAAAA" w:themeColor="background2" w:themeShade="BF"/>
            </w:tcBorders>
            <w:vAlign w:val="center"/>
          </w:tcPr>
          <w:p w14:paraId="6B1D420A"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695B8508" w14:textId="77777777" w:rsidTr="001F380A">
        <w:trPr>
          <w:trHeight w:val="70"/>
        </w:trPr>
        <w:tc>
          <w:tcPr>
            <w:tcW w:w="606" w:type="pct"/>
            <w:vMerge/>
            <w:tcBorders>
              <w:top w:val="single" w:sz="4" w:space="0" w:color="AEAAAA" w:themeColor="background2" w:themeShade="BF"/>
            </w:tcBorders>
            <w:shd w:val="clear" w:color="auto" w:fill="auto"/>
            <w:vAlign w:val="center"/>
          </w:tcPr>
          <w:p w14:paraId="0700E3E0"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tcBorders>
              <w:top w:val="single" w:sz="4" w:space="0" w:color="AEAAAA" w:themeColor="background2" w:themeShade="BF"/>
            </w:tcBorders>
            <w:vAlign w:val="center"/>
          </w:tcPr>
          <w:p w14:paraId="4832AD64" w14:textId="77777777" w:rsidR="00C635FF" w:rsidRPr="00821999" w:rsidRDefault="00C635FF" w:rsidP="001F380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821999">
              <w:rPr>
                <w:rFonts w:ascii="Times New Roman" w:eastAsia="맑은 고딕" w:hAnsi="Times New Roman" w:cs="Times New Roman"/>
                <w:color w:val="000000"/>
                <w:kern w:val="0"/>
                <w:sz w:val="24"/>
                <w:szCs w:val="24"/>
              </w:rPr>
              <w:t>Max</w:t>
            </w:r>
          </w:p>
        </w:tc>
        <w:tc>
          <w:tcPr>
            <w:tcW w:w="1780" w:type="pct"/>
            <w:tcBorders>
              <w:top w:val="single" w:sz="4" w:space="0" w:color="AEAAAA" w:themeColor="background2" w:themeShade="BF"/>
            </w:tcBorders>
            <w:vAlign w:val="center"/>
          </w:tcPr>
          <w:p w14:paraId="5B32A4D3"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Max</m:t>
                </m:r>
                <m:r>
                  <w:rPr>
                    <w:rFonts w:ascii="Cambria Math" w:hAnsi="Cambria Math" w:cs="Times New Roman"/>
                    <w:sz w:val="24"/>
                    <w:szCs w:val="24"/>
                  </w:rPr>
                  <m:t>=Max(G(i))</m:t>
                </m:r>
              </m:oMath>
            </m:oMathPara>
          </w:p>
          <w:p w14:paraId="40EA2824"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G</m:t>
              </m:r>
            </m:oMath>
            <w:r w:rsidRPr="00821999">
              <w:rPr>
                <w:rFonts w:ascii="Times New Roman" w:hAnsi="Times New Roman" w:cs="Times New Roman"/>
                <w:sz w:val="24"/>
                <w:szCs w:val="24"/>
              </w:rPr>
              <w:t xml:space="preserve"> denotes the filtered 3d image matrix with </w:t>
            </w:r>
            <m:oMath>
              <m:r>
                <w:rPr>
                  <w:rFonts w:ascii="Cambria Math" w:hAnsi="Cambria Math" w:cs="Times New Roman"/>
                  <w:sz w:val="24"/>
                  <w:szCs w:val="24"/>
                </w:rPr>
                <m:t>N</m:t>
              </m:r>
            </m:oMath>
            <w:r w:rsidRPr="00821999">
              <w:rPr>
                <w:rFonts w:ascii="Times New Roman" w:hAnsi="Times New Roman" w:cs="Times New Roman"/>
                <w:sz w:val="24"/>
                <w:szCs w:val="24"/>
              </w:rPr>
              <w:t xml:space="preserve"> voxel.</w:t>
            </w:r>
          </w:p>
        </w:tc>
        <w:tc>
          <w:tcPr>
            <w:tcW w:w="808" w:type="pct"/>
            <w:tcBorders>
              <w:top w:val="single" w:sz="4" w:space="0" w:color="AEAAAA" w:themeColor="background2" w:themeShade="BF"/>
            </w:tcBorders>
            <w:vAlign w:val="center"/>
          </w:tcPr>
          <w:p w14:paraId="7212BFB9"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Style w:val="Char2"/>
                <w:rFonts w:ascii="Times New Roman" w:hAnsi="Times New Roman" w:cs="Times New Roman"/>
              </w:rPr>
              <w:t>Measurement of max intensity value of ROI image processed by LoG filter</w:t>
            </w:r>
          </w:p>
        </w:tc>
        <w:tc>
          <w:tcPr>
            <w:tcW w:w="807" w:type="pct"/>
            <w:tcBorders>
              <w:top w:val="single" w:sz="4" w:space="0" w:color="AEAAAA" w:themeColor="background2" w:themeShade="BF"/>
            </w:tcBorders>
            <w:vAlign w:val="center"/>
          </w:tcPr>
          <w:p w14:paraId="54520375"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4483F95F" w14:textId="77777777" w:rsidTr="001F380A">
        <w:trPr>
          <w:trHeight w:val="70"/>
        </w:trPr>
        <w:tc>
          <w:tcPr>
            <w:tcW w:w="606" w:type="pct"/>
            <w:vMerge/>
            <w:shd w:val="clear" w:color="auto" w:fill="auto"/>
            <w:vAlign w:val="center"/>
          </w:tcPr>
          <w:p w14:paraId="770B6276"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0ACD51EA" w14:textId="77777777" w:rsidR="00C635FF" w:rsidRPr="00821999" w:rsidRDefault="00C635FF" w:rsidP="001F380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821999">
              <w:rPr>
                <w:rFonts w:ascii="Times New Roman" w:eastAsia="맑은 고딕" w:hAnsi="Times New Roman" w:cs="Times New Roman"/>
                <w:color w:val="000000"/>
                <w:kern w:val="0"/>
                <w:sz w:val="24"/>
                <w:szCs w:val="24"/>
              </w:rPr>
              <w:t>Min</w:t>
            </w:r>
          </w:p>
        </w:tc>
        <w:tc>
          <w:tcPr>
            <w:tcW w:w="1780" w:type="pct"/>
            <w:vAlign w:val="center"/>
          </w:tcPr>
          <w:p w14:paraId="01CC3A08"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Min</m:t>
                </m:r>
                <m:r>
                  <w:rPr>
                    <w:rFonts w:ascii="Cambria Math" w:hAnsi="Cambria Math" w:cs="Times New Roman"/>
                    <w:sz w:val="24"/>
                    <w:szCs w:val="24"/>
                  </w:rPr>
                  <m:t>=Min(G(i))</m:t>
                </m:r>
              </m:oMath>
            </m:oMathPara>
          </w:p>
          <w:p w14:paraId="12DAE4FB"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G</m:t>
              </m:r>
            </m:oMath>
            <w:r w:rsidRPr="00821999">
              <w:rPr>
                <w:rFonts w:ascii="Times New Roman" w:hAnsi="Times New Roman" w:cs="Times New Roman"/>
                <w:sz w:val="24"/>
                <w:szCs w:val="24"/>
              </w:rPr>
              <w:t xml:space="preserve"> denotes the filtered 3d image matrix with </w:t>
            </w:r>
            <m:oMath>
              <m:r>
                <w:rPr>
                  <w:rFonts w:ascii="Cambria Math" w:hAnsi="Cambria Math" w:cs="Times New Roman"/>
                  <w:sz w:val="24"/>
                  <w:szCs w:val="24"/>
                </w:rPr>
                <m:t>N</m:t>
              </m:r>
            </m:oMath>
            <w:r w:rsidRPr="00821999">
              <w:rPr>
                <w:rFonts w:ascii="Times New Roman" w:hAnsi="Times New Roman" w:cs="Times New Roman"/>
                <w:sz w:val="24"/>
                <w:szCs w:val="24"/>
              </w:rPr>
              <w:t xml:space="preserve"> voxel.</w:t>
            </w:r>
          </w:p>
        </w:tc>
        <w:tc>
          <w:tcPr>
            <w:tcW w:w="808" w:type="pct"/>
            <w:vAlign w:val="center"/>
          </w:tcPr>
          <w:p w14:paraId="728F1AC5" w14:textId="77777777" w:rsidR="00C635FF" w:rsidRPr="00821999" w:rsidRDefault="00C635FF" w:rsidP="001F380A">
            <w:pPr>
              <w:spacing w:after="0"/>
              <w:jc w:val="center"/>
              <w:rPr>
                <w:rStyle w:val="Char2"/>
                <w:rFonts w:ascii="Times New Roman" w:hAnsi="Times New Roman" w:cs="Times New Roman"/>
              </w:rPr>
            </w:pPr>
            <w:r w:rsidRPr="00821999">
              <w:rPr>
                <w:rStyle w:val="Char2"/>
                <w:rFonts w:ascii="Times New Roman" w:hAnsi="Times New Roman" w:cs="Times New Roman"/>
              </w:rPr>
              <w:t>Measurement of minimum intensity value of ROI image processed by LoG filter</w:t>
            </w:r>
          </w:p>
        </w:tc>
        <w:tc>
          <w:tcPr>
            <w:tcW w:w="807" w:type="pct"/>
            <w:vAlign w:val="center"/>
          </w:tcPr>
          <w:p w14:paraId="7702E123"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4093DF8C" w14:textId="77777777" w:rsidTr="001F380A">
        <w:trPr>
          <w:trHeight w:val="70"/>
        </w:trPr>
        <w:tc>
          <w:tcPr>
            <w:tcW w:w="606" w:type="pct"/>
            <w:vMerge/>
            <w:shd w:val="clear" w:color="auto" w:fill="auto"/>
            <w:vAlign w:val="center"/>
          </w:tcPr>
          <w:p w14:paraId="16027C85"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786FA6F8" w14:textId="77777777" w:rsidR="00C635FF" w:rsidRPr="00821999" w:rsidRDefault="00C635FF" w:rsidP="001F380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821999">
              <w:rPr>
                <w:rFonts w:ascii="Times New Roman" w:eastAsia="맑은 고딕" w:hAnsi="Times New Roman" w:cs="Times New Roman"/>
                <w:color w:val="000000"/>
                <w:kern w:val="0"/>
                <w:sz w:val="24"/>
                <w:szCs w:val="24"/>
              </w:rPr>
              <w:t>Median</w:t>
            </w:r>
          </w:p>
        </w:tc>
        <w:tc>
          <w:tcPr>
            <w:tcW w:w="1780" w:type="pct"/>
            <w:vAlign w:val="center"/>
          </w:tcPr>
          <w:p w14:paraId="6E65822F"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Median=</m:t>
                </m:r>
                <m:f>
                  <m:fPr>
                    <m:ctrlPr>
                      <w:rPr>
                        <w:rFonts w:ascii="Cambria Math" w:eastAsia="맑은 고딕" w:hAnsi="Cambria Math" w:cs="Times New Roman"/>
                        <w:sz w:val="24"/>
                        <w:szCs w:val="24"/>
                      </w:rPr>
                    </m:ctrlPr>
                  </m:fPr>
                  <m:num>
                    <m:r>
                      <m:rPr>
                        <m:sty m:val="p"/>
                      </m:rPr>
                      <w:rPr>
                        <w:rFonts w:ascii="Cambria Math" w:eastAsia="맑은 고딕" w:hAnsi="Cambria Math" w:cs="Times New Roman"/>
                        <w:sz w:val="24"/>
                        <w:szCs w:val="24"/>
                      </w:rPr>
                      <m:t>G(i)</m:t>
                    </m:r>
                  </m:num>
                  <m:den>
                    <m:r>
                      <m:rPr>
                        <m:sty m:val="p"/>
                      </m:rPr>
                      <w:rPr>
                        <w:rFonts w:ascii="Cambria Math" w:eastAsia="맑은 고딕" w:hAnsi="Cambria Math" w:cs="Times New Roman"/>
                        <w:sz w:val="24"/>
                        <w:szCs w:val="24"/>
                      </w:rPr>
                      <m:t>2</m:t>
                    </m:r>
                  </m:den>
                </m:f>
              </m:oMath>
            </m:oMathPara>
          </w:p>
          <w:p w14:paraId="47403C49"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G</m:t>
              </m:r>
            </m:oMath>
            <w:r w:rsidRPr="00821999">
              <w:rPr>
                <w:rFonts w:ascii="Times New Roman" w:hAnsi="Times New Roman" w:cs="Times New Roman"/>
                <w:sz w:val="24"/>
                <w:szCs w:val="24"/>
              </w:rPr>
              <w:t xml:space="preserve"> denote the filtered 3d image matrix</w:t>
            </w:r>
          </w:p>
        </w:tc>
        <w:tc>
          <w:tcPr>
            <w:tcW w:w="808" w:type="pct"/>
            <w:vAlign w:val="center"/>
          </w:tcPr>
          <w:p w14:paraId="06559610"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Style w:val="Char2"/>
                <w:rFonts w:ascii="Times New Roman" w:hAnsi="Times New Roman" w:cs="Times New Roman"/>
              </w:rPr>
              <w:t>Measurement of median intensity value of ROI image processed by LoG filter</w:t>
            </w:r>
          </w:p>
        </w:tc>
        <w:tc>
          <w:tcPr>
            <w:tcW w:w="807" w:type="pct"/>
            <w:vAlign w:val="center"/>
          </w:tcPr>
          <w:p w14:paraId="1C6A999D"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4226A5FE" w14:textId="77777777" w:rsidTr="001F380A">
        <w:trPr>
          <w:trHeight w:val="70"/>
        </w:trPr>
        <w:tc>
          <w:tcPr>
            <w:tcW w:w="606" w:type="pct"/>
            <w:vMerge/>
            <w:shd w:val="clear" w:color="auto" w:fill="auto"/>
            <w:vAlign w:val="center"/>
          </w:tcPr>
          <w:p w14:paraId="03F3CA97"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3AAFB655" w14:textId="77777777" w:rsidR="00C635FF" w:rsidRPr="00821999" w:rsidRDefault="00C635FF" w:rsidP="001F380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821999">
              <w:rPr>
                <w:rFonts w:ascii="Times New Roman" w:eastAsia="맑은 고딕" w:hAnsi="Times New Roman" w:cs="Times New Roman"/>
                <w:color w:val="000000"/>
                <w:kern w:val="0"/>
                <w:sz w:val="24"/>
                <w:szCs w:val="24"/>
              </w:rPr>
              <w:t>Standard deviation (Std)</w:t>
            </w:r>
          </w:p>
        </w:tc>
        <w:tc>
          <w:tcPr>
            <w:tcW w:w="1780" w:type="pct"/>
            <w:vAlign w:val="center"/>
          </w:tcPr>
          <w:p w14:paraId="01F2AC8E"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Std=</m:t>
                </m:r>
                <m:sSup>
                  <m:sSupPr>
                    <m:ctrlPr>
                      <w:rPr>
                        <w:rFonts w:ascii="Cambria Math" w:eastAsia="맑은 고딕" w:hAnsi="Cambria Math" w:cs="Times New Roman"/>
                        <w:sz w:val="24"/>
                        <w:szCs w:val="24"/>
                      </w:rPr>
                    </m:ctrlPr>
                  </m:sSupPr>
                  <m:e>
                    <m:d>
                      <m:dPr>
                        <m:ctrlPr>
                          <w:rPr>
                            <w:rFonts w:ascii="Cambria Math" w:eastAsia="맑은 고딕" w:hAnsi="Cambria Math" w:cs="Times New Roman"/>
                            <w:sz w:val="24"/>
                            <w:szCs w:val="24"/>
                          </w:rPr>
                        </m:ctrlPr>
                      </m:dPr>
                      <m:e>
                        <m:f>
                          <m:fPr>
                            <m:ctrlPr>
                              <w:rPr>
                                <w:rFonts w:ascii="Cambria Math" w:eastAsia="맑은 고딕" w:hAnsi="Cambria Math" w:cs="Times New Roman"/>
                                <w:sz w:val="24"/>
                                <w:szCs w:val="24"/>
                              </w:rPr>
                            </m:ctrlPr>
                          </m:fPr>
                          <m:num>
                            <m:r>
                              <m:rPr>
                                <m:sty m:val="p"/>
                              </m:rPr>
                              <w:rPr>
                                <w:rFonts w:ascii="Cambria Math" w:eastAsia="맑은 고딕" w:hAnsi="Cambria Math" w:cs="Times New Roman"/>
                                <w:sz w:val="24"/>
                                <w:szCs w:val="24"/>
                              </w:rPr>
                              <m:t>1</m:t>
                            </m:r>
                          </m:num>
                          <m:den>
                            <m:r>
                              <m:rPr>
                                <m:sty m:val="p"/>
                              </m:rPr>
                              <w:rPr>
                                <w:rFonts w:ascii="Cambria Math" w:eastAsia="맑은 고딕" w:hAnsi="Cambria Math" w:cs="Times New Roman"/>
                                <w:sz w:val="24"/>
                                <w:szCs w:val="24"/>
                              </w:rPr>
                              <m:t>N-1</m:t>
                            </m:r>
                          </m:den>
                        </m:f>
                        <m:nary>
                          <m:naryPr>
                            <m:chr m:val="∑"/>
                            <m:limLoc m:val="undOvr"/>
                            <m:ctrlPr>
                              <w:rPr>
                                <w:rFonts w:ascii="Cambria Math" w:eastAsia="맑은 고딕" w:hAnsi="Cambria Math" w:cs="Times New Roman"/>
                                <w:sz w:val="24"/>
                                <w:szCs w:val="24"/>
                              </w:rPr>
                            </m:ctrlPr>
                          </m:naryPr>
                          <m:sub>
                            <m:r>
                              <m:rPr>
                                <m:sty m:val="p"/>
                              </m:rPr>
                              <w:rPr>
                                <w:rFonts w:ascii="Cambria Math" w:eastAsia="맑은 고딕" w:hAnsi="Cambria Math" w:cs="Times New Roman"/>
                                <w:sz w:val="24"/>
                                <w:szCs w:val="24"/>
                              </w:rPr>
                              <m:t>i=1</m:t>
                            </m:r>
                          </m:sub>
                          <m:sup>
                            <m:r>
                              <m:rPr>
                                <m:sty m:val="p"/>
                              </m:rPr>
                              <w:rPr>
                                <w:rFonts w:ascii="Cambria Math" w:eastAsia="맑은 고딕" w:hAnsi="Cambria Math" w:cs="Times New Roman"/>
                                <w:sz w:val="24"/>
                                <w:szCs w:val="24"/>
                              </w:rPr>
                              <m:t>N</m:t>
                            </m:r>
                          </m:sup>
                          <m:e>
                            <m:r>
                              <m:rPr>
                                <m:sty m:val="p"/>
                              </m:rPr>
                              <w:rPr>
                                <w:rFonts w:ascii="Cambria Math" w:eastAsia="맑은 고딕" w:hAnsi="Cambria Math" w:cs="Times New Roman"/>
                                <w:sz w:val="24"/>
                                <w:szCs w:val="24"/>
                              </w:rPr>
                              <m:t xml:space="preserve"> </m:t>
                            </m:r>
                            <m:sSup>
                              <m:sSupPr>
                                <m:ctrlPr>
                                  <w:rPr>
                                    <w:rFonts w:ascii="Cambria Math" w:eastAsia="맑은 고딕" w:hAnsi="Cambria Math" w:cs="Times New Roman"/>
                                    <w:sz w:val="24"/>
                                    <w:szCs w:val="24"/>
                                  </w:rPr>
                                </m:ctrlPr>
                              </m:sSupPr>
                              <m:e>
                                <m:d>
                                  <m:dPr>
                                    <m:ctrlPr>
                                      <w:rPr>
                                        <w:rFonts w:ascii="Cambria Math" w:eastAsia="맑은 고딕" w:hAnsi="Cambria Math" w:cs="Times New Roman"/>
                                        <w:sz w:val="24"/>
                                        <w:szCs w:val="24"/>
                                      </w:rPr>
                                    </m:ctrlPr>
                                  </m:dPr>
                                  <m:e>
                                    <m:r>
                                      <m:rPr>
                                        <m:sty m:val="p"/>
                                      </m:rPr>
                                      <w:rPr>
                                        <w:rFonts w:ascii="Cambria Math" w:eastAsia="맑은 고딕" w:hAnsi="Cambria Math" w:cs="Times New Roman"/>
                                        <w:sz w:val="24"/>
                                        <w:szCs w:val="24"/>
                                      </w:rPr>
                                      <m:t>G</m:t>
                                    </m:r>
                                    <m:d>
                                      <m:dPr>
                                        <m:ctrlPr>
                                          <w:rPr>
                                            <w:rFonts w:ascii="Cambria Math" w:eastAsia="맑은 고딕" w:hAnsi="Cambria Math" w:cs="Times New Roman"/>
                                            <w:sz w:val="24"/>
                                            <w:szCs w:val="24"/>
                                          </w:rPr>
                                        </m:ctrlPr>
                                      </m:dPr>
                                      <m:e>
                                        <m:r>
                                          <m:rPr>
                                            <m:sty m:val="p"/>
                                          </m:rPr>
                                          <w:rPr>
                                            <w:rFonts w:ascii="Cambria Math" w:eastAsia="맑은 고딕" w:hAnsi="Cambria Math" w:cs="Times New Roman"/>
                                            <w:sz w:val="24"/>
                                            <w:szCs w:val="24"/>
                                          </w:rPr>
                                          <m:t>i</m:t>
                                        </m:r>
                                      </m:e>
                                    </m:d>
                                    <m:r>
                                      <m:rPr>
                                        <m:sty m:val="p"/>
                                      </m:rPr>
                                      <w:rPr>
                                        <w:rFonts w:ascii="Cambria Math" w:eastAsia="맑은 고딕" w:hAnsi="Cambria Math" w:cs="Times New Roman"/>
                                        <w:sz w:val="24"/>
                                        <w:szCs w:val="24"/>
                                      </w:rPr>
                                      <m:t>-</m:t>
                                    </m:r>
                                    <m:acc>
                                      <m:accPr>
                                        <m:chr m:val="̅"/>
                                        <m:ctrlPr>
                                          <w:rPr>
                                            <w:rFonts w:ascii="Cambria Math" w:eastAsia="맑은 고딕" w:hAnsi="Cambria Math" w:cs="Times New Roman"/>
                                            <w:sz w:val="24"/>
                                            <w:szCs w:val="24"/>
                                          </w:rPr>
                                        </m:ctrlPr>
                                      </m:accPr>
                                      <m:e>
                                        <m:r>
                                          <w:rPr>
                                            <w:rFonts w:ascii="Cambria Math" w:eastAsia="맑은 고딕" w:hAnsi="Cambria Math" w:cs="Times New Roman"/>
                                            <w:sz w:val="24"/>
                                            <w:szCs w:val="24"/>
                                          </w:rPr>
                                          <m:t>G</m:t>
                                        </m:r>
                                      </m:e>
                                    </m:acc>
                                  </m:e>
                                </m:d>
                              </m:e>
                              <m:sup>
                                <m:r>
                                  <m:rPr>
                                    <m:sty m:val="p"/>
                                  </m:rPr>
                                  <w:rPr>
                                    <w:rFonts w:ascii="Cambria Math" w:eastAsia="맑은 고딕" w:hAnsi="Cambria Math" w:cs="Times New Roman"/>
                                    <w:sz w:val="24"/>
                                    <w:szCs w:val="24"/>
                                  </w:rPr>
                                  <m:t>2</m:t>
                                </m:r>
                              </m:sup>
                            </m:sSup>
                          </m:e>
                        </m:nary>
                      </m:e>
                    </m:d>
                  </m:e>
                  <m:sup>
                    <m:r>
                      <m:rPr>
                        <m:sty m:val="p"/>
                      </m:rPr>
                      <w:rPr>
                        <w:rFonts w:ascii="Cambria Math" w:eastAsia="맑은 고딕" w:hAnsi="Cambria Math" w:cs="Times New Roman"/>
                        <w:sz w:val="24"/>
                        <w:szCs w:val="24"/>
                      </w:rPr>
                      <m:t>1/2</m:t>
                    </m:r>
                  </m:sup>
                </m:sSup>
              </m:oMath>
            </m:oMathPara>
          </w:p>
          <w:p w14:paraId="55D2769C"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hAnsi="Times New Roman" w:cs="Times New Roman"/>
                <w:sz w:val="24"/>
                <w:szCs w:val="24"/>
              </w:rPr>
              <w:t xml:space="preserve">Where </w:t>
            </w:r>
            <m:oMath>
              <m:r>
                <m:rPr>
                  <m:sty m:val="p"/>
                </m:rPr>
                <w:rPr>
                  <w:rFonts w:ascii="Cambria Math" w:hAnsi="Cambria Math" w:cs="Times New Roman"/>
                  <w:sz w:val="24"/>
                  <w:szCs w:val="24"/>
                </w:rPr>
                <m:t>G</m:t>
              </m:r>
            </m:oMath>
            <w:r w:rsidRPr="00821999">
              <w:rPr>
                <w:rFonts w:ascii="Times New Roman" w:hAnsi="Times New Roman" w:cs="Times New Roman"/>
                <w:sz w:val="24"/>
                <w:szCs w:val="24"/>
              </w:rPr>
              <w:t xml:space="preserve"> denote the filtered 3d image matrix with </w:t>
            </w:r>
            <m:oMath>
              <m:r>
                <m:rPr>
                  <m:sty m:val="p"/>
                </m:rPr>
                <w:rPr>
                  <w:rFonts w:ascii="Cambria Math" w:hAnsi="Cambria Math" w:cs="Times New Roman"/>
                  <w:sz w:val="24"/>
                  <w:szCs w:val="24"/>
                </w:rPr>
                <m:t>N</m:t>
              </m:r>
            </m:oMath>
            <w:r w:rsidRPr="00821999">
              <w:rPr>
                <w:rFonts w:ascii="Times New Roman" w:hAnsi="Times New Roman" w:cs="Times New Roman"/>
                <w:sz w:val="24"/>
                <w:szCs w:val="24"/>
              </w:rPr>
              <w:t xml:space="preserve"> voxel.</w:t>
            </w:r>
          </w:p>
        </w:tc>
        <w:tc>
          <w:tcPr>
            <w:tcW w:w="808" w:type="pct"/>
            <w:vAlign w:val="center"/>
          </w:tcPr>
          <w:p w14:paraId="061D3344"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Style w:val="Char2"/>
                <w:rFonts w:ascii="Times New Roman" w:hAnsi="Times New Roman" w:cs="Times New Roman"/>
              </w:rPr>
              <w:t>Measurement of standard deviation of ROI image processed by LoG filter</w:t>
            </w:r>
          </w:p>
        </w:tc>
        <w:tc>
          <w:tcPr>
            <w:tcW w:w="807" w:type="pct"/>
            <w:vAlign w:val="center"/>
          </w:tcPr>
          <w:p w14:paraId="29447419"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44ADCE4C" w14:textId="77777777" w:rsidTr="001F380A">
        <w:trPr>
          <w:trHeight w:val="70"/>
        </w:trPr>
        <w:tc>
          <w:tcPr>
            <w:tcW w:w="606" w:type="pct"/>
            <w:vMerge/>
            <w:shd w:val="clear" w:color="auto" w:fill="auto"/>
            <w:vAlign w:val="center"/>
          </w:tcPr>
          <w:p w14:paraId="5FBAE2FA"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1FA28BA1"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Theme="minorHAnsi" w:hAnsi="Times New Roman" w:cs="Times New Roman"/>
                <w:iCs/>
                <w:sz w:val="24"/>
                <w:szCs w:val="24"/>
              </w:rPr>
              <w:t>Skewness</w:t>
            </w:r>
          </w:p>
        </w:tc>
        <w:tc>
          <w:tcPr>
            <w:tcW w:w="1780" w:type="pct"/>
            <w:vAlign w:val="center"/>
          </w:tcPr>
          <w:p w14:paraId="39D36E2A"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Skewness=</m:t>
                </m:r>
                <m:f>
                  <m:fPr>
                    <m:ctrlPr>
                      <w:rPr>
                        <w:rFonts w:ascii="Cambria Math" w:hAnsi="Cambria Math" w:cs="Times New Roman"/>
                        <w:sz w:val="24"/>
                        <w:szCs w:val="24"/>
                      </w:rPr>
                    </m:ctrlPr>
                  </m:fPr>
                  <m:num>
                    <m:r>
                      <w:rPr>
                        <w:rFonts w:ascii="Cambria Math" w:hAnsi="Cambria Math" w:cs="Times New Roman"/>
                        <w:sz w:val="24"/>
                        <w:szCs w:val="24"/>
                      </w:rPr>
                      <m:t>E</m:t>
                    </m:r>
                    <m:sSup>
                      <m:sSupPr>
                        <m:ctrlPr>
                          <w:rPr>
                            <w:rFonts w:ascii="Cambria Math" w:hAnsi="Cambria Math" w:cs="Times New Roman"/>
                            <w:i/>
                            <w:sz w:val="24"/>
                            <w:szCs w:val="24"/>
                          </w:rPr>
                        </m:ctrlPr>
                      </m:sSupPr>
                      <m:e>
                        <m:r>
                          <w:rPr>
                            <w:rFonts w:ascii="Cambria Math" w:hAnsi="Cambria Math" w:cs="Times New Roman"/>
                            <w:sz w:val="24"/>
                            <w:szCs w:val="24"/>
                          </w:rPr>
                          <m:t>(G-μ)</m:t>
                        </m:r>
                      </m:e>
                      <m:sup>
                        <m:r>
                          <w:rPr>
                            <w:rFonts w:ascii="Cambria Math" w:hAnsi="Cambria Math" w:cs="Times New Roman"/>
                            <w:sz w:val="24"/>
                            <w:szCs w:val="24"/>
                          </w:rPr>
                          <m:t>3</m:t>
                        </m:r>
                      </m:sup>
                    </m:sSup>
                  </m:num>
                  <m:den>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3</m:t>
                        </m:r>
                      </m:sup>
                    </m:sSup>
                  </m:den>
                </m:f>
              </m:oMath>
            </m:oMathPara>
          </w:p>
          <w:p w14:paraId="7F361074"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w:rPr>
                  <w:rFonts w:ascii="Cambria Math" w:hAnsi="Cambria Math" w:cs="Times New Roman"/>
                  <w:sz w:val="24"/>
                  <w:szCs w:val="24"/>
                </w:rPr>
                <m:t>μ</m:t>
              </m:r>
            </m:oMath>
            <w:r w:rsidRPr="00821999">
              <w:rPr>
                <w:rFonts w:ascii="Times New Roman" w:hAnsi="Times New Roman" w:cs="Times New Roman"/>
                <w:sz w:val="24"/>
                <w:szCs w:val="24"/>
              </w:rPr>
              <w:t xml:space="preserve"> is the mean of </w:t>
            </w:r>
            <m:oMath>
              <m:r>
                <m:rPr>
                  <m:sty m:val="p"/>
                </m:rPr>
                <w:rPr>
                  <w:rFonts w:ascii="Cambria Math" w:hAnsi="Cambria Math" w:cs="Times New Roman"/>
                  <w:sz w:val="24"/>
                  <w:szCs w:val="24"/>
                </w:rPr>
                <m:t>G</m:t>
              </m:r>
            </m:oMath>
            <w:r w:rsidRPr="00821999">
              <w:rPr>
                <w:rFonts w:ascii="Times New Roman" w:hAnsi="Times New Roman" w:cs="Times New Roman"/>
                <w:sz w:val="24"/>
                <w:szCs w:val="24"/>
              </w:rPr>
              <w:t xml:space="preserve">, </w:t>
            </w:r>
            <m:oMath>
              <m:r>
                <w:rPr>
                  <w:rFonts w:ascii="Cambria Math" w:hAnsi="Cambria Math" w:cs="Times New Roman"/>
                  <w:sz w:val="24"/>
                  <w:szCs w:val="24"/>
                </w:rPr>
                <m:t>σ</m:t>
              </m:r>
            </m:oMath>
            <w:r w:rsidRPr="00821999">
              <w:rPr>
                <w:rFonts w:ascii="Times New Roman" w:hAnsi="Times New Roman" w:cs="Times New Roman"/>
                <w:sz w:val="24"/>
                <w:szCs w:val="24"/>
              </w:rPr>
              <w:t xml:space="preserve"> is the standard deviation of </w:t>
            </w:r>
            <m:oMath>
              <m:r>
                <m:rPr>
                  <m:sty m:val="p"/>
                </m:rPr>
                <w:rPr>
                  <w:rFonts w:ascii="Cambria Math" w:hAnsi="Cambria Math" w:cs="Times New Roman"/>
                  <w:sz w:val="24"/>
                  <w:szCs w:val="24"/>
                </w:rPr>
                <m:t>G</m:t>
              </m:r>
            </m:oMath>
            <w:r w:rsidRPr="00821999">
              <w:rPr>
                <w:rFonts w:ascii="Times New Roman" w:hAnsi="Times New Roman" w:cs="Times New Roman"/>
                <w:sz w:val="24"/>
                <w:szCs w:val="24"/>
              </w:rPr>
              <w:t xml:space="preserve">, </w:t>
            </w:r>
            <m:oMath>
              <m:r>
                <w:rPr>
                  <w:rFonts w:ascii="Cambria Math" w:hAnsi="Cambria Math" w:cs="Times New Roman"/>
                  <w:sz w:val="24"/>
                  <w:szCs w:val="24"/>
                </w:rPr>
                <m:t>E</m:t>
              </m:r>
            </m:oMath>
            <w:r w:rsidRPr="00821999">
              <w:rPr>
                <w:rFonts w:ascii="Times New Roman" w:hAnsi="Times New Roman" w:cs="Times New Roman"/>
                <w:sz w:val="24"/>
                <w:szCs w:val="24"/>
              </w:rPr>
              <w:t xml:space="preserve"> is the expectation operator.</w:t>
            </w:r>
          </w:p>
        </w:tc>
        <w:tc>
          <w:tcPr>
            <w:tcW w:w="808" w:type="pct"/>
            <w:vAlign w:val="center"/>
          </w:tcPr>
          <w:p w14:paraId="5822321E"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Style w:val="Char2"/>
                <w:rFonts w:ascii="Times New Roman" w:hAnsi="Times New Roman" w:cs="Times New Roman"/>
              </w:rPr>
              <w:t>Measurement of skewness of ROI image processed by LoG filter</w:t>
            </w:r>
          </w:p>
        </w:tc>
        <w:tc>
          <w:tcPr>
            <w:tcW w:w="807" w:type="pct"/>
            <w:vAlign w:val="center"/>
          </w:tcPr>
          <w:p w14:paraId="32E98C08"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2036146C" w14:textId="77777777" w:rsidTr="001F380A">
        <w:trPr>
          <w:trHeight w:val="70"/>
        </w:trPr>
        <w:tc>
          <w:tcPr>
            <w:tcW w:w="606" w:type="pct"/>
            <w:vMerge/>
            <w:shd w:val="clear" w:color="auto" w:fill="auto"/>
            <w:vAlign w:val="center"/>
          </w:tcPr>
          <w:p w14:paraId="5AD006B6"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799E4A6E"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Theme="minorHAnsi" w:hAnsi="Times New Roman" w:cs="Times New Roman"/>
                <w:iCs/>
                <w:sz w:val="24"/>
                <w:szCs w:val="24"/>
              </w:rPr>
              <w:t>Kurtosis</w:t>
            </w:r>
          </w:p>
        </w:tc>
        <w:tc>
          <w:tcPr>
            <w:tcW w:w="1780" w:type="pct"/>
            <w:vAlign w:val="center"/>
          </w:tcPr>
          <w:p w14:paraId="489A67C1"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Kurtosis=</m:t>
                </m:r>
                <m:f>
                  <m:fPr>
                    <m:ctrlPr>
                      <w:rPr>
                        <w:rFonts w:ascii="Cambria Math" w:hAnsi="Cambria Math" w:cs="Times New Roman"/>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E(G-μ)</m:t>
                        </m:r>
                      </m:e>
                      <m:sup>
                        <m:r>
                          <w:rPr>
                            <w:rFonts w:ascii="Cambria Math" w:hAnsi="Cambria Math" w:cs="Times New Roman"/>
                            <w:sz w:val="24"/>
                            <w:szCs w:val="24"/>
                          </w:rPr>
                          <m:t>4</m:t>
                        </m:r>
                      </m:sup>
                    </m:sSup>
                  </m:num>
                  <m:den>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4</m:t>
                        </m:r>
                      </m:sup>
                    </m:sSup>
                  </m:den>
                </m:f>
              </m:oMath>
            </m:oMathPara>
          </w:p>
          <w:p w14:paraId="668B3273" w14:textId="77777777" w:rsidR="00C635FF" w:rsidRPr="00821999" w:rsidRDefault="00C635FF" w:rsidP="001F380A">
            <w:pPr>
              <w:spacing w:after="0"/>
              <w:jc w:val="center"/>
              <w:rPr>
                <w:rFonts w:ascii="Times New Roman" w:hAnsi="Times New Roman" w:cs="Times New Roman"/>
                <w:sz w:val="24"/>
                <w:szCs w:val="24"/>
              </w:rPr>
            </w:pPr>
            <w:r w:rsidRPr="00821999">
              <w:rPr>
                <w:rFonts w:ascii="Times New Roman" w:hAnsi="Times New Roman" w:cs="Times New Roman"/>
                <w:sz w:val="24"/>
                <w:szCs w:val="24"/>
              </w:rPr>
              <w:t xml:space="preserve">Where </w:t>
            </w:r>
            <m:oMath>
              <m:r>
                <w:rPr>
                  <w:rFonts w:ascii="Cambria Math" w:hAnsi="Cambria Math" w:cs="Times New Roman"/>
                  <w:sz w:val="24"/>
                  <w:szCs w:val="24"/>
                </w:rPr>
                <m:t>μ</m:t>
              </m:r>
            </m:oMath>
            <w:r w:rsidRPr="00821999">
              <w:rPr>
                <w:rFonts w:ascii="Times New Roman" w:hAnsi="Times New Roman" w:cs="Times New Roman"/>
                <w:sz w:val="24"/>
                <w:szCs w:val="24"/>
              </w:rPr>
              <w:t xml:space="preserve"> is the mean of</w:t>
            </w:r>
            <m:oMath>
              <m:r>
                <m:rPr>
                  <m:sty m:val="p"/>
                </m:rPr>
                <w:rPr>
                  <w:rFonts w:ascii="Cambria Math" w:hAnsi="Cambria Math" w:cs="Times New Roman"/>
                  <w:sz w:val="24"/>
                  <w:szCs w:val="24"/>
                </w:rPr>
                <m:t xml:space="preserve"> G</m:t>
              </m:r>
            </m:oMath>
            <w:r w:rsidRPr="00821999">
              <w:rPr>
                <w:rFonts w:ascii="Times New Roman" w:hAnsi="Times New Roman" w:cs="Times New Roman"/>
                <w:sz w:val="24"/>
                <w:szCs w:val="24"/>
              </w:rPr>
              <w:t xml:space="preserve"> </w:t>
            </w:r>
            <m:oMath>
              <m:r>
                <w:rPr>
                  <w:rFonts w:ascii="Cambria Math" w:hAnsi="Cambria Math" w:cs="Times New Roman"/>
                  <w:sz w:val="24"/>
                  <w:szCs w:val="24"/>
                </w:rPr>
                <m:t>σ</m:t>
              </m:r>
            </m:oMath>
            <w:r w:rsidRPr="00821999">
              <w:rPr>
                <w:rFonts w:ascii="Times New Roman" w:hAnsi="Times New Roman" w:cs="Times New Roman"/>
                <w:sz w:val="24"/>
                <w:szCs w:val="24"/>
              </w:rPr>
              <w:t xml:space="preserve"> is the standard deviation of </w:t>
            </w:r>
            <m:oMath>
              <m:r>
                <m:rPr>
                  <m:sty m:val="p"/>
                </m:rPr>
                <w:rPr>
                  <w:rFonts w:ascii="Cambria Math" w:hAnsi="Cambria Math" w:cs="Times New Roman"/>
                  <w:sz w:val="24"/>
                  <w:szCs w:val="24"/>
                </w:rPr>
                <m:t>G</m:t>
              </m:r>
            </m:oMath>
            <w:r w:rsidRPr="00821999">
              <w:rPr>
                <w:rFonts w:ascii="Times New Roman" w:hAnsi="Times New Roman" w:cs="Times New Roman"/>
                <w:sz w:val="24"/>
                <w:szCs w:val="24"/>
              </w:rPr>
              <w:t xml:space="preserve">, </w:t>
            </w:r>
            <m:oMath>
              <m:r>
                <w:rPr>
                  <w:rFonts w:ascii="Cambria Math" w:hAnsi="Cambria Math" w:cs="Times New Roman"/>
                  <w:sz w:val="24"/>
                  <w:szCs w:val="24"/>
                </w:rPr>
                <m:t>E</m:t>
              </m:r>
            </m:oMath>
            <w:r w:rsidRPr="00821999">
              <w:rPr>
                <w:rFonts w:ascii="Times New Roman" w:hAnsi="Times New Roman" w:cs="Times New Roman"/>
                <w:sz w:val="24"/>
                <w:szCs w:val="24"/>
              </w:rPr>
              <w:t xml:space="preserve"> is the expectation operator.</w:t>
            </w:r>
          </w:p>
        </w:tc>
        <w:tc>
          <w:tcPr>
            <w:tcW w:w="808" w:type="pct"/>
            <w:vAlign w:val="center"/>
          </w:tcPr>
          <w:p w14:paraId="051B4FBB"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Style w:val="Char2"/>
                <w:rFonts w:ascii="Times New Roman" w:hAnsi="Times New Roman" w:cs="Times New Roman"/>
              </w:rPr>
              <w:t>Measurement of kurtosis of ROI image processed by LoG filter</w:t>
            </w:r>
          </w:p>
        </w:tc>
        <w:tc>
          <w:tcPr>
            <w:tcW w:w="807" w:type="pct"/>
            <w:vAlign w:val="center"/>
          </w:tcPr>
          <w:p w14:paraId="03CE6645"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1814EF0A" w14:textId="77777777" w:rsidTr="001F380A">
        <w:trPr>
          <w:trHeight w:val="70"/>
        </w:trPr>
        <w:tc>
          <w:tcPr>
            <w:tcW w:w="606" w:type="pct"/>
            <w:vMerge/>
            <w:shd w:val="clear" w:color="auto" w:fill="auto"/>
            <w:vAlign w:val="center"/>
          </w:tcPr>
          <w:p w14:paraId="55BA4548"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6600B106" w14:textId="77777777" w:rsidR="00C635FF" w:rsidRPr="00821999" w:rsidRDefault="00C635FF" w:rsidP="001F380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821999">
              <w:rPr>
                <w:rFonts w:ascii="Times New Roman" w:eastAsia="맑은 고딕" w:hAnsi="Times New Roman" w:cs="Times New Roman"/>
                <w:color w:val="000000"/>
                <w:kern w:val="0"/>
                <w:sz w:val="24"/>
                <w:szCs w:val="24"/>
              </w:rPr>
              <w:t>Uniformity</w:t>
            </w:r>
          </w:p>
        </w:tc>
        <w:tc>
          <w:tcPr>
            <w:tcW w:w="1780" w:type="pct"/>
            <w:vAlign w:val="center"/>
          </w:tcPr>
          <w:p w14:paraId="4394132A"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Uniformity=</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i=1</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l</m:t>
                        </m:r>
                      </m:sub>
                    </m:sSub>
                  </m:sup>
                  <m:e>
                    <m:sSup>
                      <m:sSupPr>
                        <m:ctrlPr>
                          <w:rPr>
                            <w:rFonts w:ascii="Cambria Math" w:hAnsi="Cambria Math" w:cs="Times New Roman"/>
                            <w:i/>
                            <w:sz w:val="24"/>
                            <w:szCs w:val="24"/>
                          </w:rPr>
                        </m:ctrlPr>
                      </m:sSupPr>
                      <m:e>
                        <m:r>
                          <w:rPr>
                            <w:rFonts w:ascii="Cambria Math" w:hAnsi="Cambria Math" w:cs="Times New Roman"/>
                            <w:sz w:val="24"/>
                            <w:szCs w:val="24"/>
                          </w:rPr>
                          <m:t>P(i)</m:t>
                        </m:r>
                      </m:e>
                      <m:sup>
                        <m:r>
                          <w:rPr>
                            <w:rFonts w:ascii="Cambria Math" w:hAnsi="Cambria Math" w:cs="Times New Roman"/>
                            <w:sz w:val="24"/>
                            <w:szCs w:val="24"/>
                          </w:rPr>
                          <m:t>2</m:t>
                        </m:r>
                      </m:sup>
                    </m:sSup>
                  </m:e>
                </m:nary>
              </m:oMath>
            </m:oMathPara>
          </w:p>
          <w:p w14:paraId="22AFFFE3"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hAnsi="Times New Roman" w:cs="Times New Roman"/>
                <w:sz w:val="24"/>
                <w:szCs w:val="24"/>
              </w:rPr>
              <w:t xml:space="preserve">Where </w:t>
            </w:r>
            <m:oMath>
              <m:r>
                <w:rPr>
                  <w:rFonts w:ascii="Cambria Math" w:hAnsi="Cambria Math" w:cs="Times New Roman"/>
                  <w:sz w:val="24"/>
                  <w:szCs w:val="24"/>
                </w:rPr>
                <m:t>P</m:t>
              </m:r>
            </m:oMath>
            <w:r w:rsidRPr="00821999">
              <w:rPr>
                <w:rFonts w:ascii="Times New Roman" w:hAnsi="Times New Roman" w:cs="Times New Roman"/>
                <w:sz w:val="24"/>
                <w:szCs w:val="24"/>
              </w:rPr>
              <w:t xml:space="preserve"> denotes the first-order histogram with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l</m:t>
                  </m:r>
                </m:sub>
              </m:sSub>
            </m:oMath>
            <w:r w:rsidRPr="00821999">
              <w:rPr>
                <w:rFonts w:ascii="Times New Roman" w:hAnsi="Times New Roman" w:cs="Times New Roman"/>
                <w:sz w:val="24"/>
                <w:szCs w:val="24"/>
              </w:rPr>
              <w:t xml:space="preserve"> discrete intensity levels.</w:t>
            </w:r>
          </w:p>
        </w:tc>
        <w:tc>
          <w:tcPr>
            <w:tcW w:w="808" w:type="pct"/>
            <w:vAlign w:val="center"/>
          </w:tcPr>
          <w:p w14:paraId="54F861D5"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Style w:val="Char2"/>
                <w:rFonts w:ascii="Times New Roman" w:hAnsi="Times New Roman" w:cs="Times New Roman"/>
              </w:rPr>
              <w:t>Measurement of uniformity of ROI image processed by LoG filter</w:t>
            </w:r>
          </w:p>
        </w:tc>
        <w:tc>
          <w:tcPr>
            <w:tcW w:w="807" w:type="pct"/>
            <w:vAlign w:val="center"/>
          </w:tcPr>
          <w:p w14:paraId="57CE1553"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2DA7FB64" w14:textId="77777777" w:rsidTr="001F380A">
        <w:trPr>
          <w:trHeight w:val="70"/>
        </w:trPr>
        <w:tc>
          <w:tcPr>
            <w:tcW w:w="606" w:type="pct"/>
            <w:vMerge/>
            <w:shd w:val="clear" w:color="auto" w:fill="auto"/>
            <w:vAlign w:val="center"/>
          </w:tcPr>
          <w:p w14:paraId="76231CF5"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3C1AEA66" w14:textId="77777777" w:rsidR="00C635FF" w:rsidRPr="00821999" w:rsidRDefault="00C635FF" w:rsidP="001F380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821999">
              <w:rPr>
                <w:rFonts w:ascii="Times New Roman" w:eastAsia="맑은 고딕" w:hAnsi="Times New Roman" w:cs="Times New Roman"/>
                <w:color w:val="000000"/>
                <w:kern w:val="0"/>
                <w:sz w:val="24"/>
                <w:szCs w:val="24"/>
              </w:rPr>
              <w:t>Entropy</w:t>
            </w:r>
          </w:p>
        </w:tc>
        <w:tc>
          <w:tcPr>
            <w:tcW w:w="1780" w:type="pct"/>
            <w:vAlign w:val="center"/>
          </w:tcPr>
          <w:p w14:paraId="6F9F2D95" w14:textId="77777777" w:rsidR="00C635FF" w:rsidRPr="00821999" w:rsidRDefault="00C635FF" w:rsidP="001F380A">
            <w:pPr>
              <w:spacing w:after="0"/>
              <w:jc w:val="center"/>
              <w:rPr>
                <w:rFonts w:ascii="Times New Roman" w:hAnsi="Times New Roman" w:cs="Times New Roman"/>
                <w:sz w:val="24"/>
                <w:szCs w:val="24"/>
              </w:rPr>
            </w:pPr>
            <m:oMathPara>
              <m:oMath>
                <m:r>
                  <m:rPr>
                    <m:sty m:val="p"/>
                  </m:rPr>
                  <w:rPr>
                    <w:rFonts w:ascii="Cambria Math" w:hAnsi="Cambria Math" w:cs="Times New Roman"/>
                    <w:sz w:val="24"/>
                    <w:szCs w:val="24"/>
                  </w:rPr>
                  <m:t>Entropy</m:t>
                </m:r>
                <m:r>
                  <w:rPr>
                    <w:rFonts w:ascii="Cambria Math" w:hAnsi="Cambria Math" w:cs="Times New Roman"/>
                    <w:sz w:val="24"/>
                    <w:szCs w:val="24"/>
                  </w:rPr>
                  <m:t>=-</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i=1</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l</m:t>
                        </m:r>
                      </m:sub>
                    </m:sSub>
                  </m:sup>
                  <m:e>
                    <m:r>
                      <w:rPr>
                        <w:rFonts w:ascii="Cambria Math" w:hAnsi="Cambria Math" w:cs="Times New Roman"/>
                        <w:sz w:val="24"/>
                        <w:szCs w:val="24"/>
                      </w:rPr>
                      <m:t>P(i)</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2</m:t>
                            </m:r>
                          </m:sub>
                        </m:sSub>
                      </m:fName>
                      <m:e>
                        <m:r>
                          <w:rPr>
                            <w:rFonts w:ascii="Cambria Math" w:hAnsi="Cambria Math" w:cs="Times New Roman"/>
                            <w:sz w:val="24"/>
                            <w:szCs w:val="24"/>
                          </w:rPr>
                          <m:t>P(i)</m:t>
                        </m:r>
                      </m:e>
                    </m:func>
                  </m:e>
                </m:nary>
              </m:oMath>
            </m:oMathPara>
          </w:p>
          <w:p w14:paraId="48A4A7DC"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hAnsi="Times New Roman" w:cs="Times New Roman"/>
                <w:sz w:val="24"/>
                <w:szCs w:val="24"/>
              </w:rPr>
              <w:t xml:space="preserve">Where </w:t>
            </w:r>
            <m:oMath>
              <m:r>
                <w:rPr>
                  <w:rFonts w:ascii="Cambria Math" w:hAnsi="Cambria Math" w:cs="Times New Roman"/>
                  <w:sz w:val="24"/>
                  <w:szCs w:val="24"/>
                </w:rPr>
                <m:t>P</m:t>
              </m:r>
            </m:oMath>
            <w:r w:rsidRPr="00821999">
              <w:rPr>
                <w:rFonts w:ascii="Times New Roman" w:hAnsi="Times New Roman" w:cs="Times New Roman"/>
                <w:sz w:val="24"/>
                <w:szCs w:val="24"/>
              </w:rPr>
              <w:t xml:space="preserve"> denotes the first-order histogram with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l</m:t>
                  </m:r>
                </m:sub>
              </m:sSub>
            </m:oMath>
            <w:r w:rsidRPr="00821999">
              <w:rPr>
                <w:rFonts w:ascii="Times New Roman" w:hAnsi="Times New Roman" w:cs="Times New Roman"/>
                <w:sz w:val="24"/>
                <w:szCs w:val="24"/>
              </w:rPr>
              <w:t xml:space="preserve"> discrete intensity levels.</w:t>
            </w:r>
          </w:p>
        </w:tc>
        <w:tc>
          <w:tcPr>
            <w:tcW w:w="808" w:type="pct"/>
            <w:vAlign w:val="center"/>
          </w:tcPr>
          <w:p w14:paraId="6FC89124"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Style w:val="Char2"/>
                <w:rFonts w:ascii="Times New Roman" w:hAnsi="Times New Roman" w:cs="Times New Roman"/>
              </w:rPr>
              <w:t>Measurement of entropy of ROI image processed by LoG filter</w:t>
            </w:r>
          </w:p>
        </w:tc>
        <w:tc>
          <w:tcPr>
            <w:tcW w:w="807" w:type="pct"/>
            <w:vAlign w:val="center"/>
          </w:tcPr>
          <w:p w14:paraId="7C74F355" w14:textId="77777777" w:rsidR="00C635FF" w:rsidRPr="00821999" w:rsidRDefault="00C635FF" w:rsidP="001F380A">
            <w:pPr>
              <w:spacing w:after="0"/>
              <w:jc w:val="center"/>
              <w:rPr>
                <w:rStyle w:val="Char2"/>
                <w:rFonts w:ascii="Times New Roman" w:hAnsi="Times New Roman" w:cs="Times New Roman"/>
              </w:rPr>
            </w:pPr>
            <w:r w:rsidRPr="00821999">
              <w:rPr>
                <w:rFonts w:ascii="Times New Roman" w:hAnsi="Times New Roman" w:cs="Times New Roman"/>
                <w:sz w:val="24"/>
                <w:szCs w:val="24"/>
                <w:shd w:val="clear" w:color="auto" w:fill="FFFFFF"/>
              </w:rPr>
              <w:t>O</w:t>
            </w:r>
          </w:p>
        </w:tc>
      </w:tr>
      <w:tr w:rsidR="00C635FF" w:rsidRPr="00821999" w14:paraId="07AED03F" w14:textId="77777777" w:rsidTr="001F380A">
        <w:trPr>
          <w:trHeight w:val="70"/>
        </w:trPr>
        <w:tc>
          <w:tcPr>
            <w:tcW w:w="606" w:type="pct"/>
            <w:vMerge/>
            <w:tcBorders>
              <w:bottom w:val="single" w:sz="12" w:space="0" w:color="auto"/>
            </w:tcBorders>
            <w:shd w:val="clear" w:color="auto" w:fill="auto"/>
            <w:vAlign w:val="center"/>
          </w:tcPr>
          <w:p w14:paraId="2063FA61"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4394" w:type="pct"/>
            <w:gridSpan w:val="4"/>
            <w:tcBorders>
              <w:bottom w:val="single" w:sz="12" w:space="0" w:color="auto"/>
            </w:tcBorders>
            <w:vAlign w:val="center"/>
          </w:tcPr>
          <w:p w14:paraId="368926EB" w14:textId="77777777" w:rsidR="00C635FF" w:rsidRPr="00821999" w:rsidRDefault="00C635FF" w:rsidP="001F380A">
            <w:pPr>
              <w:spacing w:after="0"/>
              <w:jc w:val="center"/>
              <w:rPr>
                <w:rFonts w:ascii="Times New Roman" w:hAnsi="Times New Roman" w:cs="Times New Roman"/>
                <w:sz w:val="24"/>
                <w:szCs w:val="24"/>
                <w:lang w:eastAsia="en-US"/>
              </w:rPr>
            </w:pPr>
            <m:oMathPara>
              <m:oMath>
                <m:r>
                  <w:rPr>
                    <w:rFonts w:ascii="Cambria Math" w:hAnsi="Cambria Math" w:cs="Times New Roman"/>
                    <w:sz w:val="24"/>
                    <w:szCs w:val="24"/>
                  </w:rPr>
                  <m:t>G</m:t>
                </m:r>
                <m:d>
                  <m:dPr>
                    <m:ctrlPr>
                      <w:rPr>
                        <w:rFonts w:ascii="Cambria Math" w:hAnsi="Cambria Math" w:cs="Times New Roman"/>
                        <w:i/>
                        <w:sz w:val="24"/>
                        <w:szCs w:val="24"/>
                      </w:rPr>
                    </m:ctrlPr>
                  </m:dPr>
                  <m:e>
                    <m:r>
                      <w:rPr>
                        <w:rFonts w:ascii="Cambria Math" w:hAnsi="Cambria Math" w:cs="Times New Roman"/>
                        <w:sz w:val="24"/>
                        <w:szCs w:val="24"/>
                      </w:rPr>
                      <m:t>x,y,z,σ</m:t>
                    </m:r>
                  </m:e>
                </m:d>
                <m:r>
                  <w:rPr>
                    <w:rFonts w:ascii="Cambria Math" w:hAnsi="Cambria Math" w:cs="Times New Roman"/>
                    <w:sz w:val="24"/>
                    <w:szCs w:val="24"/>
                  </w:rPr>
                  <m:t>=I</m:t>
                </m:r>
                <m:d>
                  <m:dPr>
                    <m:ctrlPr>
                      <w:rPr>
                        <w:rFonts w:ascii="Cambria Math" w:hAnsi="Cambria Math" w:cs="Times New Roman"/>
                        <w:i/>
                        <w:sz w:val="24"/>
                        <w:szCs w:val="24"/>
                      </w:rPr>
                    </m:ctrlPr>
                  </m:dPr>
                  <m:e>
                    <m:r>
                      <w:rPr>
                        <w:rFonts w:ascii="Cambria Math" w:hAnsi="Cambria Math" w:cs="Times New Roman"/>
                        <w:sz w:val="24"/>
                        <w:szCs w:val="24"/>
                      </w:rPr>
                      <m:t>x,y,z</m:t>
                    </m:r>
                  </m:e>
                </m:d>
                <m:r>
                  <w:rPr>
                    <w:rFonts w:ascii="Cambria Math" w:hAnsi="Cambria Math" w:cs="Times New Roman"/>
                    <w:sz w:val="24"/>
                    <w:szCs w:val="24"/>
                  </w:rPr>
                  <m:t>*</m:t>
                </m:r>
                <m:f>
                  <m:fPr>
                    <m:ctrlPr>
                      <w:rPr>
                        <w:rFonts w:ascii="Cambria Math" w:hAnsi="Cambria Math" w:cs="Times New Roman"/>
                        <w:i/>
                        <w:sz w:val="24"/>
                        <w:szCs w:val="24"/>
                        <w:lang w:eastAsia="en-US"/>
                      </w:rPr>
                    </m:ctrlPr>
                  </m:fPr>
                  <m:num>
                    <m:r>
                      <w:rPr>
                        <w:rFonts w:ascii="Cambria Math" w:hAnsi="Cambria Math" w:cs="Times New Roman"/>
                        <w:sz w:val="24"/>
                        <w:szCs w:val="24"/>
                      </w:rPr>
                      <m:t>1</m:t>
                    </m:r>
                  </m:num>
                  <m:den>
                    <m:sSup>
                      <m:sSupPr>
                        <m:ctrlPr>
                          <w:rPr>
                            <w:rFonts w:ascii="Cambria Math" w:hAnsi="Cambria Math" w:cs="Times New Roman"/>
                            <w:i/>
                            <w:sz w:val="24"/>
                            <w:szCs w:val="24"/>
                            <w:lang w:eastAsia="en-US"/>
                          </w:rPr>
                        </m:ctrlPr>
                      </m:sSupPr>
                      <m:e>
                        <m:r>
                          <w:rPr>
                            <w:rFonts w:ascii="Cambria Math" w:hAnsi="Cambria Math" w:cs="Times New Roman"/>
                            <w:sz w:val="24"/>
                            <w:szCs w:val="24"/>
                          </w:rPr>
                          <m:t>σ</m:t>
                        </m:r>
                        <m:d>
                          <m:dPr>
                            <m:ctrlPr>
                              <w:rPr>
                                <w:rFonts w:ascii="Cambria Math" w:hAnsi="Cambria Math" w:cs="Times New Roman"/>
                                <w:i/>
                                <w:sz w:val="24"/>
                                <w:szCs w:val="24"/>
                              </w:rPr>
                            </m:ctrlPr>
                          </m:dPr>
                          <m:e>
                            <m:rad>
                              <m:radPr>
                                <m:degHide m:val="1"/>
                                <m:ctrlPr>
                                  <w:rPr>
                                    <w:rFonts w:ascii="Cambria Math" w:hAnsi="Cambria Math" w:cs="Times New Roman"/>
                                    <w:i/>
                                    <w:sz w:val="24"/>
                                    <w:szCs w:val="24"/>
                                  </w:rPr>
                                </m:ctrlPr>
                              </m:radPr>
                              <m:deg/>
                              <m:e>
                                <m:r>
                                  <w:rPr>
                                    <w:rFonts w:ascii="Cambria Math" w:hAnsi="Cambria Math" w:cs="Times New Roman"/>
                                    <w:sz w:val="24"/>
                                    <w:szCs w:val="24"/>
                                  </w:rPr>
                                  <m:t>2π</m:t>
                                </m:r>
                              </m:e>
                            </m:rad>
                          </m:e>
                        </m:d>
                      </m:e>
                      <m:sup>
                        <m:r>
                          <w:rPr>
                            <w:rFonts w:ascii="Cambria Math" w:hAnsi="Cambria Math" w:cs="Times New Roman"/>
                            <w:sz w:val="24"/>
                            <w:szCs w:val="24"/>
                            <w:lang w:eastAsia="en-US"/>
                          </w:rPr>
                          <m:t>3</m:t>
                        </m:r>
                      </m:sup>
                    </m:sSup>
                  </m:den>
                </m:f>
                <m:sSup>
                  <m:sSupPr>
                    <m:ctrlPr>
                      <w:rPr>
                        <w:rFonts w:ascii="Cambria Math" w:hAnsi="Cambria Math" w:cs="Times New Roman"/>
                        <w:i/>
                        <w:sz w:val="24"/>
                        <w:szCs w:val="24"/>
                        <w:lang w:eastAsia="en-US"/>
                      </w:rPr>
                    </m:ctrlPr>
                  </m:sSupPr>
                  <m:e>
                    <m:r>
                      <w:rPr>
                        <w:rFonts w:ascii="Cambria Math" w:hAnsi="Cambria Math" w:cs="Times New Roman"/>
                        <w:sz w:val="24"/>
                        <w:szCs w:val="24"/>
                      </w:rPr>
                      <m:t>e</m:t>
                    </m:r>
                  </m:e>
                  <m:sup>
                    <m:r>
                      <w:rPr>
                        <w:rFonts w:ascii="Cambria Math" w:hAnsi="Cambria Math" w:cs="Times New Roman"/>
                        <w:sz w:val="24"/>
                        <w:szCs w:val="24"/>
                      </w:rPr>
                      <m:t>-</m:t>
                    </m:r>
                    <m:f>
                      <m:fPr>
                        <m:ctrlPr>
                          <w:rPr>
                            <w:rFonts w:ascii="Cambria Math" w:hAnsi="Cambria Math" w:cs="Times New Roman"/>
                            <w:i/>
                            <w:sz w:val="24"/>
                            <w:szCs w:val="24"/>
                            <w:lang w:eastAsia="en-US"/>
                          </w:rPr>
                        </m:ctrlPr>
                      </m:fPr>
                      <m:num>
                        <m:sSup>
                          <m:sSupPr>
                            <m:ctrlPr>
                              <w:rPr>
                                <w:rFonts w:ascii="Cambria Math" w:hAnsi="Cambria Math" w:cs="Times New Roman"/>
                                <w:i/>
                                <w:sz w:val="24"/>
                                <w:szCs w:val="24"/>
                                <w:lang w:eastAsia="en-US"/>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lang w:eastAsia="en-US"/>
                              </w:rPr>
                            </m:ctrlPr>
                          </m:sSupPr>
                          <m:e>
                            <m:r>
                              <w:rPr>
                                <w:rFonts w:ascii="Cambria Math" w:hAnsi="Cambria Math" w:cs="Times New Roman"/>
                                <w:sz w:val="24"/>
                                <w:szCs w:val="24"/>
                              </w:rPr>
                              <m:t>y</m:t>
                            </m:r>
                          </m:e>
                          <m:sup>
                            <m:r>
                              <w:rPr>
                                <w:rFonts w:ascii="Cambria Math" w:hAnsi="Cambria Math" w:cs="Times New Roman"/>
                                <w:sz w:val="24"/>
                                <w:szCs w:val="24"/>
                              </w:rPr>
                              <m:t>2</m:t>
                            </m:r>
                          </m:sup>
                        </m:sSup>
                        <m:r>
                          <w:rPr>
                            <w:rFonts w:ascii="Cambria Math" w:hAnsi="Cambria Math" w:cs="Times New Roman"/>
                            <w:sz w:val="24"/>
                            <w:szCs w:val="24"/>
                            <w:lang w:eastAsia="en-US"/>
                          </w:rPr>
                          <m:t>+</m:t>
                        </m:r>
                        <m:sSup>
                          <m:sSupPr>
                            <m:ctrlPr>
                              <w:rPr>
                                <w:rFonts w:ascii="Cambria Math" w:hAnsi="Cambria Math" w:cs="Times New Roman"/>
                                <w:i/>
                                <w:sz w:val="24"/>
                                <w:szCs w:val="24"/>
                                <w:lang w:eastAsia="en-US"/>
                              </w:rPr>
                            </m:ctrlPr>
                          </m:sSupPr>
                          <m:e>
                            <m:r>
                              <w:rPr>
                                <w:rFonts w:ascii="Cambria Math" w:hAnsi="Cambria Math" w:cs="Times New Roman"/>
                                <w:sz w:val="24"/>
                                <w:szCs w:val="24"/>
                                <w:lang w:eastAsia="en-US"/>
                              </w:rPr>
                              <m:t>z</m:t>
                            </m:r>
                          </m:e>
                          <m:sup>
                            <m:r>
                              <w:rPr>
                                <w:rFonts w:ascii="Cambria Math" w:hAnsi="Cambria Math" w:cs="Times New Roman"/>
                                <w:sz w:val="24"/>
                                <w:szCs w:val="24"/>
                              </w:rPr>
                              <m:t>2</m:t>
                            </m:r>
                          </m:sup>
                        </m:sSup>
                      </m:num>
                      <m:den>
                        <m:r>
                          <w:rPr>
                            <w:rFonts w:ascii="Cambria Math" w:hAnsi="Cambria Math" w:cs="Times New Roman"/>
                            <w:sz w:val="24"/>
                            <w:szCs w:val="24"/>
                          </w:rPr>
                          <m:t>2</m:t>
                        </m:r>
                        <m:sSup>
                          <m:sSupPr>
                            <m:ctrlPr>
                              <w:rPr>
                                <w:rFonts w:ascii="Cambria Math" w:hAnsi="Cambria Math" w:cs="Times New Roman"/>
                                <w:i/>
                                <w:sz w:val="24"/>
                                <w:szCs w:val="24"/>
                                <w:lang w:eastAsia="en-US"/>
                              </w:rPr>
                            </m:ctrlPr>
                          </m:sSupPr>
                          <m:e>
                            <m:r>
                              <w:rPr>
                                <w:rFonts w:ascii="Cambria Math" w:hAnsi="Cambria Math" w:cs="Times New Roman"/>
                                <w:sz w:val="24"/>
                                <w:szCs w:val="24"/>
                              </w:rPr>
                              <m:t>σ</m:t>
                            </m:r>
                          </m:e>
                          <m:sup>
                            <m:r>
                              <w:rPr>
                                <w:rFonts w:ascii="Cambria Math" w:hAnsi="Cambria Math" w:cs="Times New Roman"/>
                                <w:sz w:val="24"/>
                                <w:szCs w:val="24"/>
                              </w:rPr>
                              <m:t>2</m:t>
                            </m:r>
                          </m:sup>
                        </m:sSup>
                      </m:den>
                    </m:f>
                  </m:sup>
                </m:sSup>
              </m:oMath>
            </m:oMathPara>
          </w:p>
          <w:p w14:paraId="46A6CA61" w14:textId="77777777" w:rsidR="00C635FF" w:rsidRPr="00821999" w:rsidRDefault="00C635FF" w:rsidP="001F380A">
            <w:pPr>
              <w:spacing w:after="0"/>
              <w:jc w:val="center"/>
              <w:rPr>
                <w:rFonts w:ascii="Times New Roman" w:eastAsia="맑은 고딕" w:hAnsi="Times New Roman" w:cs="Times New Roman"/>
                <w:sz w:val="24"/>
                <w:szCs w:val="24"/>
              </w:rPr>
            </w:pPr>
            <m:oMath>
              <m:r>
                <m:rPr>
                  <m:sty m:val="p"/>
                </m:rPr>
                <w:rPr>
                  <w:rFonts w:ascii="Cambria Math" w:eastAsiaTheme="minorHAnsi" w:hAnsi="Cambria Math" w:cs="Times New Roman"/>
                  <w:sz w:val="24"/>
                  <w:szCs w:val="24"/>
                </w:rPr>
                <m:t>σ=0.5-3.5, 0.5 increments</m:t>
              </m:r>
            </m:oMath>
            <w:r w:rsidRPr="00821999">
              <w:rPr>
                <w:rFonts w:ascii="Times New Roman" w:hAnsi="Times New Roman" w:cs="Times New Roman"/>
                <w:sz w:val="24"/>
                <w:szCs w:val="24"/>
              </w:rPr>
              <w:t>, where I(</w:t>
            </w:r>
            <w:proofErr w:type="gramStart"/>
            <w:r w:rsidRPr="00821999">
              <w:rPr>
                <w:rFonts w:ascii="Times New Roman" w:hAnsi="Times New Roman" w:cs="Times New Roman"/>
                <w:sz w:val="24"/>
                <w:szCs w:val="24"/>
              </w:rPr>
              <w:t>x,y</w:t>
            </w:r>
            <w:proofErr w:type="gramEnd"/>
            <w:r w:rsidRPr="00821999">
              <w:rPr>
                <w:rFonts w:ascii="Times New Roman" w:hAnsi="Times New Roman" w:cs="Times New Roman"/>
                <w:sz w:val="24"/>
                <w:szCs w:val="24"/>
              </w:rPr>
              <w:t>,z) is the image, and * denote convolution</w:t>
            </w:r>
          </w:p>
        </w:tc>
      </w:tr>
      <w:tr w:rsidR="00C635FF" w:rsidRPr="00821999" w14:paraId="65EED682" w14:textId="77777777" w:rsidTr="001F380A">
        <w:trPr>
          <w:trHeight w:val="70"/>
        </w:trPr>
        <w:tc>
          <w:tcPr>
            <w:tcW w:w="606" w:type="pct"/>
            <w:vMerge w:val="restart"/>
            <w:tcBorders>
              <w:top w:val="single" w:sz="12" w:space="0" w:color="auto"/>
              <w:bottom w:val="single" w:sz="4" w:space="0" w:color="AEAAAA" w:themeColor="background2" w:themeShade="BF"/>
            </w:tcBorders>
            <w:shd w:val="clear" w:color="auto" w:fill="auto"/>
            <w:vAlign w:val="center"/>
          </w:tcPr>
          <w:p w14:paraId="5877AEAB" w14:textId="77777777" w:rsidR="00C635FF" w:rsidRPr="00821999" w:rsidRDefault="00C635FF" w:rsidP="001F380A">
            <w:pPr>
              <w:spacing w:after="0"/>
              <w:jc w:val="center"/>
              <w:rPr>
                <w:rFonts w:ascii="Times New Roman" w:eastAsiaTheme="minorHAnsi" w:hAnsi="Times New Roman" w:cs="Times New Roman"/>
                <w:b/>
                <w:iCs/>
                <w:sz w:val="24"/>
                <w:szCs w:val="24"/>
              </w:rPr>
            </w:pPr>
            <w:r w:rsidRPr="00821999">
              <w:rPr>
                <w:rFonts w:ascii="Times New Roman" w:eastAsiaTheme="minorHAnsi" w:hAnsi="Times New Roman" w:cs="Times New Roman"/>
                <w:b/>
                <w:iCs/>
                <w:sz w:val="24"/>
                <w:szCs w:val="24"/>
              </w:rPr>
              <w:t xml:space="preserve">Fractal-based features </w:t>
            </w:r>
            <w:r w:rsidRPr="00821999">
              <w:rPr>
                <w:rFonts w:ascii="Times New Roman" w:eastAsiaTheme="minorHAnsi" w:hAnsi="Times New Roman" w:cs="Times New Roman"/>
                <w:b/>
                <w:iCs/>
                <w:sz w:val="24"/>
                <w:szCs w:val="24"/>
              </w:rPr>
              <w:fldChar w:fldCharType="begin" w:fldLock="1"/>
            </w:r>
            <w:r w:rsidRPr="00821999">
              <w:rPr>
                <w:rFonts w:ascii="Times New Roman" w:eastAsiaTheme="minorHAnsi" w:hAnsi="Times New Roman" w:cs="Times New Roman"/>
                <w:b/>
                <w:iCs/>
                <w:sz w:val="24"/>
                <w:szCs w:val="24"/>
              </w:rPr>
              <w:instrText>ADDIN CSL_CITATION {"citationItems":[{"id":"ITEM-1","itemData":{"DOI":"10.1038/nrclinonc.2015.108","ISBN":"1759-4782 1759-4774","ISSN":"1759-4774","PMID":"26169924","abstract":"| Fractals are mathematical constructs that show self-similarity over a range of scales and non-integer (fractal) dimensions. Owing to these properties, fractal geometry can be used to efficiently estimate the geometrical complexity, and the irregularity of shapes and patterns observed in lung tumour growth (over space or time), whereas the use of traditional Euclidean geometry in such calculations is more challenging. The application of fractal analysis in biomedical imaging and time series has shown considerable promise for measuring processes as varied as heart and respiratory rates, neuronal cell characterization, and vascular development. Despite the advantages of fractal mathematics and numerous studies demonstrating its applicability to lung cancer research, many researchers and clinicians remain unaware of its potential. Therefore, this Review aims to introduce the fundamental basis of fractals and to illustrate how analysis of fractal dimension (FD) and associated measurements, such as lacunarity (texture) can be performed. We describe the fractal nature of the lung and explain why this organ is particularly suited to fractal analysis. Studies that have used fractal analyses to quantify changes in nuclear and chromatin FD in primary and metastatic tumour cells, and clinical imaging studies that correlated changes in the FD of tumours on CT and/or PET images with tumour growth and treatment responses are reviewed. Moreover, the potential use of these techniques in the diagnosis and therapeutic management of lung cancer are discussed.","author":[{"dropping-particle":"","family":"Lennon","given":"Frances E","non-dropping-particle":"","parse-names":false,"suffix":""},{"dropping-particle":"","family":"Cianci","given":"Gianguido C","non-dropping-particle":"","parse-names":false,"suffix":""},{"dropping-particle":"","family":"Cipriani","given":"Nicole A","non-dropping-particle":"","parse-names":false,"suffix":""},{"dropping-particle":"","family":"Hensing","given":"Thomas a","non-dropping-particle":"","parse-names":false,"suffix":""},{"dropping-particle":"","family":"Zhang","given":"Hannah J","non-dropping-particle":"","parse-names":false,"suffix":""},{"dropping-particle":"","family":"Chen","given":"Chin-Tu","non-dropping-particle":"","parse-names":false,"suffix":""},{"dropping-particle":"","family":"Murgu","given":"Septimiu D","non-dropping-particle":"","parse-names":false,"suffix":""},{"dropping-particle":"","family":"Vokes","given":"Everett E","non-dropping-particle":"","parse-names":false,"suffix":""},{"dropping-particle":"","family":"Vannier","given":"Michael W","non-dropping-particle":"","parse-names":false,"suffix":""},{"dropping-particle":"","family":"Salgia","given":"Ravi","non-dropping-particle":"","parse-names":false,"suffix":""}],"container-title":"Nature Reviews Clinical Oncology","id":"ITEM-1","issue":"November","issued":{"date-parts":[["2015"]]},"page":"664-675","publisher":"Nature Publishing Group","title":"Lung cancer—a fractal viewpoint","type":"article-journal","volume":"12"},"uris":["http://www.mendeley.com/documents/?uuid=535b7672-6327-4244-a17a-82416d225f56"]},{"id":"ITEM-2","itemData":{"DOI":"10.1118/1.4941739","ISSN":"00942405","abstract":"© 2016 American Association of Physicists in Medicine. Purpose: To develop a dynamic fractal signature dissimilarity (FSD) method as a novel image texture analysis technique for the quantification of tumor heterogeneity information for better therapeutic response assessment with dynamic contrast-enhanced (DCE)-MRI. Methods: A small animal antiangiogenesis drug treatment experiment was used to demonstrate the proposed method. Sixteen LS-174T implanted mice were randomly assigned into treatment and control groups (n = 8/group). All mice received bevacizumab (treatment) or saline (control) three times in two weeks, and one pretreatment and two post-treatment DCE-MRI scans were performed. In the proposed dynamic FSD method, a dynamic FSD curve was generated to characterize the heterogeneity evolution during the contrast agent uptake, and the area under FSD curve (AUC FSD ) and the maximum enhancement (ME FSD ) were selected as representative parameters. As for comparison, the pharmacokinetic parameter K trans map and area under MR intensity enhancement curve AUC MR map were calculated. Besides the tumor's mean value and coefficient of variation, the kurtosis, skewness, and classic Rényi dimensions d 1 and d 2 of K trans and AUC MR maps were evaluated for heterogeneity assessment for comparison. For post-treatment scans, the Mann-Whitney U-test was used to assess the differences of the investigated parameters between treatment/control groups. The support vector machine (SVM) was applied to classify treatment/control groups using the investigated parameters at each post-treatment scan day. Results: The tumor mean K trans and its heterogeneity measurements d 1 and d 2 values showed significant differences between treatment/control groups in the second post-treatment scan. In contrast, the relative values (in reference to the pretreatment value) of AUC FSD and ME FSD in both post-treatment scans showed significant differences between treatment/control groups. When using AUC FSD and ME FSD as SVM input for treatment/control classification, the achieved accuracies were 93.8% and 93.8% at first and second post-treatment scan days, respectively. In comparison, the classification accuracies using d 1 and d 2 of K trans map were 87.5% and 100% at first and second post-treatment scan days, respectively. Conclusions: As quantitative metrics of tumor contrast agent uptake heterogeneity, the selected parameters from the dynamic FSD method accurately captured the therapeu…","author":[{"dropping-particle":"","family":"Wang","given":"Chunhao","non-dropping-particle":"","parse-names":false,"suffix":""},{"dropping-particle":"","family":"Subashi","given":"Ergys","non-dropping-particle":"","parse-names":false,"suffix":""},{"dropping-particle":"","family":"Yin","given":"Fang Fang","non-dropping-particle":"","parse-names":false,"suffix":""},{"dropping-particle":"","family":"Chang","given":"Zheng","non-dropping-particle":"","parse-names":false,"suffix":""}],"container-title":"Medical Physics","id":"ITEM-2","issue":"3","issued":{"date-parts":[["2016"]]},"page":"1335-1347","title":"Dynamic fractal signature dissimilarity analysis for therapeutic response assessment using dynamic contrast-enhanced MRI","type":"article-journal","volume":"43"},"uris":["http://www.mendeley.com/documents/?uuid=4d11017c-107d-4769-8206-25914a540047"]}],"mendeley":{"formattedCitation":"[7,8]","plainTextFormattedCitation":"[7,8]","previouslyFormattedCitation":"[7,8]"},"properties":{"noteIndex":0},"schema":"https://github.com/citation-style-language/schema/raw/master/csl-citation.json"}</w:instrText>
            </w:r>
            <w:r w:rsidRPr="00821999">
              <w:rPr>
                <w:rFonts w:ascii="Times New Roman" w:eastAsiaTheme="minorHAnsi" w:hAnsi="Times New Roman" w:cs="Times New Roman"/>
                <w:b/>
                <w:iCs/>
                <w:sz w:val="24"/>
                <w:szCs w:val="24"/>
              </w:rPr>
              <w:fldChar w:fldCharType="separate"/>
            </w:r>
            <w:r w:rsidRPr="00821999">
              <w:rPr>
                <w:rFonts w:ascii="Times New Roman" w:eastAsiaTheme="minorHAnsi" w:hAnsi="Times New Roman" w:cs="Times New Roman"/>
                <w:iCs/>
                <w:noProof/>
                <w:sz w:val="24"/>
                <w:szCs w:val="24"/>
              </w:rPr>
              <w:t>[7,8]</w:t>
            </w:r>
            <w:r w:rsidRPr="00821999">
              <w:rPr>
                <w:rFonts w:ascii="Times New Roman" w:eastAsiaTheme="minorHAnsi" w:hAnsi="Times New Roman" w:cs="Times New Roman"/>
                <w:b/>
                <w:iCs/>
                <w:sz w:val="24"/>
                <w:szCs w:val="24"/>
              </w:rPr>
              <w:fldChar w:fldCharType="end"/>
            </w:r>
          </w:p>
        </w:tc>
        <w:tc>
          <w:tcPr>
            <w:tcW w:w="999" w:type="pct"/>
            <w:tcBorders>
              <w:top w:val="single" w:sz="12" w:space="0" w:color="auto"/>
              <w:bottom w:val="single" w:sz="4" w:space="0" w:color="AEAAAA" w:themeColor="background2" w:themeShade="BF"/>
            </w:tcBorders>
            <w:vAlign w:val="center"/>
          </w:tcPr>
          <w:p w14:paraId="0274AF4A"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Theme="minorHAnsi" w:hAnsi="Times New Roman" w:cs="Times New Roman"/>
                <w:iCs/>
                <w:sz w:val="24"/>
                <w:szCs w:val="24"/>
              </w:rPr>
              <w:t>Lacunarity</w:t>
            </w:r>
            <w:r w:rsidRPr="00821999">
              <w:rPr>
                <w:rFonts w:ascii="Times New Roman" w:eastAsiaTheme="minorHAnsi" w:hAnsi="Times New Roman" w:cs="Times New Roman"/>
                <w:iCs/>
                <w:sz w:val="24"/>
                <w:szCs w:val="24"/>
              </w:rPr>
              <w:br/>
              <w:t>(Box-counting method)</w:t>
            </w:r>
          </w:p>
        </w:tc>
        <w:tc>
          <w:tcPr>
            <w:tcW w:w="1780" w:type="pct"/>
            <w:tcBorders>
              <w:top w:val="single" w:sz="12" w:space="0" w:color="auto"/>
              <w:bottom w:val="single" w:sz="4" w:space="0" w:color="AEAAAA" w:themeColor="background2" w:themeShade="BF"/>
            </w:tcBorders>
            <w:vAlign w:val="center"/>
          </w:tcPr>
          <w:p w14:paraId="51756334"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맑은 고딕" w:hAnsi="Times New Roman" w:cs="Times New Roman"/>
                <w:sz w:val="24"/>
                <w:szCs w:val="24"/>
              </w:rPr>
              <w:t>See description in the next column</w:t>
            </w:r>
          </w:p>
        </w:tc>
        <w:tc>
          <w:tcPr>
            <w:tcW w:w="808" w:type="pct"/>
            <w:tcBorders>
              <w:top w:val="single" w:sz="12" w:space="0" w:color="auto"/>
              <w:bottom w:val="single" w:sz="4" w:space="0" w:color="AEAAAA" w:themeColor="background2" w:themeShade="BF"/>
            </w:tcBorders>
            <w:vAlign w:val="center"/>
          </w:tcPr>
          <w:p w14:paraId="1F6B9A03"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맑은 고딕" w:hAnsi="Times New Roman" w:cs="Times New Roman"/>
                <w:noProof/>
                <w:sz w:val="24"/>
                <w:szCs w:val="24"/>
              </w:rPr>
              <w:t>Measure</w:t>
            </w:r>
            <w:r w:rsidRPr="00821999">
              <w:rPr>
                <w:rFonts w:ascii="Times New Roman" w:eastAsia="맑은 고딕" w:hAnsi="Times New Roman" w:cs="Times New Roman"/>
                <w:sz w:val="24"/>
                <w:szCs w:val="24"/>
              </w:rPr>
              <w:t xml:space="preserve"> of the texture or distribution of gaps within an image</w:t>
            </w:r>
          </w:p>
        </w:tc>
        <w:tc>
          <w:tcPr>
            <w:tcW w:w="807" w:type="pct"/>
            <w:tcBorders>
              <w:top w:val="single" w:sz="12" w:space="0" w:color="auto"/>
              <w:bottom w:val="single" w:sz="4" w:space="0" w:color="AEAAAA" w:themeColor="background2" w:themeShade="BF"/>
            </w:tcBorders>
            <w:vAlign w:val="center"/>
          </w:tcPr>
          <w:p w14:paraId="7E002094"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X</w:t>
            </w:r>
          </w:p>
        </w:tc>
      </w:tr>
      <w:tr w:rsidR="00C635FF" w:rsidRPr="00821999" w14:paraId="04265C24" w14:textId="77777777" w:rsidTr="001F380A">
        <w:trPr>
          <w:trHeight w:val="70"/>
        </w:trPr>
        <w:tc>
          <w:tcPr>
            <w:tcW w:w="606" w:type="pct"/>
            <w:vMerge/>
            <w:tcBorders>
              <w:top w:val="single" w:sz="4" w:space="0" w:color="AEAAAA" w:themeColor="background2" w:themeShade="BF"/>
            </w:tcBorders>
            <w:shd w:val="clear" w:color="auto" w:fill="auto"/>
            <w:vAlign w:val="center"/>
          </w:tcPr>
          <w:p w14:paraId="16A8261A"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tcBorders>
              <w:top w:val="single" w:sz="4" w:space="0" w:color="AEAAAA" w:themeColor="background2" w:themeShade="BF"/>
            </w:tcBorders>
            <w:vAlign w:val="center"/>
          </w:tcPr>
          <w:p w14:paraId="4BCA6400"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Theme="minorHAnsi" w:hAnsi="Times New Roman" w:cs="Times New Roman"/>
                <w:iCs/>
                <w:sz w:val="24"/>
                <w:szCs w:val="24"/>
              </w:rPr>
              <w:t xml:space="preserve">Dimension </w:t>
            </w:r>
            <w:r w:rsidRPr="00821999">
              <w:rPr>
                <w:rFonts w:ascii="Times New Roman" w:eastAsiaTheme="minorHAnsi" w:hAnsi="Times New Roman" w:cs="Times New Roman"/>
                <w:iCs/>
                <w:sz w:val="24"/>
                <w:szCs w:val="24"/>
              </w:rPr>
              <w:br/>
              <w:t>(Box-counting method)</w:t>
            </w:r>
          </w:p>
        </w:tc>
        <w:tc>
          <w:tcPr>
            <w:tcW w:w="1780" w:type="pct"/>
            <w:tcBorders>
              <w:top w:val="single" w:sz="4" w:space="0" w:color="AEAAAA" w:themeColor="background2" w:themeShade="BF"/>
            </w:tcBorders>
            <w:vAlign w:val="center"/>
          </w:tcPr>
          <w:p w14:paraId="2E6B2274" w14:textId="77777777" w:rsidR="00C635FF" w:rsidRPr="00821999" w:rsidRDefault="00C635FF" w:rsidP="001F380A">
            <w:pPr>
              <w:spacing w:after="0"/>
              <w:jc w:val="center"/>
              <w:rPr>
                <w:rFonts w:ascii="Times New Roman" w:eastAsia="맑은 고딕" w:hAnsi="Times New Roman" w:cs="Times New Roman"/>
                <w:sz w:val="24"/>
                <w:szCs w:val="24"/>
              </w:rPr>
            </w:pPr>
            <m:oMathPara>
              <m:oMath>
                <m:r>
                  <m:rPr>
                    <m:sty m:val="p"/>
                  </m:rPr>
                  <w:rPr>
                    <w:rFonts w:ascii="Cambria Math" w:eastAsia="맑은 고딕" w:hAnsi="Cambria Math" w:cs="Times New Roman"/>
                    <w:sz w:val="24"/>
                    <w:szCs w:val="24"/>
                  </w:rPr>
                  <m:t>Fractal dimension=</m:t>
                </m:r>
                <m:func>
                  <m:funcPr>
                    <m:ctrlPr>
                      <w:rPr>
                        <w:rFonts w:ascii="Cambria Math" w:eastAsia="맑은 고딕" w:hAnsi="Cambria Math" w:cs="Times New Roman"/>
                        <w:sz w:val="24"/>
                        <w:szCs w:val="24"/>
                      </w:rPr>
                    </m:ctrlPr>
                  </m:funcPr>
                  <m:fName>
                    <m:limLow>
                      <m:limLowPr>
                        <m:ctrlPr>
                          <w:rPr>
                            <w:rFonts w:ascii="Cambria Math" w:eastAsia="맑은 고딕" w:hAnsi="Cambria Math" w:cs="Times New Roman"/>
                            <w:sz w:val="24"/>
                            <w:szCs w:val="24"/>
                          </w:rPr>
                        </m:ctrlPr>
                      </m:limLowPr>
                      <m:e>
                        <m:r>
                          <m:rPr>
                            <m:sty m:val="p"/>
                          </m:rPr>
                          <w:rPr>
                            <w:rFonts w:ascii="Cambria Math" w:eastAsia="맑은 고딕" w:hAnsi="Cambria Math" w:cs="Times New Roman"/>
                            <w:sz w:val="24"/>
                            <w:szCs w:val="24"/>
                          </w:rPr>
                          <m:t>lim</m:t>
                        </m:r>
                      </m:e>
                      <m:lim>
                        <m:r>
                          <w:rPr>
                            <w:rFonts w:ascii="Cambria Math" w:eastAsia="맑은 고딕" w:hAnsi="Cambria Math" w:cs="Times New Roman"/>
                            <w:sz w:val="24"/>
                            <w:szCs w:val="24"/>
                          </w:rPr>
                          <m:t>r→0</m:t>
                        </m:r>
                      </m:lim>
                    </m:limLow>
                  </m:fName>
                  <m:e>
                    <m:f>
                      <m:fPr>
                        <m:ctrlPr>
                          <w:rPr>
                            <w:rFonts w:ascii="Cambria Math" w:eastAsia="맑은 고딕" w:hAnsi="Cambria Math" w:cs="Times New Roman"/>
                            <w:i/>
                            <w:sz w:val="24"/>
                            <w:szCs w:val="24"/>
                          </w:rPr>
                        </m:ctrlPr>
                      </m:fPr>
                      <m:num>
                        <m:func>
                          <m:funcPr>
                            <m:ctrlPr>
                              <w:rPr>
                                <w:rFonts w:ascii="Cambria Math" w:eastAsia="맑은 고딕" w:hAnsi="Cambria Math" w:cs="Times New Roman"/>
                                <w:i/>
                                <w:sz w:val="24"/>
                                <w:szCs w:val="24"/>
                              </w:rPr>
                            </m:ctrlPr>
                          </m:funcPr>
                          <m:fName>
                            <m:r>
                              <m:rPr>
                                <m:sty m:val="p"/>
                              </m:rPr>
                              <w:rPr>
                                <w:rFonts w:ascii="Cambria Math" w:eastAsia="맑은 고딕" w:hAnsi="Cambria Math" w:cs="Times New Roman"/>
                                <w:sz w:val="24"/>
                                <w:szCs w:val="24"/>
                              </w:rPr>
                              <m:t>log</m:t>
                            </m:r>
                          </m:fName>
                          <m:e>
                            <m:r>
                              <w:rPr>
                                <w:rFonts w:ascii="Cambria Math" w:eastAsia="맑은 고딕" w:hAnsi="Cambria Math" w:cs="Times New Roman"/>
                                <w:sz w:val="24"/>
                                <w:szCs w:val="24"/>
                              </w:rPr>
                              <m:t>(</m:t>
                            </m:r>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N</m:t>
                                </m:r>
                              </m:e>
                              <m:sub>
                                <m:r>
                                  <w:rPr>
                                    <w:rFonts w:ascii="Cambria Math" w:eastAsia="맑은 고딕" w:hAnsi="Cambria Math" w:cs="Times New Roman"/>
                                    <w:sz w:val="24"/>
                                    <w:szCs w:val="24"/>
                                  </w:rPr>
                                  <m:t>r</m:t>
                                </m:r>
                              </m:sub>
                            </m:sSub>
                            <m:r>
                              <w:rPr>
                                <w:rFonts w:ascii="Cambria Math" w:eastAsia="맑은 고딕" w:hAnsi="Cambria Math" w:cs="Times New Roman"/>
                                <w:sz w:val="24"/>
                                <w:szCs w:val="24"/>
                              </w:rPr>
                              <m:t>)</m:t>
                            </m:r>
                          </m:e>
                        </m:func>
                      </m:num>
                      <m:den>
                        <m:func>
                          <m:funcPr>
                            <m:ctrlPr>
                              <w:rPr>
                                <w:rFonts w:ascii="Cambria Math" w:eastAsia="맑은 고딕" w:hAnsi="Cambria Math" w:cs="Times New Roman"/>
                                <w:i/>
                                <w:sz w:val="24"/>
                                <w:szCs w:val="24"/>
                              </w:rPr>
                            </m:ctrlPr>
                          </m:funcPr>
                          <m:fName>
                            <m:r>
                              <m:rPr>
                                <m:sty m:val="p"/>
                              </m:rPr>
                              <w:rPr>
                                <w:rFonts w:ascii="Cambria Math" w:eastAsia="맑은 고딕" w:hAnsi="Cambria Math" w:cs="Times New Roman"/>
                                <w:sz w:val="24"/>
                                <w:szCs w:val="24"/>
                              </w:rPr>
                              <m:t>log</m:t>
                            </m:r>
                          </m:fName>
                          <m:e>
                            <m:r>
                              <w:rPr>
                                <w:rFonts w:ascii="Cambria Math" w:eastAsia="맑은 고딕" w:hAnsi="Cambria Math" w:cs="Times New Roman"/>
                                <w:sz w:val="24"/>
                                <w:szCs w:val="24"/>
                              </w:rPr>
                              <m:t>(1/r)</m:t>
                            </m:r>
                          </m:e>
                        </m:func>
                      </m:den>
                    </m:f>
                  </m:e>
                </m:func>
              </m:oMath>
            </m:oMathPara>
          </w:p>
          <w:p w14:paraId="5F15766F" w14:textId="77777777" w:rsidR="00C635FF" w:rsidRPr="00821999" w:rsidRDefault="00C635FF" w:rsidP="001F380A">
            <w:pPr>
              <w:spacing w:after="0"/>
              <w:jc w:val="center"/>
              <w:rPr>
                <w:rFonts w:ascii="Times New Roman" w:eastAsia="맑은 고딕" w:hAnsi="Times New Roman" w:cs="Times New Roman"/>
                <w:sz w:val="24"/>
                <w:szCs w:val="24"/>
              </w:rPr>
            </w:pPr>
            <w:r w:rsidRPr="00821999">
              <w:rPr>
                <w:rFonts w:ascii="Times New Roman" w:eastAsia="맑은 고딕" w:hAnsi="Times New Roman" w:cs="Times New Roman"/>
                <w:sz w:val="24"/>
                <w:szCs w:val="24"/>
              </w:rPr>
              <w:t xml:space="preserve">Where </w:t>
            </w:r>
            <m:oMath>
              <m:sSub>
                <m:sSubPr>
                  <m:ctrlPr>
                    <w:rPr>
                      <w:rFonts w:ascii="Cambria Math" w:eastAsia="맑은 고딕" w:hAnsi="Cambria Math" w:cs="Times New Roman"/>
                      <w:i/>
                      <w:sz w:val="24"/>
                      <w:szCs w:val="24"/>
                    </w:rPr>
                  </m:ctrlPr>
                </m:sSubPr>
                <m:e>
                  <m:r>
                    <w:rPr>
                      <w:rFonts w:ascii="Cambria Math" w:eastAsia="맑은 고딕" w:hAnsi="Cambria Math" w:cs="Times New Roman"/>
                      <w:sz w:val="24"/>
                      <w:szCs w:val="24"/>
                    </w:rPr>
                    <m:t>N</m:t>
                  </m:r>
                </m:e>
                <m:sub>
                  <m:r>
                    <w:rPr>
                      <w:rFonts w:ascii="Cambria Math" w:eastAsia="맑은 고딕" w:hAnsi="Cambria Math" w:cs="Times New Roman"/>
                      <w:sz w:val="24"/>
                      <w:szCs w:val="24"/>
                    </w:rPr>
                    <m:t>r</m:t>
                  </m:r>
                </m:sub>
              </m:sSub>
            </m:oMath>
            <w:r w:rsidRPr="00821999">
              <w:rPr>
                <w:rFonts w:ascii="Times New Roman" w:eastAsia="맑은 고딕" w:hAnsi="Times New Roman" w:cs="Times New Roman"/>
                <w:sz w:val="24"/>
                <w:szCs w:val="24"/>
              </w:rPr>
              <w:t xml:space="preserve"> is the number of voxels, and </w:t>
            </w:r>
            <m:oMath>
              <m:r>
                <w:rPr>
                  <w:rFonts w:ascii="Cambria Math" w:eastAsia="맑은 고딕" w:hAnsi="Cambria Math" w:cs="Times New Roman"/>
                  <w:sz w:val="24"/>
                  <w:szCs w:val="24"/>
                </w:rPr>
                <m:t>r</m:t>
              </m:r>
            </m:oMath>
            <w:r w:rsidRPr="00821999">
              <w:rPr>
                <w:rFonts w:ascii="Times New Roman" w:eastAsia="맑은 고딕" w:hAnsi="Times New Roman" w:cs="Times New Roman"/>
                <w:sz w:val="24"/>
                <w:szCs w:val="24"/>
              </w:rPr>
              <w:t xml:space="preserve"> is the each of different side lengths</w:t>
            </w:r>
          </w:p>
        </w:tc>
        <w:tc>
          <w:tcPr>
            <w:tcW w:w="808" w:type="pct"/>
            <w:tcBorders>
              <w:top w:val="single" w:sz="4" w:space="0" w:color="AEAAAA" w:themeColor="background2" w:themeShade="BF"/>
            </w:tcBorders>
            <w:vAlign w:val="center"/>
          </w:tcPr>
          <w:p w14:paraId="556D664D"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Fractal dimension quantifies morphological complexity and provides information on the self-similarity properties</w:t>
            </w:r>
          </w:p>
        </w:tc>
        <w:tc>
          <w:tcPr>
            <w:tcW w:w="807" w:type="pct"/>
            <w:tcBorders>
              <w:top w:val="single" w:sz="4" w:space="0" w:color="AEAAAA" w:themeColor="background2" w:themeShade="BF"/>
            </w:tcBorders>
            <w:vAlign w:val="center"/>
          </w:tcPr>
          <w:p w14:paraId="60FA79FA"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X</w:t>
            </w:r>
          </w:p>
        </w:tc>
      </w:tr>
      <w:tr w:rsidR="00C635FF" w:rsidRPr="00821999" w14:paraId="45475416" w14:textId="77777777" w:rsidTr="001F380A">
        <w:trPr>
          <w:trHeight w:val="70"/>
        </w:trPr>
        <w:tc>
          <w:tcPr>
            <w:tcW w:w="606" w:type="pct"/>
            <w:vMerge/>
            <w:tcBorders>
              <w:bottom w:val="single" w:sz="12" w:space="0" w:color="auto"/>
            </w:tcBorders>
            <w:shd w:val="clear" w:color="auto" w:fill="auto"/>
            <w:vAlign w:val="center"/>
          </w:tcPr>
          <w:p w14:paraId="4EA98F45"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tcBorders>
              <w:bottom w:val="single" w:sz="12" w:space="0" w:color="auto"/>
            </w:tcBorders>
            <w:vAlign w:val="center"/>
          </w:tcPr>
          <w:p w14:paraId="59EA1AC3"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Theme="minorHAnsi" w:hAnsi="Times New Roman" w:cs="Times New Roman"/>
                <w:iCs/>
                <w:sz w:val="24"/>
                <w:szCs w:val="24"/>
              </w:rPr>
              <w:t xml:space="preserve">Fractal signature dissimilarity </w:t>
            </w:r>
            <w:r w:rsidRPr="00821999">
              <w:rPr>
                <w:rFonts w:ascii="Times New Roman" w:eastAsiaTheme="minorHAnsi" w:hAnsi="Times New Roman" w:cs="Times New Roman"/>
                <w:iCs/>
                <w:sz w:val="24"/>
                <w:szCs w:val="24"/>
              </w:rPr>
              <w:br/>
              <w:t>(Blanket method)</w:t>
            </w:r>
          </w:p>
        </w:tc>
        <w:tc>
          <w:tcPr>
            <w:tcW w:w="1780" w:type="pct"/>
            <w:tcBorders>
              <w:bottom w:val="single" w:sz="12" w:space="0" w:color="auto"/>
            </w:tcBorders>
            <w:vAlign w:val="center"/>
          </w:tcPr>
          <w:p w14:paraId="05119CBC"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맑은 고딕" w:hAnsi="Times New Roman" w:cs="Times New Roman"/>
                <w:sz w:val="24"/>
                <w:szCs w:val="24"/>
              </w:rPr>
              <w:t>See description in the next column</w:t>
            </w:r>
          </w:p>
        </w:tc>
        <w:tc>
          <w:tcPr>
            <w:tcW w:w="808" w:type="pct"/>
            <w:tcBorders>
              <w:bottom w:val="single" w:sz="12" w:space="0" w:color="auto"/>
            </w:tcBorders>
            <w:vAlign w:val="center"/>
          </w:tcPr>
          <w:p w14:paraId="0FB68F5F"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Measure of tumor heterogeneity infromation</w:t>
            </w:r>
          </w:p>
        </w:tc>
        <w:tc>
          <w:tcPr>
            <w:tcW w:w="807" w:type="pct"/>
            <w:tcBorders>
              <w:bottom w:val="single" w:sz="12" w:space="0" w:color="auto"/>
            </w:tcBorders>
            <w:vAlign w:val="center"/>
          </w:tcPr>
          <w:p w14:paraId="69A6F664"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X</w:t>
            </w:r>
          </w:p>
        </w:tc>
      </w:tr>
      <w:tr w:rsidR="00C635FF" w:rsidRPr="00821999" w14:paraId="7908D23E" w14:textId="77777777" w:rsidTr="001F380A">
        <w:trPr>
          <w:trHeight w:val="70"/>
        </w:trPr>
        <w:tc>
          <w:tcPr>
            <w:tcW w:w="606" w:type="pct"/>
            <w:vMerge w:val="restart"/>
            <w:tcBorders>
              <w:top w:val="single" w:sz="12" w:space="0" w:color="auto"/>
              <w:bottom w:val="single" w:sz="4" w:space="0" w:color="AEAAAA" w:themeColor="background2" w:themeShade="BF"/>
            </w:tcBorders>
            <w:shd w:val="clear" w:color="auto" w:fill="auto"/>
            <w:vAlign w:val="center"/>
          </w:tcPr>
          <w:p w14:paraId="5C71B033" w14:textId="77777777" w:rsidR="00C635FF" w:rsidRPr="00821999" w:rsidRDefault="00C635FF" w:rsidP="001F380A">
            <w:pPr>
              <w:spacing w:after="0"/>
              <w:jc w:val="center"/>
              <w:rPr>
                <w:rFonts w:ascii="Times New Roman" w:eastAsiaTheme="minorHAnsi" w:hAnsi="Times New Roman" w:cs="Times New Roman"/>
                <w:b/>
                <w:iCs/>
                <w:sz w:val="24"/>
                <w:szCs w:val="24"/>
              </w:rPr>
            </w:pPr>
            <w:r w:rsidRPr="00821999">
              <w:rPr>
                <w:rFonts w:ascii="Times New Roman" w:eastAsiaTheme="minorHAnsi" w:hAnsi="Times New Roman" w:cs="Times New Roman"/>
                <w:b/>
                <w:iCs/>
                <w:sz w:val="24"/>
                <w:szCs w:val="24"/>
              </w:rPr>
              <w:t xml:space="preserve">Sigmoid </w:t>
            </w:r>
            <w:r w:rsidRPr="00821999">
              <w:rPr>
                <w:rFonts w:ascii="Times New Roman" w:eastAsiaTheme="minorHAnsi" w:hAnsi="Times New Roman" w:cs="Times New Roman"/>
                <w:b/>
                <w:iCs/>
                <w:sz w:val="24"/>
                <w:szCs w:val="24"/>
              </w:rPr>
              <w:lastRenderedPageBreak/>
              <w:t xml:space="preserve">function-based features </w:t>
            </w:r>
            <w:r w:rsidRPr="00821999">
              <w:rPr>
                <w:rFonts w:ascii="Times New Roman" w:eastAsiaTheme="minorHAnsi" w:hAnsi="Times New Roman" w:cs="Times New Roman"/>
                <w:b/>
                <w:iCs/>
                <w:sz w:val="24"/>
                <w:szCs w:val="24"/>
              </w:rPr>
              <w:fldChar w:fldCharType="begin" w:fldLock="1"/>
            </w:r>
            <w:r w:rsidRPr="00821999">
              <w:rPr>
                <w:rFonts w:ascii="Times New Roman" w:eastAsiaTheme="minorHAnsi" w:hAnsi="Times New Roman" w:cs="Times New Roman"/>
                <w:b/>
                <w:iCs/>
                <w:sz w:val="24"/>
                <w:szCs w:val="24"/>
              </w:rPr>
              <w:instrText>ADDIN CSL_CITATION {"citationItems":[{"id":"ITEM-1","itemData":{"DOI":"10.1038/srep33860","ISBN":"2045-2322","ISSN":"20452322","PMID":"27645803","abstract":"Medical imaging plays a fundamental role in oncology and drug development, by providing a non-invasive method to visualize tumor phenotype. Radiomics can quantify this phenotype comprehensively by applying image-characterization algorithms, and may provide important information beyond tumor size or burden. In this study, we investigated if radiomics can identify a gefitinib response-phenotype, studying high-resolution computed-tomography (CT) imaging of forty-seven patients with early-stage non-small cell lung cancer before and after three weeks of therapy. On the baseline-scan, radiomic-feature Laws-Energy was significantly predictive for EGFR-mutation status (AUC = 0.67, p = 0.03), while volume (AUC = 0.59, p = 0.27) and diameter (AUC = 0.56, p = 0.46) were not. Although no features were predictive on the post-treatment scan (p &gt; 0.08), the change in features between the two scans was strongly predictive (significant feature AUC-range = 0.74-0.91). A technical validation revealed that the associated features were also highly stable for test-retest (mean ± std: ICC = 0.96 ± 0.06). This pilot study shows that radiomic data before treatment is able to predict mutation status and associated gefitinib response non-invasively, demonstrating the potential of radiomics-based phenotyping to improve the stratification and response assessment between tyrosine kinase inhibitors (TKIs) sensitive and resistant patient populations.","author":[{"dropping-particle":"","family":"Aerts","given":"Hugo J.W.L.","non-dropping-particle":"","parse-names":false,"suffix":""},{"dropping-particle":"","family":"Grossmann","given":"Patrick","non-dropping-particle":"","parse-names":false,"suffix":""},{"dropping-particle":"","family":"Tan","given":"Yongqiang","non-dropping-particle":"","parse-names":false,"suffix":""},{"dropping-particle":"","family":"Oxnard","given":"Geoffrey G.","non-dropping-particle":"","parse-names":false,"suffix":""},{"dropping-particle":"","family":"Rizvi","given":"Naiyer","non-dropping-particle":"","parse-names":false,"suffix":""},{"dropping-particle":"","family":"Schwartz","given":"Lawrence H.","non-dropping-particle":"","parse-names":false,"suffix":""},{"dropping-particle":"","family":"Zhao","given":"Binsheng","non-dropping-particle":"","parse-names":false,"suffix":""}],"container-title":"Scientific Reports","id":"ITEM-1","issue":"September","issued":{"date-parts":[["2016"]]},"publisher":"Nature Publishing Group","title":"Defining a Radiomic Response Phenotype: A Pilot Study using targeted therapy in NSCLC","type":"article-journal","volume":"6"},"uris":["http://www.mendeley.com/documents/?uuid=acae8c78-04bf-46cd-a595-37fe2f8323bd"]}],"mendeley":{"formattedCitation":"[3]","plainTextFormattedCitation":"[3]","previouslyFormattedCitation":"[3]"},"properties":{"noteIndex":0},"schema":"https://github.com/citation-style-language/schema/raw/master/csl-citation.json"}</w:instrText>
            </w:r>
            <w:r w:rsidRPr="00821999">
              <w:rPr>
                <w:rFonts w:ascii="Times New Roman" w:eastAsiaTheme="minorHAnsi" w:hAnsi="Times New Roman" w:cs="Times New Roman"/>
                <w:b/>
                <w:iCs/>
                <w:sz w:val="24"/>
                <w:szCs w:val="24"/>
              </w:rPr>
              <w:fldChar w:fldCharType="separate"/>
            </w:r>
            <w:r w:rsidRPr="00821999">
              <w:rPr>
                <w:rFonts w:ascii="Times New Roman" w:eastAsiaTheme="minorHAnsi" w:hAnsi="Times New Roman" w:cs="Times New Roman"/>
                <w:iCs/>
                <w:noProof/>
                <w:sz w:val="24"/>
                <w:szCs w:val="24"/>
              </w:rPr>
              <w:t>[3]</w:t>
            </w:r>
            <w:r w:rsidRPr="00821999">
              <w:rPr>
                <w:rFonts w:ascii="Times New Roman" w:eastAsiaTheme="minorHAnsi" w:hAnsi="Times New Roman" w:cs="Times New Roman"/>
                <w:b/>
                <w:iCs/>
                <w:sz w:val="24"/>
                <w:szCs w:val="24"/>
              </w:rPr>
              <w:fldChar w:fldCharType="end"/>
            </w:r>
          </w:p>
        </w:tc>
        <w:tc>
          <w:tcPr>
            <w:tcW w:w="999" w:type="pct"/>
            <w:tcBorders>
              <w:top w:val="single" w:sz="12" w:space="0" w:color="auto"/>
              <w:bottom w:val="single" w:sz="4" w:space="0" w:color="AEAAAA" w:themeColor="background2" w:themeShade="BF"/>
            </w:tcBorders>
            <w:vAlign w:val="center"/>
          </w:tcPr>
          <w:p w14:paraId="10817710"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Theme="minorHAnsi" w:hAnsi="Times New Roman" w:cs="Times New Roman"/>
                <w:iCs/>
                <w:sz w:val="24"/>
                <w:szCs w:val="24"/>
              </w:rPr>
              <w:lastRenderedPageBreak/>
              <w:t>Amplitude mean</w:t>
            </w:r>
          </w:p>
        </w:tc>
        <w:tc>
          <w:tcPr>
            <w:tcW w:w="1780" w:type="pct"/>
            <w:vMerge w:val="restart"/>
            <w:tcBorders>
              <w:top w:val="single" w:sz="12" w:space="0" w:color="auto"/>
              <w:bottom w:val="single" w:sz="4" w:space="0" w:color="AEAAAA" w:themeColor="background2" w:themeShade="BF"/>
            </w:tcBorders>
            <w:vAlign w:val="center"/>
          </w:tcPr>
          <w:p w14:paraId="51C14ED1"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맑은 고딕" w:hAnsi="Times New Roman" w:cs="Times New Roman"/>
                <w:sz w:val="24"/>
                <w:szCs w:val="24"/>
              </w:rPr>
              <w:t>See description in the next column</w:t>
            </w:r>
          </w:p>
        </w:tc>
        <w:tc>
          <w:tcPr>
            <w:tcW w:w="808" w:type="pct"/>
            <w:tcBorders>
              <w:top w:val="single" w:sz="12" w:space="0" w:color="auto"/>
              <w:bottom w:val="single" w:sz="4" w:space="0" w:color="AEAAAA" w:themeColor="background2" w:themeShade="BF"/>
            </w:tcBorders>
            <w:vAlign w:val="center"/>
          </w:tcPr>
          <w:p w14:paraId="7FF995FE"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 xml:space="preserve">Mean of the </w:t>
            </w:r>
            <w:r w:rsidRPr="00821999">
              <w:rPr>
                <w:rFonts w:ascii="Times New Roman" w:eastAsia="맑은 고딕" w:hAnsi="Times New Roman" w:cs="Times New Roman"/>
                <w:noProof/>
                <w:sz w:val="24"/>
                <w:szCs w:val="24"/>
              </w:rPr>
              <w:lastRenderedPageBreak/>
              <w:t>amplitude values of all sampling lines</w:t>
            </w:r>
          </w:p>
        </w:tc>
        <w:tc>
          <w:tcPr>
            <w:tcW w:w="807" w:type="pct"/>
            <w:tcBorders>
              <w:top w:val="single" w:sz="12" w:space="0" w:color="auto"/>
              <w:bottom w:val="single" w:sz="4" w:space="0" w:color="AEAAAA" w:themeColor="background2" w:themeShade="BF"/>
            </w:tcBorders>
            <w:vAlign w:val="center"/>
          </w:tcPr>
          <w:p w14:paraId="24FC2AF5"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lastRenderedPageBreak/>
              <w:t>X</w:t>
            </w:r>
          </w:p>
        </w:tc>
      </w:tr>
      <w:tr w:rsidR="00C635FF" w:rsidRPr="00821999" w14:paraId="645FA09F" w14:textId="77777777" w:rsidTr="001F380A">
        <w:trPr>
          <w:trHeight w:val="70"/>
        </w:trPr>
        <w:tc>
          <w:tcPr>
            <w:tcW w:w="606" w:type="pct"/>
            <w:vMerge/>
            <w:tcBorders>
              <w:top w:val="single" w:sz="4" w:space="0" w:color="AEAAAA" w:themeColor="background2" w:themeShade="BF"/>
            </w:tcBorders>
            <w:shd w:val="clear" w:color="auto" w:fill="auto"/>
            <w:vAlign w:val="center"/>
          </w:tcPr>
          <w:p w14:paraId="62767B2C"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tcBorders>
              <w:top w:val="single" w:sz="4" w:space="0" w:color="AEAAAA" w:themeColor="background2" w:themeShade="BF"/>
            </w:tcBorders>
            <w:vAlign w:val="center"/>
          </w:tcPr>
          <w:p w14:paraId="7660417D"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Theme="minorHAnsi" w:hAnsi="Times New Roman" w:cs="Times New Roman"/>
                <w:iCs/>
                <w:sz w:val="24"/>
                <w:szCs w:val="24"/>
              </w:rPr>
              <w:t>Amplitude standard deviation</w:t>
            </w:r>
          </w:p>
        </w:tc>
        <w:tc>
          <w:tcPr>
            <w:tcW w:w="1780" w:type="pct"/>
            <w:vMerge/>
            <w:tcBorders>
              <w:top w:val="single" w:sz="4" w:space="0" w:color="AEAAAA" w:themeColor="background2" w:themeShade="BF"/>
            </w:tcBorders>
            <w:vAlign w:val="center"/>
          </w:tcPr>
          <w:p w14:paraId="65BD57F0" w14:textId="77777777" w:rsidR="00C635FF" w:rsidRPr="00821999" w:rsidRDefault="00C635FF" w:rsidP="001F380A">
            <w:pPr>
              <w:spacing w:after="0"/>
              <w:jc w:val="center"/>
              <w:rPr>
                <w:rFonts w:ascii="Times New Roman" w:eastAsiaTheme="minorHAnsi" w:hAnsi="Times New Roman" w:cs="Times New Roman"/>
                <w:iCs/>
                <w:sz w:val="24"/>
                <w:szCs w:val="24"/>
              </w:rPr>
            </w:pPr>
          </w:p>
        </w:tc>
        <w:tc>
          <w:tcPr>
            <w:tcW w:w="808" w:type="pct"/>
            <w:tcBorders>
              <w:top w:val="single" w:sz="4" w:space="0" w:color="AEAAAA" w:themeColor="background2" w:themeShade="BF"/>
            </w:tcBorders>
            <w:vAlign w:val="center"/>
          </w:tcPr>
          <w:p w14:paraId="2BE37206"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Standard deviation of the amplitue values of all sampling lines</w:t>
            </w:r>
          </w:p>
        </w:tc>
        <w:tc>
          <w:tcPr>
            <w:tcW w:w="807" w:type="pct"/>
            <w:tcBorders>
              <w:top w:val="single" w:sz="4" w:space="0" w:color="AEAAAA" w:themeColor="background2" w:themeShade="BF"/>
            </w:tcBorders>
            <w:vAlign w:val="center"/>
          </w:tcPr>
          <w:p w14:paraId="4F9A0FDE"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X</w:t>
            </w:r>
          </w:p>
        </w:tc>
      </w:tr>
      <w:tr w:rsidR="00C635FF" w:rsidRPr="00821999" w14:paraId="6FAE6CA6" w14:textId="77777777" w:rsidTr="001F380A">
        <w:trPr>
          <w:trHeight w:val="70"/>
        </w:trPr>
        <w:tc>
          <w:tcPr>
            <w:tcW w:w="606" w:type="pct"/>
            <w:vMerge/>
            <w:shd w:val="clear" w:color="auto" w:fill="auto"/>
            <w:vAlign w:val="center"/>
          </w:tcPr>
          <w:p w14:paraId="43A1DFF5"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34199EEF"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Theme="minorHAnsi" w:hAnsi="Times New Roman" w:cs="Times New Roman"/>
                <w:iCs/>
                <w:sz w:val="24"/>
                <w:szCs w:val="24"/>
              </w:rPr>
              <w:t>Slope mean</w:t>
            </w:r>
          </w:p>
        </w:tc>
        <w:tc>
          <w:tcPr>
            <w:tcW w:w="1780" w:type="pct"/>
            <w:vMerge/>
            <w:vAlign w:val="center"/>
          </w:tcPr>
          <w:p w14:paraId="55F30400" w14:textId="77777777" w:rsidR="00C635FF" w:rsidRPr="00821999" w:rsidRDefault="00C635FF" w:rsidP="001F380A">
            <w:pPr>
              <w:spacing w:after="0"/>
              <w:jc w:val="center"/>
              <w:rPr>
                <w:rFonts w:ascii="Times New Roman" w:eastAsiaTheme="minorHAnsi" w:hAnsi="Times New Roman" w:cs="Times New Roman"/>
                <w:iCs/>
                <w:sz w:val="24"/>
                <w:szCs w:val="24"/>
              </w:rPr>
            </w:pPr>
          </w:p>
        </w:tc>
        <w:tc>
          <w:tcPr>
            <w:tcW w:w="808" w:type="pct"/>
            <w:vAlign w:val="center"/>
          </w:tcPr>
          <w:p w14:paraId="66ED5149"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Mean of the slope values of all sampling lines</w:t>
            </w:r>
          </w:p>
        </w:tc>
        <w:tc>
          <w:tcPr>
            <w:tcW w:w="807" w:type="pct"/>
            <w:vAlign w:val="center"/>
          </w:tcPr>
          <w:p w14:paraId="39543CD4"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X</w:t>
            </w:r>
          </w:p>
        </w:tc>
      </w:tr>
      <w:tr w:rsidR="00C635FF" w:rsidRPr="00821999" w14:paraId="69AAF9F2" w14:textId="77777777" w:rsidTr="001F380A">
        <w:trPr>
          <w:trHeight w:val="70"/>
        </w:trPr>
        <w:tc>
          <w:tcPr>
            <w:tcW w:w="606" w:type="pct"/>
            <w:vMerge/>
            <w:shd w:val="clear" w:color="auto" w:fill="auto"/>
            <w:vAlign w:val="center"/>
          </w:tcPr>
          <w:p w14:paraId="118B2221"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21A90F5A"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Theme="minorHAnsi" w:hAnsi="Times New Roman" w:cs="Times New Roman"/>
                <w:iCs/>
                <w:sz w:val="24"/>
                <w:szCs w:val="24"/>
              </w:rPr>
              <w:t>Slope standard deviation</w:t>
            </w:r>
          </w:p>
        </w:tc>
        <w:tc>
          <w:tcPr>
            <w:tcW w:w="1780" w:type="pct"/>
            <w:vMerge/>
            <w:vAlign w:val="center"/>
          </w:tcPr>
          <w:p w14:paraId="6DBEAE7C" w14:textId="77777777" w:rsidR="00C635FF" w:rsidRPr="00821999" w:rsidRDefault="00C635FF" w:rsidP="001F380A">
            <w:pPr>
              <w:spacing w:after="0"/>
              <w:jc w:val="center"/>
              <w:rPr>
                <w:rFonts w:ascii="Times New Roman" w:eastAsiaTheme="minorHAnsi" w:hAnsi="Times New Roman" w:cs="Times New Roman"/>
                <w:iCs/>
                <w:sz w:val="24"/>
                <w:szCs w:val="24"/>
              </w:rPr>
            </w:pPr>
          </w:p>
        </w:tc>
        <w:tc>
          <w:tcPr>
            <w:tcW w:w="808" w:type="pct"/>
            <w:vAlign w:val="center"/>
          </w:tcPr>
          <w:p w14:paraId="4738AD21"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Standard deviation of the slope values of all sampling lines</w:t>
            </w:r>
          </w:p>
        </w:tc>
        <w:tc>
          <w:tcPr>
            <w:tcW w:w="807" w:type="pct"/>
            <w:vAlign w:val="center"/>
          </w:tcPr>
          <w:p w14:paraId="64569BFC"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X</w:t>
            </w:r>
          </w:p>
        </w:tc>
      </w:tr>
      <w:tr w:rsidR="00C635FF" w:rsidRPr="00821999" w14:paraId="16AF69E0" w14:textId="77777777" w:rsidTr="001F380A">
        <w:trPr>
          <w:trHeight w:val="70"/>
        </w:trPr>
        <w:tc>
          <w:tcPr>
            <w:tcW w:w="606" w:type="pct"/>
            <w:vMerge/>
            <w:shd w:val="clear" w:color="auto" w:fill="auto"/>
            <w:vAlign w:val="center"/>
          </w:tcPr>
          <w:p w14:paraId="5F43AC3A"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42331BD1"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Theme="minorHAnsi" w:hAnsi="Times New Roman" w:cs="Times New Roman"/>
                <w:iCs/>
                <w:sz w:val="24"/>
                <w:szCs w:val="24"/>
              </w:rPr>
              <w:t>Offset mean</w:t>
            </w:r>
          </w:p>
        </w:tc>
        <w:tc>
          <w:tcPr>
            <w:tcW w:w="1780" w:type="pct"/>
            <w:vMerge/>
            <w:vAlign w:val="center"/>
          </w:tcPr>
          <w:p w14:paraId="3DBEE63C" w14:textId="77777777" w:rsidR="00C635FF" w:rsidRPr="00821999" w:rsidRDefault="00C635FF" w:rsidP="001F380A">
            <w:pPr>
              <w:spacing w:after="0"/>
              <w:jc w:val="center"/>
              <w:rPr>
                <w:rFonts w:ascii="Times New Roman" w:eastAsia="맑은 고딕" w:hAnsi="Times New Roman" w:cs="Times New Roman"/>
                <w:sz w:val="24"/>
                <w:szCs w:val="24"/>
              </w:rPr>
            </w:pPr>
          </w:p>
        </w:tc>
        <w:tc>
          <w:tcPr>
            <w:tcW w:w="808" w:type="pct"/>
            <w:vAlign w:val="center"/>
          </w:tcPr>
          <w:p w14:paraId="5F93664F"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Mean of the offset values of all sampling lines</w:t>
            </w:r>
          </w:p>
        </w:tc>
        <w:tc>
          <w:tcPr>
            <w:tcW w:w="807" w:type="pct"/>
            <w:vAlign w:val="center"/>
          </w:tcPr>
          <w:p w14:paraId="34C8CEB9"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X</w:t>
            </w:r>
          </w:p>
        </w:tc>
      </w:tr>
      <w:tr w:rsidR="00C635FF" w:rsidRPr="00821999" w14:paraId="43B4B602" w14:textId="77777777" w:rsidTr="001F380A">
        <w:trPr>
          <w:trHeight w:val="70"/>
        </w:trPr>
        <w:tc>
          <w:tcPr>
            <w:tcW w:w="606" w:type="pct"/>
            <w:vMerge/>
            <w:shd w:val="clear" w:color="auto" w:fill="auto"/>
            <w:vAlign w:val="center"/>
          </w:tcPr>
          <w:p w14:paraId="627D619B"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999" w:type="pct"/>
            <w:vAlign w:val="center"/>
          </w:tcPr>
          <w:p w14:paraId="7F167017" w14:textId="77777777" w:rsidR="00C635FF" w:rsidRPr="00821999" w:rsidRDefault="00C635FF" w:rsidP="001F380A">
            <w:pPr>
              <w:spacing w:after="0"/>
              <w:jc w:val="center"/>
              <w:rPr>
                <w:rFonts w:ascii="Times New Roman" w:eastAsiaTheme="minorHAnsi" w:hAnsi="Times New Roman" w:cs="Times New Roman"/>
                <w:iCs/>
                <w:sz w:val="24"/>
                <w:szCs w:val="24"/>
              </w:rPr>
            </w:pPr>
            <w:r w:rsidRPr="00821999">
              <w:rPr>
                <w:rFonts w:ascii="Times New Roman" w:eastAsiaTheme="minorHAnsi" w:hAnsi="Times New Roman" w:cs="Times New Roman"/>
                <w:iCs/>
                <w:sz w:val="24"/>
                <w:szCs w:val="24"/>
              </w:rPr>
              <w:t>Offset standard deviation</w:t>
            </w:r>
          </w:p>
        </w:tc>
        <w:tc>
          <w:tcPr>
            <w:tcW w:w="1780" w:type="pct"/>
            <w:vMerge/>
            <w:vAlign w:val="center"/>
          </w:tcPr>
          <w:p w14:paraId="1AD71B11" w14:textId="77777777" w:rsidR="00C635FF" w:rsidRPr="00821999" w:rsidRDefault="00C635FF" w:rsidP="001F380A">
            <w:pPr>
              <w:spacing w:after="0"/>
              <w:jc w:val="center"/>
              <w:rPr>
                <w:rFonts w:ascii="Times New Roman" w:eastAsia="맑은 고딕" w:hAnsi="Times New Roman" w:cs="Times New Roman"/>
                <w:sz w:val="24"/>
                <w:szCs w:val="24"/>
              </w:rPr>
            </w:pPr>
          </w:p>
        </w:tc>
        <w:tc>
          <w:tcPr>
            <w:tcW w:w="808" w:type="pct"/>
            <w:vAlign w:val="center"/>
          </w:tcPr>
          <w:p w14:paraId="493626A1"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Standard deviation of the offset values of all sampling lines</w:t>
            </w:r>
          </w:p>
        </w:tc>
        <w:tc>
          <w:tcPr>
            <w:tcW w:w="807" w:type="pct"/>
            <w:vAlign w:val="center"/>
          </w:tcPr>
          <w:p w14:paraId="3D74C4F5"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X</w:t>
            </w:r>
          </w:p>
        </w:tc>
      </w:tr>
      <w:tr w:rsidR="00C635FF" w:rsidRPr="00821999" w14:paraId="48B557FB" w14:textId="77777777" w:rsidTr="001F380A">
        <w:trPr>
          <w:trHeight w:val="70"/>
        </w:trPr>
        <w:tc>
          <w:tcPr>
            <w:tcW w:w="606" w:type="pct"/>
            <w:vMerge/>
            <w:shd w:val="clear" w:color="auto" w:fill="auto"/>
            <w:vAlign w:val="center"/>
          </w:tcPr>
          <w:p w14:paraId="06B73DC0" w14:textId="77777777" w:rsidR="00C635FF" w:rsidRPr="00821999" w:rsidRDefault="00C635FF" w:rsidP="001F380A">
            <w:pPr>
              <w:spacing w:after="0"/>
              <w:jc w:val="center"/>
              <w:rPr>
                <w:rFonts w:ascii="Times New Roman" w:eastAsiaTheme="minorHAnsi" w:hAnsi="Times New Roman" w:cs="Times New Roman"/>
                <w:b/>
                <w:iCs/>
                <w:sz w:val="24"/>
                <w:szCs w:val="24"/>
              </w:rPr>
            </w:pPr>
          </w:p>
        </w:tc>
        <w:tc>
          <w:tcPr>
            <w:tcW w:w="4394" w:type="pct"/>
            <w:gridSpan w:val="4"/>
            <w:vAlign w:val="center"/>
          </w:tcPr>
          <w:p w14:paraId="3EC8AC1E" w14:textId="77777777" w:rsidR="00C635FF" w:rsidRPr="00821999" w:rsidRDefault="00C635FF" w:rsidP="001F380A">
            <w:pPr>
              <w:spacing w:after="0"/>
              <w:jc w:val="center"/>
              <w:rPr>
                <w:rFonts w:ascii="Times New Roman" w:eastAsia="맑은 고딕" w:hAnsi="Times New Roman" w:cs="Times New Roman"/>
                <w:noProof/>
                <w:sz w:val="24"/>
                <w:szCs w:val="24"/>
              </w:rPr>
            </w:pPr>
            <m:oMathPara>
              <m:oMath>
                <m:r>
                  <m:rPr>
                    <m:sty m:val="p"/>
                  </m:rPr>
                  <w:rPr>
                    <w:rFonts w:ascii="Cambria Math" w:eastAsia="맑은 고딕" w:hAnsi="Cambria Math" w:cs="Times New Roman"/>
                    <w:noProof/>
                    <w:sz w:val="24"/>
                    <w:szCs w:val="24"/>
                  </w:rPr>
                  <m:t>Sigmoid</m:t>
                </m:r>
                <m:d>
                  <m:dPr>
                    <m:ctrlPr>
                      <w:rPr>
                        <w:rFonts w:ascii="Cambria Math" w:eastAsia="맑은 고딕" w:hAnsi="Cambria Math" w:cs="Times New Roman"/>
                        <w:noProof/>
                        <w:sz w:val="24"/>
                        <w:szCs w:val="24"/>
                      </w:rPr>
                    </m:ctrlPr>
                  </m:dPr>
                  <m:e>
                    <m:r>
                      <m:rPr>
                        <m:sty m:val="p"/>
                      </m:rPr>
                      <w:rPr>
                        <w:rFonts w:ascii="Cambria Math" w:eastAsia="맑은 고딕" w:hAnsi="Cambria Math" w:cs="Times New Roman"/>
                        <w:noProof/>
                        <w:sz w:val="24"/>
                        <w:szCs w:val="24"/>
                      </w:rPr>
                      <m:t>x</m:t>
                    </m:r>
                  </m:e>
                </m:d>
                <m:r>
                  <m:rPr>
                    <m:sty m:val="p"/>
                  </m:rPr>
                  <w:rPr>
                    <w:rFonts w:ascii="Cambria Math" w:eastAsia="맑은 고딕" w:hAnsi="Cambria Math" w:cs="Times New Roman"/>
                    <w:noProof/>
                    <w:sz w:val="24"/>
                    <w:szCs w:val="24"/>
                  </w:rPr>
                  <m:t>=</m:t>
                </m:r>
                <m:f>
                  <m:fPr>
                    <m:ctrlPr>
                      <w:rPr>
                        <w:rFonts w:ascii="Cambria Math" w:eastAsia="맑은 고딕" w:hAnsi="Cambria Math" w:cs="Times New Roman"/>
                        <w:noProof/>
                        <w:sz w:val="24"/>
                        <w:szCs w:val="24"/>
                      </w:rPr>
                    </m:ctrlPr>
                  </m:fPr>
                  <m:num>
                    <m:r>
                      <w:rPr>
                        <w:rFonts w:ascii="Cambria Math" w:eastAsia="맑은 고딕" w:hAnsi="Cambria Math" w:cs="Times New Roman"/>
                        <w:noProof/>
                        <w:sz w:val="24"/>
                        <w:szCs w:val="24"/>
                      </w:rPr>
                      <m:t>A</m:t>
                    </m:r>
                  </m:num>
                  <m:den>
                    <m:sSup>
                      <m:sSupPr>
                        <m:ctrlPr>
                          <w:rPr>
                            <w:rFonts w:ascii="Cambria Math" w:eastAsia="맑은 고딕" w:hAnsi="Cambria Math" w:cs="Times New Roman"/>
                            <w:i/>
                            <w:noProof/>
                            <w:sz w:val="24"/>
                            <w:szCs w:val="24"/>
                          </w:rPr>
                        </m:ctrlPr>
                      </m:sSupPr>
                      <m:e>
                        <m:r>
                          <w:rPr>
                            <w:rFonts w:ascii="Cambria Math" w:eastAsia="맑은 고딕" w:hAnsi="Cambria Math" w:cs="Times New Roman"/>
                            <w:noProof/>
                            <w:sz w:val="24"/>
                            <w:szCs w:val="24"/>
                          </w:rPr>
                          <m:t>e</m:t>
                        </m:r>
                      </m:e>
                      <m:sup>
                        <m:r>
                          <m:rPr>
                            <m:sty m:val="bi"/>
                          </m:rPr>
                          <w:rPr>
                            <w:rFonts w:ascii="Cambria Math" w:eastAsia="맑은 고딕" w:hAnsi="Cambria Math" w:cs="Times New Roman"/>
                            <w:noProof/>
                            <w:sz w:val="24"/>
                            <w:szCs w:val="24"/>
                          </w:rPr>
                          <m:t>B∙x</m:t>
                        </m:r>
                      </m:sup>
                    </m:sSup>
                    <m:r>
                      <w:rPr>
                        <w:rFonts w:ascii="Cambria Math" w:eastAsia="맑은 고딕" w:hAnsi="Cambria Math" w:cs="Times New Roman"/>
                        <w:noProof/>
                        <w:sz w:val="24"/>
                        <w:szCs w:val="24"/>
                      </w:rPr>
                      <m:t>+1</m:t>
                    </m:r>
                  </m:den>
                </m:f>
                <m:r>
                  <w:rPr>
                    <w:rFonts w:ascii="Cambria Math" w:eastAsia="맑은 고딕" w:hAnsi="Cambria Math" w:cs="Times New Roman"/>
                    <w:noProof/>
                    <w:sz w:val="24"/>
                    <w:szCs w:val="24"/>
                  </w:rPr>
                  <m:t>+</m:t>
                </m:r>
                <m:r>
                  <m:rPr>
                    <m:sty m:val="p"/>
                  </m:rPr>
                  <w:rPr>
                    <w:rFonts w:ascii="Cambria Math" w:eastAsia="맑은 고딕" w:hAnsi="Cambria Math" w:cs="Times New Roman"/>
                    <w:noProof/>
                    <w:sz w:val="24"/>
                    <w:szCs w:val="24"/>
                  </w:rPr>
                  <m:t>C</m:t>
                </m:r>
              </m:oMath>
            </m:oMathPara>
          </w:p>
          <w:p w14:paraId="337FCBAC" w14:textId="77777777" w:rsidR="00C635FF" w:rsidRPr="00821999" w:rsidRDefault="00C635FF" w:rsidP="001F380A">
            <w:pPr>
              <w:spacing w:after="0"/>
              <w:jc w:val="center"/>
              <w:rPr>
                <w:rFonts w:ascii="Times New Roman" w:eastAsia="맑은 고딕" w:hAnsi="Times New Roman" w:cs="Times New Roman"/>
                <w:noProof/>
                <w:sz w:val="24"/>
                <w:szCs w:val="24"/>
              </w:rPr>
            </w:pPr>
            <w:r w:rsidRPr="00821999">
              <w:rPr>
                <w:rFonts w:ascii="Times New Roman" w:eastAsia="맑은 고딕" w:hAnsi="Times New Roman" w:cs="Times New Roman"/>
                <w:noProof/>
                <w:sz w:val="24"/>
                <w:szCs w:val="24"/>
              </w:rPr>
              <w:t xml:space="preserve">Where </w:t>
            </w:r>
            <m:oMath>
              <m:r>
                <w:rPr>
                  <w:rFonts w:ascii="Cambria Math" w:eastAsia="맑은 고딕" w:hAnsi="Cambria Math" w:cs="Times New Roman"/>
                  <w:noProof/>
                  <w:sz w:val="24"/>
                  <w:szCs w:val="24"/>
                </w:rPr>
                <m:t>A</m:t>
              </m:r>
            </m:oMath>
            <w:r w:rsidRPr="00821999">
              <w:rPr>
                <w:rFonts w:ascii="Times New Roman" w:eastAsia="맑은 고딕" w:hAnsi="Times New Roman" w:cs="Times New Roman"/>
                <w:noProof/>
                <w:sz w:val="24"/>
                <w:szCs w:val="24"/>
              </w:rPr>
              <w:t xml:space="preserve"> is the amplitude, </w:t>
            </w:r>
            <m:oMath>
              <m:r>
                <w:rPr>
                  <w:rFonts w:ascii="Cambria Math" w:eastAsia="맑은 고딕" w:hAnsi="Cambria Math" w:cs="Times New Roman"/>
                  <w:noProof/>
                  <w:sz w:val="24"/>
                  <w:szCs w:val="24"/>
                </w:rPr>
                <m:t>B</m:t>
              </m:r>
            </m:oMath>
            <w:r w:rsidRPr="00821999">
              <w:rPr>
                <w:rFonts w:ascii="Times New Roman" w:eastAsia="맑은 고딕" w:hAnsi="Times New Roman" w:cs="Times New Roman"/>
                <w:noProof/>
                <w:sz w:val="24"/>
                <w:szCs w:val="24"/>
              </w:rPr>
              <w:t xml:space="preserve"> is the slopeof the curve, and </w:t>
            </w:r>
            <m:oMath>
              <m:r>
                <m:rPr>
                  <m:sty m:val="p"/>
                </m:rPr>
                <w:rPr>
                  <w:rFonts w:ascii="Cambria Math" w:eastAsia="맑은 고딕" w:hAnsi="Cambria Math" w:cs="Times New Roman"/>
                  <w:noProof/>
                  <w:sz w:val="24"/>
                  <w:szCs w:val="24"/>
                </w:rPr>
                <m:t>C</m:t>
              </m:r>
            </m:oMath>
            <w:r w:rsidRPr="00821999">
              <w:rPr>
                <w:rFonts w:ascii="Times New Roman" w:eastAsia="맑은 고딕" w:hAnsi="Times New Roman" w:cs="Times New Roman"/>
                <w:noProof/>
                <w:sz w:val="24"/>
                <w:szCs w:val="24"/>
              </w:rPr>
              <w:t xml:space="preserve"> is the offset of the curve</w:t>
            </w:r>
          </w:p>
        </w:tc>
      </w:tr>
    </w:tbl>
    <w:p w14:paraId="6FFD117F" w14:textId="77777777" w:rsidR="00C635FF" w:rsidRPr="00821999" w:rsidRDefault="00C635FF" w:rsidP="00C635FF">
      <w:pPr>
        <w:rPr>
          <w:rStyle w:val="Char2"/>
          <w:rFonts w:ascii="Times New Roman" w:hAnsi="Times New Roman" w:cs="Times New Roman"/>
          <w:b/>
        </w:rPr>
        <w:sectPr w:rsidR="00C635FF" w:rsidRPr="00821999" w:rsidSect="00821999">
          <w:footerReference w:type="default" r:id="rId8"/>
          <w:pgSz w:w="16838" w:h="11906" w:orient="landscape"/>
          <w:pgMar w:top="1440" w:right="1701" w:bottom="1440" w:left="1440" w:header="851" w:footer="992" w:gutter="0"/>
          <w:cols w:space="425"/>
          <w:docGrid w:linePitch="360"/>
        </w:sectPr>
      </w:pPr>
      <w:r w:rsidRPr="00821999">
        <w:rPr>
          <w:rFonts w:ascii="Times New Roman" w:eastAsia="맑은 고딕" w:hAnsi="Times New Roman" w:cs="Times New Roman"/>
          <w:color w:val="000000"/>
          <w:kern w:val="0"/>
          <w:sz w:val="24"/>
          <w:szCs w:val="24"/>
        </w:rPr>
        <w:t xml:space="preserve">GLSZM: gray-level size zone matrix; GLCM: gray-level co-occurrence matrix; NGTDM: Neighborhood gray tone difference matrix; </w:t>
      </w:r>
      <w:r w:rsidRPr="00821999">
        <w:rPr>
          <w:rFonts w:ascii="Times New Roman" w:eastAsia="맑은 고딕" w:hAnsi="Times New Roman" w:cs="Times New Roman"/>
          <w:bCs/>
          <w:color w:val="000000"/>
          <w:kern w:val="0"/>
          <w:sz w:val="24"/>
          <w:szCs w:val="24"/>
        </w:rPr>
        <w:t>LoG: Laplacian of Gaussian</w:t>
      </w:r>
    </w:p>
    <w:p w14:paraId="5A9522C1" w14:textId="77777777" w:rsidR="00C635FF" w:rsidRPr="00821999" w:rsidRDefault="00C635FF" w:rsidP="00C635FF">
      <w:pPr>
        <w:wordWrap/>
        <w:adjustRightInd w:val="0"/>
        <w:spacing w:line="360" w:lineRule="auto"/>
        <w:rPr>
          <w:rStyle w:val="Char2"/>
          <w:rFonts w:ascii="Times New Roman" w:hAnsi="Times New Roman" w:cs="Times New Roman"/>
          <w:b/>
          <w:sz w:val="24"/>
          <w:szCs w:val="24"/>
        </w:rPr>
      </w:pPr>
      <w:r w:rsidRPr="00821999">
        <w:rPr>
          <w:rStyle w:val="Char2"/>
          <w:rFonts w:ascii="Times New Roman" w:hAnsi="Times New Roman" w:cs="Times New Roman"/>
          <w:b/>
          <w:sz w:val="24"/>
          <w:szCs w:val="24"/>
        </w:rPr>
        <w:lastRenderedPageBreak/>
        <w:t>Supplementary Methods</w:t>
      </w:r>
    </w:p>
    <w:p w14:paraId="26633C6D" w14:textId="77777777" w:rsidR="00C635FF" w:rsidRPr="00821999" w:rsidRDefault="00C635FF" w:rsidP="00C635FF">
      <w:pPr>
        <w:wordWrap/>
        <w:adjustRightInd w:val="0"/>
        <w:spacing w:line="360" w:lineRule="auto"/>
        <w:rPr>
          <w:rStyle w:val="Char2"/>
          <w:rFonts w:ascii="Times New Roman" w:hAnsi="Times New Roman" w:cs="Times New Roman"/>
          <w:bCs/>
          <w:i/>
          <w:iCs/>
          <w:sz w:val="24"/>
          <w:szCs w:val="24"/>
        </w:rPr>
      </w:pPr>
      <w:r w:rsidRPr="00821999">
        <w:rPr>
          <w:rStyle w:val="Char2"/>
          <w:rFonts w:ascii="Times New Roman" w:hAnsi="Times New Roman" w:cs="Times New Roman"/>
          <w:bCs/>
          <w:i/>
          <w:iCs/>
          <w:sz w:val="24"/>
          <w:szCs w:val="24"/>
        </w:rPr>
        <w:t>Patients and imaging datasets</w:t>
      </w:r>
    </w:p>
    <w:p w14:paraId="4811F42B" w14:textId="77777777" w:rsidR="00C635FF" w:rsidRPr="00C635FF" w:rsidRDefault="00C635FF" w:rsidP="00C635FF">
      <w:pPr>
        <w:pStyle w:val="a5"/>
        <w:numPr>
          <w:ilvl w:val="0"/>
          <w:numId w:val="1"/>
        </w:numPr>
        <w:spacing w:line="480" w:lineRule="auto"/>
        <w:jc w:val="both"/>
        <w:rPr>
          <w:rFonts w:ascii="Times New Roman" w:eastAsiaTheme="minorHAnsi" w:hAnsi="Times New Roman" w:cs="Times New Roman"/>
          <w:b w:val="0"/>
          <w:bCs w:val="0"/>
          <w:sz w:val="24"/>
          <w:szCs w:val="24"/>
        </w:rPr>
      </w:pPr>
      <w:r w:rsidRPr="00C635FF">
        <w:rPr>
          <w:rFonts w:ascii="Times New Roman" w:eastAsiaTheme="minorHAnsi" w:hAnsi="Times New Roman" w:cs="Times New Roman"/>
          <w:b w:val="0"/>
          <w:bCs w:val="0"/>
          <w:sz w:val="24"/>
          <w:szCs w:val="24"/>
        </w:rPr>
        <w:t>Dataset 1 (training set, lung, computed tomography [CT])</w:t>
      </w:r>
    </w:p>
    <w:p w14:paraId="73D0F5E7" w14:textId="77777777" w:rsidR="00C635FF" w:rsidRPr="00C635FF" w:rsidRDefault="00C635FF" w:rsidP="00C635FF">
      <w:pPr>
        <w:pStyle w:val="a5"/>
        <w:wordWrap/>
        <w:adjustRightInd w:val="0"/>
        <w:spacing w:line="480" w:lineRule="auto"/>
        <w:ind w:left="400"/>
        <w:rPr>
          <w:rFonts w:ascii="Times New Roman" w:eastAsiaTheme="minorHAnsi" w:hAnsi="Times New Roman" w:cs="Times New Roman"/>
          <w:b w:val="0"/>
          <w:bCs w:val="0"/>
          <w:color w:val="000000" w:themeColor="text1"/>
          <w:sz w:val="24"/>
          <w:szCs w:val="24"/>
        </w:rPr>
      </w:pPr>
      <w:r w:rsidRPr="00C635FF">
        <w:rPr>
          <w:rFonts w:ascii="Times New Roman" w:eastAsiaTheme="minorHAnsi" w:hAnsi="Times New Roman" w:cs="Times New Roman"/>
          <w:b w:val="0"/>
          <w:bCs w:val="0"/>
          <w:sz w:val="24"/>
          <w:szCs w:val="24"/>
        </w:rPr>
        <w:t xml:space="preserve">This training dataset was an NSCLC dataset used by </w:t>
      </w:r>
      <w:proofErr w:type="spellStart"/>
      <w:r w:rsidRPr="00C635FF">
        <w:rPr>
          <w:rFonts w:ascii="Times New Roman" w:eastAsiaTheme="minorHAnsi" w:hAnsi="Times New Roman" w:cs="Times New Roman"/>
          <w:b w:val="0"/>
          <w:bCs w:val="0"/>
          <w:sz w:val="24"/>
          <w:szCs w:val="24"/>
        </w:rPr>
        <w:t>Aerts</w:t>
      </w:r>
      <w:proofErr w:type="spellEnd"/>
      <w:r w:rsidRPr="00C635FF">
        <w:rPr>
          <w:rFonts w:ascii="Times New Roman" w:eastAsiaTheme="minorHAnsi" w:hAnsi="Times New Roman" w:cs="Times New Roman"/>
          <w:b w:val="0"/>
          <w:bCs w:val="0"/>
          <w:sz w:val="24"/>
          <w:szCs w:val="24"/>
        </w:rPr>
        <w:t xml:space="preserve"> et al </w:t>
      </w:r>
      <w:r w:rsidRPr="00C635FF">
        <w:rPr>
          <w:rFonts w:ascii="Times New Roman" w:eastAsiaTheme="minorHAnsi" w:hAnsi="Times New Roman" w:cs="Times New Roman"/>
          <w:b w:val="0"/>
          <w:bCs w:val="0"/>
          <w:sz w:val="24"/>
          <w:szCs w:val="24"/>
        </w:rPr>
        <w:fldChar w:fldCharType="begin" w:fldLock="1"/>
      </w:r>
      <w:r w:rsidRPr="00C635FF">
        <w:rPr>
          <w:rFonts w:ascii="Times New Roman" w:eastAsiaTheme="minorHAnsi" w:hAnsi="Times New Roman" w:cs="Times New Roman"/>
          <w:b w:val="0"/>
          <w:bCs w:val="0"/>
          <w:sz w:val="24"/>
          <w:szCs w:val="24"/>
        </w:rPr>
        <w:instrText>ADDIN CSL_CITATION {"citationItems":[{"id":"ITEM-1","itemData":{"DOI":"10.1038/ncomms5006","ISBN":"2041-1723 (Electronic)\\r2041-1723 (Linking)","ISSN":"2041-1723","PMID":"24892406","abstract":"Human cancers exhibit strong phenotypic differences that can be visualized noninvasively by medical imaging. Radiomics refers to the comprehensive quantification of tumour phenotypes by applying a large number of quantitative image features. Here we present a radiomic analysis of 440 features quantifying tumour image intensity, shape and texture, which are extracted from computed tomography data of 1,019 patients with lung or head-and-neck cancer. We find that a large number of radiomic features have prognostic power in independent data sets of lung and head-and-neck cancer patients, many of which were not identified as significant before. Radiogenomics analysis reveals that a prognostic radiomic signature, capturing intratumour heterogeneity, is associated with underlying gene-expression patterns. These data suggest that radiomics identifies a general prognostic phenotype existing in both lung and head-and-neck cancer. This may have a clinical impact as imaging is routinely used in clinical practice, providing an unprecedented opportunity to improve decision-support in cancer treatment at low cost.","author":[{"dropping-particle":"","family":"Aerts","given":"Hugo J.W.L.","non-dropping-particle":"","parse-names":false,"suffix":""},{"dropping-particle":"","family":"Velazquez","given":"E R","non-dropping-particle":"","parse-names":false,"suffix":""},{"dropping-particle":"","family":"Leijenaar","given":"R T","non-dropping-particle":"","parse-names":false,"suffix":""},{"dropping-particle":"","family":"Parmar","given":"C","non-dropping-particle":"","parse-names":false,"suffix":""},{"dropping-particle":"","family":"Grossmann","given":"P","non-dropping-particle":"","parse-names":false,"suffix":""},{"dropping-particle":"","family":"Carvalho","given":"S","non-dropping-particle":"","parse-names":false,"suffix":""},{"dropping-particle":"","family":"Bussink","given":"J","non-dropping-particle":"","parse-names":false,"suffix":""},{"dropping-particle":"","family":"Monshouwer","given":"R","non-dropping-particle":"","parse-names":false,"suffix":""},{"dropping-particle":"","family":"Haibe-Kains","given":"B","non-dropping-particle":"","parse-names":false,"suffix":""},{"dropping-particle":"","family":"Rietveld","given":"D","non-dropping-particle":"","parse-names":false,"suffix":""},{"dropping-particle":"","family":"Hoebers","given":"F","non-dropping-particle":"","parse-names":false,"suffix":""},{"dropping-particle":"","family":"Rietbergen","given":"M M","non-dropping-particle":"","parse-names":false,"suffix":""},{"dropping-particle":"","family":"Leemans","given":"C R","non-dropping-particle":"","parse-names":false,"suffix":""},{"dropping-particle":"","family":"Dekker","given":"A","non-dropping-particle":"","parse-names":false,"suffix":""},{"dropping-particle":"","family":"Quackenbush","given":"J","non-dropping-particle":"","parse-names":false,"suffix":""},{"dropping-particle":"","family":"Gillies","given":"R J","non-dropping-particle":"","parse-names":false,"suffix":""},{"dropping-particle":"","family":"Lambin","given":"P","non-dropping-particle":"","parse-names":false,"suffix":""}],"container-title":"Nat Commun","id":"ITEM-1","issued":{"date-parts":[["2014"]]},"page":"4006","title":"Decoding tumour phenotype by noninvasive imaging using a quantitative radiomics approach","type":"article-journal","volume":"5"},"uris":["http://www.mendeley.com/documents/?uuid=91e78ca7-57e5-498b-a578-c000cffef616"]},{"id":"ITEM-2","itemData":{"DOI":"10.1007/s10278-013-9622-7","ISSN":"08971889","PMID":"23884657","abstract":"The National Institutes of Health have placed significant emphasis on sharing of research data to support secondary research. Investigators have been encouraged to publish their clinical and imaging data as part of fulfilling their grant obligations. Realizing it was not sufficient to merely ask investigators to publish their collection of imaging and clinical data, the National Cancer Institute (NCI) created the open source National Biomedical Image Archive software package as a mechanism for centralized hosting of cancer related imaging. NCI has contracted with Washington University in Saint Louis to create The Cancer Imaging Archive (TCIA) - an open-source, open-access information resource to support research, development, and educational initiatives utilizing advanced medical imaging of cancer. In its first year of operation, TCIA accumulated 23 collections (3.3 million images). Operating and maintaining a high-availability image archive is a complex challenge involving varied archive-specific resources and driven by the needs of both image submitters and image consumers. Quality archives of any type (traditional library, PubMed, refereed journals) require management and customer service. This paper describes the management tasks and user support model for TCIA. © 2013 Society for Imaging Informatics in Medicine.","author":[{"dropping-particle":"","family":"Clark","given":"Kenneth","non-dropping-particle":"","parse-names":false,"suffix":""},{"dropping-particle":"","family":"Vendt","given":"Bruce","non-dropping-particle":"","parse-names":false,"suffix":""},{"dropping-particle":"","family":"Smith","given":"Kirk","non-dropping-particle":"","parse-names":false,"suffix":""},{"dropping-particle":"","family":"Freymann","given":"John","non-dropping-particle":"","parse-names":false,"suffix":""},{"dropping-particle":"","family":"Kirby","given":"Justin","non-dropping-particle":"","parse-names":false,"suffix":""},{"dropping-particle":"","family":"Koppel","given":"Paul","non-dropping-particle":"","parse-names":false,"suffix":""},{"dropping-particle":"","family":"Moore","given":"Stephen","non-dropping-particle":"","parse-names":false,"suffix":""},{"dropping-particle":"","family":"Phillips","given":"Stanley","non-dropping-particle":"","parse-names":false,"suffix":""},{"dropping-particle":"","family":"Maffitt","given":"David","non-dropping-particle":"","parse-names":false,"suffix":""},{"dropping-particle":"","family":"Pringle","given":"Michael","non-dropping-particle":"","parse-names":false,"suffix":""},{"dropping-particle":"","family":"Tarbox","given":"Lawrence","non-dropping-particle":"","parse-names":false,"suffix":""},{"dropping-particle":"","family":"Prior","given":"Fred","non-dropping-particle":"","parse-names":false,"suffix":""}],"container-title":"Journal of Digital Imaging","id":"ITEM-2","issue":"6","issued":{"date-parts":[["2013"]]},"page":"1045-1057","title":"The cancer imaging archive (TCIA): Maintaining and operating a public information repository","type":"article-journal","volume":"26"},"uris":["http://www.mendeley.com/documents/?uuid=88ab72f4-2274-4ca0-9bd9-7989866e1ac9"]}],"mendeley":{"formattedCitation":"[2,9]","plainTextFormattedCitation":"[2,9]","previouslyFormattedCitation":"[2,9]"},"properties":{"noteIndex":0},"schema":"https://github.com/citation-style-language/schema/raw/master/csl-citation.json"}</w:instrText>
      </w:r>
      <w:r w:rsidRPr="00C635FF">
        <w:rPr>
          <w:rFonts w:ascii="Times New Roman" w:eastAsiaTheme="minorHAnsi" w:hAnsi="Times New Roman" w:cs="Times New Roman"/>
          <w:b w:val="0"/>
          <w:bCs w:val="0"/>
          <w:sz w:val="24"/>
          <w:szCs w:val="24"/>
        </w:rPr>
        <w:fldChar w:fldCharType="separate"/>
      </w:r>
      <w:r w:rsidRPr="00C635FF">
        <w:rPr>
          <w:rFonts w:ascii="Times New Roman" w:eastAsiaTheme="minorHAnsi" w:hAnsi="Times New Roman" w:cs="Times New Roman"/>
          <w:b w:val="0"/>
          <w:bCs w:val="0"/>
          <w:noProof/>
          <w:sz w:val="24"/>
          <w:szCs w:val="24"/>
        </w:rPr>
        <w:t>[2,9]</w:t>
      </w:r>
      <w:r w:rsidRPr="00C635FF">
        <w:rPr>
          <w:rFonts w:ascii="Times New Roman" w:eastAsiaTheme="minorHAnsi" w:hAnsi="Times New Roman" w:cs="Times New Roman"/>
          <w:b w:val="0"/>
          <w:bCs w:val="0"/>
          <w:sz w:val="24"/>
          <w:szCs w:val="24"/>
        </w:rPr>
        <w:fldChar w:fldCharType="end"/>
      </w:r>
      <w:r w:rsidRPr="00C635FF">
        <w:rPr>
          <w:rFonts w:ascii="Times New Roman" w:eastAsiaTheme="minorHAnsi" w:hAnsi="Times New Roman" w:cs="Times New Roman"/>
          <w:b w:val="0"/>
          <w:bCs w:val="0"/>
          <w:sz w:val="24"/>
          <w:szCs w:val="24"/>
        </w:rPr>
        <w:t xml:space="preserve">. We used CT images from the NSCLC radiomics data set obtained from The Cancer Imaging Archive (TCIA). The training set included 422 NSCLC patients </w:t>
      </w:r>
      <w:r w:rsidRPr="00C635FF">
        <w:rPr>
          <w:rStyle w:val="Char2"/>
          <w:rFonts w:ascii="Times New Roman" w:eastAsiaTheme="minorHAnsi" w:hAnsi="Times New Roman" w:cs="Times New Roman"/>
          <w:b w:val="0"/>
          <w:bCs w:val="0"/>
          <w:sz w:val="24"/>
          <w:szCs w:val="24"/>
          <w:lang w:val="en"/>
        </w:rPr>
        <w:t>(290 male and 132 female)</w:t>
      </w:r>
      <w:r w:rsidRPr="00C635FF">
        <w:rPr>
          <w:rFonts w:ascii="Times New Roman" w:eastAsiaTheme="minorHAnsi" w:hAnsi="Times New Roman" w:cs="Times New Roman"/>
          <w:b w:val="0"/>
          <w:bCs w:val="0"/>
          <w:sz w:val="24"/>
          <w:szCs w:val="24"/>
        </w:rPr>
        <w:t xml:space="preserve">. </w:t>
      </w:r>
      <w:r w:rsidRPr="00C635FF">
        <w:rPr>
          <w:rStyle w:val="Char2"/>
          <w:rFonts w:ascii="Times New Roman" w:eastAsiaTheme="minorHAnsi" w:hAnsi="Times New Roman" w:cs="Times New Roman"/>
          <w:b w:val="0"/>
          <w:bCs w:val="0"/>
          <w:sz w:val="24"/>
          <w:szCs w:val="24"/>
          <w:lang w:val="en"/>
        </w:rPr>
        <w:t>Of the total 422 CT images, we used 401 for the analysis. The 401 cases were further divided into adenocarcinoma (n=49), large cell (n=110), squamous cell carcinoma (n=144), not otherwise specified (n=58), and unknown (n=40) types. We excluded 21 images because some radiomics features were not computed in them. The mean age of the patients was 68.1 years, and they belonged to stage</w:t>
      </w:r>
      <w:r w:rsidRPr="00C635FF">
        <w:rPr>
          <w:rFonts w:ascii="Times New Roman" w:eastAsiaTheme="minorHAnsi" w:hAnsi="Times New Roman" w:cs="Times New Roman"/>
          <w:b w:val="0"/>
          <w:bCs w:val="0"/>
          <w:sz w:val="24"/>
          <w:szCs w:val="24"/>
        </w:rPr>
        <w:t>s I–</w:t>
      </w:r>
      <w:proofErr w:type="spellStart"/>
      <w:r w:rsidRPr="00C635FF">
        <w:rPr>
          <w:rFonts w:ascii="Times New Roman" w:eastAsiaTheme="minorHAnsi" w:hAnsi="Times New Roman" w:cs="Times New Roman"/>
          <w:b w:val="0"/>
          <w:bCs w:val="0"/>
          <w:sz w:val="24"/>
          <w:szCs w:val="24"/>
        </w:rPr>
        <w:t>IIIb</w:t>
      </w:r>
      <w:proofErr w:type="spellEnd"/>
      <w:r w:rsidRPr="00C635FF">
        <w:rPr>
          <w:rFonts w:ascii="Times New Roman" w:eastAsiaTheme="minorHAnsi" w:hAnsi="Times New Roman" w:cs="Times New Roman"/>
          <w:b w:val="0"/>
          <w:bCs w:val="0"/>
          <w:sz w:val="24"/>
          <w:szCs w:val="24"/>
        </w:rPr>
        <w:t xml:space="preserve">. All patients received an FDG PET-CT scan for radiotherapy treatment planning in a radiotherapy position on a dedicated PET-CT simulator with both arms above the head before treatment. CT scans were obtained using the Siemens Biograph scanner and </w:t>
      </w:r>
      <w:r w:rsidRPr="00C635FF">
        <w:rPr>
          <w:rFonts w:ascii="Times New Roman" w:hAnsi="Times New Roman" w:cs="Times New Roman"/>
          <w:b w:val="0"/>
          <w:bCs w:val="0"/>
          <w:sz w:val="24"/>
          <w:szCs w:val="24"/>
          <w:shd w:val="clear" w:color="auto" w:fill="FFFFFF"/>
        </w:rPr>
        <w:t>the CT scan was a spiral CT scan of the whole thorax with intravenous contrast.</w:t>
      </w:r>
      <w:r w:rsidRPr="00C635FF">
        <w:rPr>
          <w:rFonts w:ascii="Times New Roman" w:eastAsiaTheme="minorHAnsi" w:hAnsi="Times New Roman" w:cs="Times New Roman"/>
          <w:b w:val="0"/>
          <w:bCs w:val="0"/>
          <w:sz w:val="24"/>
          <w:szCs w:val="24"/>
        </w:rPr>
        <w:t xml:space="preserve"> The </w:t>
      </w:r>
      <w:r w:rsidRPr="00C635FF">
        <w:rPr>
          <w:rFonts w:ascii="Times New Roman" w:eastAsiaTheme="minorHAnsi" w:hAnsi="Times New Roman" w:cs="Times New Roman"/>
          <w:b w:val="0"/>
          <w:bCs w:val="0"/>
          <w:color w:val="000000" w:themeColor="text1"/>
          <w:sz w:val="24"/>
          <w:szCs w:val="24"/>
        </w:rPr>
        <w:t xml:space="preserve">CT image parameters of the training set were as follows: tube voltage, 120-140 kV; tube current-exposure time product, 40-1200 </w:t>
      </w:r>
      <w:proofErr w:type="spellStart"/>
      <w:r w:rsidRPr="00C635FF">
        <w:rPr>
          <w:rFonts w:ascii="Times New Roman" w:eastAsiaTheme="minorHAnsi" w:hAnsi="Times New Roman" w:cs="Times New Roman"/>
          <w:b w:val="0"/>
          <w:bCs w:val="0"/>
          <w:color w:val="000000" w:themeColor="text1"/>
          <w:sz w:val="24"/>
          <w:szCs w:val="24"/>
        </w:rPr>
        <w:t>mAs</w:t>
      </w:r>
      <w:proofErr w:type="spellEnd"/>
      <w:r w:rsidRPr="00C635FF">
        <w:rPr>
          <w:rFonts w:ascii="Times New Roman" w:eastAsiaTheme="minorHAnsi" w:hAnsi="Times New Roman" w:cs="Times New Roman"/>
          <w:b w:val="0"/>
          <w:bCs w:val="0"/>
          <w:color w:val="000000" w:themeColor="text1"/>
          <w:sz w:val="24"/>
          <w:szCs w:val="24"/>
        </w:rPr>
        <w:t>;</w:t>
      </w:r>
      <w:r w:rsidRPr="00C635FF">
        <w:rPr>
          <w:rFonts w:ascii="Times New Roman" w:eastAsiaTheme="minorHAnsi" w:hAnsi="Times New Roman" w:cs="Times New Roman"/>
          <w:b w:val="0"/>
          <w:bCs w:val="0"/>
          <w:color w:val="000000" w:themeColor="text1"/>
          <w:sz w:val="24"/>
          <w:szCs w:val="24"/>
        </w:rPr>
        <w:fldChar w:fldCharType="begin" w:fldLock="1"/>
      </w:r>
      <w:r w:rsidRPr="00C635FF">
        <w:rPr>
          <w:rFonts w:ascii="Times New Roman" w:eastAsiaTheme="minorHAnsi" w:hAnsi="Times New Roman" w:cs="Times New Roman"/>
          <w:b w:val="0"/>
          <w:bCs w:val="0"/>
          <w:color w:val="000000" w:themeColor="text1"/>
          <w:sz w:val="24"/>
          <w:szCs w:val="24"/>
        </w:rPr>
        <w:instrText>ADDIN CSL_CITATION {"citationItems":[{"id":"ITEM-1","itemData":{"DOI":"10.1016/j.radonc.2018.10.027","ISSN":"18790887","PMID":"30416044","abstract":"Purpose: Refinement of radiomic results and methodologies is required to ensure progression of the field. In this work, we establish a set of safeguards designed to improve and support current radiomic methodologies through detailed analysis of a radiomic signature. Methods: A radiomic model (MW2018) was fitted and externally validated using features extracted from previously reported lung and head and neck (H&amp;N) cancer datasets using gross-tumour-volume contours, as well as from images with randomly permuted voxel index values; i.e. images without meaningful texture. To determine MW2018's added benefit, the prognostic accuracy of tumour volume alone was calculated as a baseline. Results: MW2018 had an external validation concordance index (c-index) of 0.64. However, a similar performance was achieved using features extracted from images with randomized signal intensities (c-index = 0.64 and 0.60 for H&amp;N and lung, respectively). Tumour volume had a c-index = 0.64 and correlated strongly with three of the four model features. It was determined that the signature was a surrogate for tumour volume and that intensity and texture values were not pertinent for prognostication. Conclusion: Our experiments reveal vulnerabilities in radiomic signature development processes and suggest safeguards that can be used to refine methodologies, and ensure productive radiomic development using objective and independent features.","author":[{"dropping-particle":"","family":"Welch","given":"Mattea L","non-dropping-particle":"","parse-names":false,"suffix":""},{"dropping-particle":"","family":"McIntosh","given":"Chris","non-dropping-particle":"","parse-names":false,"suffix":""},{"dropping-particle":"","family":"Haibe-Kains","given":"Benjamin","non-dropping-particle":"","parse-names":false,"suffix":""},{"dropping-particle":"","family":"Milosevic","given":"Michael F","non-dropping-particle":"","parse-names":false,"suffix":""},{"dropping-particle":"","family":"Wee","given":"Leonard","non-dropping-particle":"","parse-names":false,"suffix":""},{"dropping-particle":"","family":"Dekker","given":"Andre","non-dropping-particle":"","parse-names":false,"suffix":""},{"dropping-particle":"","family":"Huang","given":"Shao Hui","non-dropping-particle":"","parse-names":false,"suffix":""},{"dropping-particle":"","family":"Purdie","given":"Thomas G","non-dropping-particle":"","parse-names":false,"suffix":""},{"dropping-particle":"","family":"O'Sullivan","given":"Brian","non-dropping-particle":"","parse-names":false,"suffix":""},{"dropping-particle":"","family":"Aerts","given":"Hugo J.W.L.","non-dropping-particle":"","parse-names":false,"suffix":""},{"dropping-particle":"","family":"Jaffray","given":"David A","non-dropping-particle":"","parse-names":false,"suffix":""}],"container-title":"Radiotherapy and Oncology","id":"ITEM-1","issued":{"date-parts":[["2019"]]},"page":"2-9","publisher":"The Author(s)","title":"Vulnerabilities of radiomic signature development: The need for safeguards","type":"article-journal","volume":"130"},"uris":["http://www.mendeley.com/documents/?uuid=232693c4-262b-48db-96f3-972945a843f8"]}],"mendeley":{"formattedCitation":"[10]","plainTextFormattedCitation":"[10]","previouslyFormattedCitation":"[10]"},"properties":{"noteIndex":0},"schema":"https://github.com/citation-style-language/schema/raw/master/csl-citation.json"}</w:instrText>
      </w:r>
      <w:r w:rsidRPr="00C635FF">
        <w:rPr>
          <w:rFonts w:ascii="Times New Roman" w:eastAsiaTheme="minorHAnsi" w:hAnsi="Times New Roman" w:cs="Times New Roman"/>
          <w:b w:val="0"/>
          <w:bCs w:val="0"/>
          <w:color w:val="000000" w:themeColor="text1"/>
          <w:sz w:val="24"/>
          <w:szCs w:val="24"/>
        </w:rPr>
        <w:fldChar w:fldCharType="separate"/>
      </w:r>
      <w:r w:rsidRPr="00C635FF">
        <w:rPr>
          <w:rFonts w:ascii="Times New Roman" w:eastAsiaTheme="minorHAnsi" w:hAnsi="Times New Roman" w:cs="Times New Roman"/>
          <w:b w:val="0"/>
          <w:bCs w:val="0"/>
          <w:noProof/>
          <w:color w:val="000000" w:themeColor="text1"/>
          <w:sz w:val="24"/>
          <w:szCs w:val="24"/>
        </w:rPr>
        <w:t>[10]</w:t>
      </w:r>
      <w:r w:rsidRPr="00C635FF">
        <w:rPr>
          <w:rFonts w:ascii="Times New Roman" w:eastAsiaTheme="minorHAnsi" w:hAnsi="Times New Roman" w:cs="Times New Roman"/>
          <w:b w:val="0"/>
          <w:bCs w:val="0"/>
          <w:color w:val="000000" w:themeColor="text1"/>
          <w:sz w:val="24"/>
          <w:szCs w:val="24"/>
        </w:rPr>
        <w:fldChar w:fldCharType="end"/>
      </w:r>
      <w:r w:rsidRPr="00C635FF">
        <w:rPr>
          <w:rFonts w:ascii="Times New Roman" w:eastAsiaTheme="minorHAnsi" w:hAnsi="Times New Roman" w:cs="Times New Roman"/>
          <w:b w:val="0"/>
          <w:bCs w:val="0"/>
          <w:color w:val="000000" w:themeColor="text1"/>
          <w:sz w:val="24"/>
          <w:szCs w:val="24"/>
        </w:rPr>
        <w:t xml:space="preserve"> mean in-plane resolution, 0.976 ± 0.016 mm (range, 0.721–0.977 mm); and mean slice thickness, 3.022 ± 0.256 mm. The values following the mean are standard deviation (SD) values.</w:t>
      </w:r>
    </w:p>
    <w:p w14:paraId="3276886B" w14:textId="77777777" w:rsidR="00C635FF" w:rsidRPr="00C635FF" w:rsidRDefault="00C635FF" w:rsidP="00C635FF">
      <w:pPr>
        <w:pStyle w:val="a5"/>
        <w:numPr>
          <w:ilvl w:val="0"/>
          <w:numId w:val="1"/>
        </w:numPr>
        <w:spacing w:line="480" w:lineRule="auto"/>
        <w:jc w:val="both"/>
        <w:rPr>
          <w:rFonts w:ascii="Times New Roman" w:eastAsiaTheme="minorHAnsi" w:hAnsi="Times New Roman" w:cs="Times New Roman"/>
          <w:b w:val="0"/>
          <w:bCs w:val="0"/>
          <w:sz w:val="24"/>
          <w:szCs w:val="24"/>
        </w:rPr>
      </w:pPr>
      <w:r w:rsidRPr="00C635FF">
        <w:rPr>
          <w:rFonts w:ascii="Times New Roman" w:eastAsiaTheme="minorHAnsi" w:hAnsi="Times New Roman" w:cs="Times New Roman"/>
          <w:b w:val="0"/>
          <w:bCs w:val="0"/>
          <w:sz w:val="24"/>
          <w:szCs w:val="24"/>
        </w:rPr>
        <w:t>Dataset 2 (test set1, lung, CT)</w:t>
      </w:r>
    </w:p>
    <w:p w14:paraId="085C411F" w14:textId="77777777" w:rsidR="00C635FF" w:rsidRPr="00C635FF" w:rsidRDefault="00C635FF" w:rsidP="00C635FF">
      <w:pPr>
        <w:pStyle w:val="a5"/>
        <w:spacing w:line="480" w:lineRule="auto"/>
        <w:ind w:left="400"/>
        <w:rPr>
          <w:rFonts w:ascii="Times New Roman" w:eastAsiaTheme="minorHAnsi" w:hAnsi="Times New Roman" w:cs="Times New Roman"/>
          <w:b w:val="0"/>
          <w:bCs w:val="0"/>
          <w:sz w:val="24"/>
          <w:szCs w:val="24"/>
        </w:rPr>
      </w:pPr>
      <w:r w:rsidRPr="00C635FF">
        <w:rPr>
          <w:rStyle w:val="Char2"/>
          <w:rFonts w:ascii="Times New Roman" w:eastAsiaTheme="minorHAnsi" w:hAnsi="Times New Roman" w:cs="Times New Roman"/>
          <w:b w:val="0"/>
          <w:bCs w:val="0"/>
          <w:sz w:val="24"/>
          <w:szCs w:val="24"/>
          <w:lang w:val="en"/>
        </w:rPr>
        <w:t xml:space="preserve">The first test dataset was the TCIA lung CT diagnosis dataset provided by the H. Lee Moffitt Cancer Center </w:t>
      </w:r>
      <w:r w:rsidRPr="00C635FF">
        <w:rPr>
          <w:rStyle w:val="Char2"/>
          <w:rFonts w:ascii="Times New Roman" w:eastAsiaTheme="minorHAnsi" w:hAnsi="Times New Roman" w:cs="Times New Roman"/>
          <w:b w:val="0"/>
          <w:bCs w:val="0"/>
          <w:sz w:val="24"/>
          <w:szCs w:val="24"/>
          <w:lang w:val="en"/>
        </w:rPr>
        <w:fldChar w:fldCharType="begin" w:fldLock="1"/>
      </w:r>
      <w:r w:rsidRPr="00C635FF">
        <w:rPr>
          <w:rStyle w:val="Char2"/>
          <w:rFonts w:ascii="Times New Roman" w:eastAsiaTheme="minorHAnsi" w:hAnsi="Times New Roman" w:cs="Times New Roman"/>
          <w:b w:val="0"/>
          <w:bCs w:val="0"/>
          <w:sz w:val="24"/>
          <w:szCs w:val="24"/>
          <w:lang w:val="en"/>
        </w:rPr>
        <w:instrText>ADDIN CSL_CITATION {"citationItems":[{"id":"ITEM-1","itemData":{"DOI":"10.1371/journal.pone.0118261","ISBN":"10.1371/journal.pone.0118261","ISSN":"19326203","PMID":"25739030","abstract":"Two CT features were developed to quantitatively describe lung adenocarcinomas by scoring tumor shape complexity (feature 1: convexity) and intratumor density variation (feature 2: entropy ratio) in routinely obtained diagnostic CT scans. The developed quantitative features were analyzed in two independent cohorts (cohort 1: n = 61; cohort 2: n = 47) of patients diagnosed with primary lung adenocarcinoma, retrospectively curated to include imaging and clinical data. Preoperative chest CTs were segmented semi-automatically. Segmented tumor regions were further subdivided into core and boundary sub-regions, to quantify intensity variations across the tumor. Reproducibility of the features was evaluated in an independent test-retest dataset of 32 patients. The proposed metrics showed high degree of reproducibility in a repeated experiment (concordance, CCC≥0.897; dynamic range, DR≥0.92). Association with overall survival was evaluated by Cox proportional hazard regression, Kaplan-Meier survival curves, and the log-rank test. Both features were associated with overall survival (convexity: p = 0.008; entropy ratio: p = 0.04) in Cohort 1 but not in Cohort 2 (convexity: p = 0.7; entropy ratio: p = 0.8). In both cohorts, these features were found to be descriptive and demonstrated the link between imaging characteristics and patient survival in lung adenocarcinoma.","author":[{"dropping-particle":"","family":"Grove","given":"Olya","non-dropping-particle":"","parse-names":false,"suffix":""},{"dropping-particle":"","family":"Berglund","given":"Anders E.","non-dropping-particle":"","parse-names":false,"suffix":""},{"dropping-particle":"","family":"Schabath","given":"Matthew B.","non-dropping-particle":"","parse-names":false,"suffix":""},{"dropping-particle":"","family":"Aerts","given":"Hugo J.W.L.","non-dropping-particle":"","parse-names":false,"suffix":""},{"dropping-particle":"","family":"Dekker","given":"Andre","non-dropping-particle":"","parse-names":false,"suffix":""},{"dropping-particle":"","family":"Wang","given":"Hua","non-dropping-particle":"","parse-names":false,"suffix":""},{"dropping-particle":"","family":"Rios Velazquez","given":"Emmanuel","non-dropping-particle":"","parse-names":false,"suffix":""},{"dropping-particle":"","family":"Lambin","given":"Philippe","non-dropping-particle":"","parse-names":false,"suffix":""},{"dropping-particle":"","family":"Gu","given":"Yuhua","non-dropping-particle":"","parse-names":false,"suffix":""},{"dropping-particle":"","family":"Balagurunathan","given":"Yoganand","non-dropping-particle":"","parse-names":false,"suffix":""},{"dropping-particle":"","family":"Eikman","given":"Edward","non-dropping-particle":"","parse-names":false,"suffix":""},{"dropping-particle":"","family":"Gatenby","given":"Robert A.","non-dropping-particle":"","parse-names":false,"suffix":""},{"dropping-particle":"","family":"Eschrich","given":"Steven","non-dropping-particle":"","parse-names":false,"suffix":""},{"dropping-particle":"","family":"Gillies","given":"Robert J.","non-dropping-particle":"","parse-names":false,"suffix":""}],"container-title":"PLoS ONE","id":"ITEM-1","issue":"3","issued":{"date-parts":[["2015"]]},"page":"1-14","title":"Quantitative computed tomographic descriptors associate tumor shape complexity and intratumor heterogeneity with prognosis in lung adenocarcinoma","type":"article-journal","volume":"10"},"uris":["http://www.mendeley.com/documents/?uuid=10783941-a07f-4687-bc60-ca810b66f7b9"]},{"id":"ITEM-2","itemData":{"DOI":"10.1007/s10278-013-9622-7","ISSN":"08971889","PMID":"23884657","abstract":"The National Institutes of Health have placed significant emphasis on sharing of research data to support secondary research. Investigators have been encouraged to publish their clinical and imaging data as part of fulfilling their grant obligations. Realizing it was not sufficient to merely ask investigators to publish their collection of imaging and clinical data, the National Cancer Institute (NCI) created the open source National Biomedical Image Archive software package as a mechanism for centralized hosting of cancer related imaging. NCI has contracted with Washington University in Saint Louis to create The Cancer Imaging Archive (TCIA) - an open-source, open-access information resource to support research, development, and educational initiatives utilizing advanced medical imaging of cancer. In its first year of operation, TCIA accumulated 23 collections (3.3 million images). Operating and maintaining a high-availability image archive is a complex challenge involving varied archive-specific resources and driven by the needs of both image submitters and image consumers. Quality archives of any type (traditional library, PubMed, refereed journals) require management and customer service. This paper describes the management tasks and user support model for TCIA. © 2013 Society for Imaging Informatics in Medicine.","author":[{"dropping-particle":"","family":"Clark","given":"Kenneth","non-dropping-particle":"","parse-names":false,"suffix":""},{"dropping-particle":"","family":"Vendt","given":"Bruce","non-dropping-particle":"","parse-names":false,"suffix":""},{"dropping-particle":"","family":"Smith","given":"Kirk","non-dropping-particle":"","parse-names":false,"suffix":""},{"dropping-particle":"","family":"Freymann","given":"John","non-dropping-particle":"","parse-names":false,"suffix":""},{"dropping-particle":"","family":"Kirby","given":"Justin","non-dropping-particle":"","parse-names":false,"suffix":""},{"dropping-particle":"","family":"Koppel","given":"Paul","non-dropping-particle":"","parse-names":false,"suffix":""},{"dropping-particle":"","family":"Moore","given":"Stephen","non-dropping-particle":"","parse-names":false,"suffix":""},{"dropping-particle":"","family":"Phillips","given":"Stanley","non-dropping-particle":"","parse-names":false,"suffix":""},{"dropping-particle":"","family":"Maffitt","given":"David","non-dropping-particle":"","parse-names":false,"suffix":""},{"dropping-particle":"","family":"Pringle","given":"Michael","non-dropping-particle":"","parse-names":false,"suffix":""},{"dropping-particle":"","family":"Tarbox","given":"Lawrence","non-dropping-particle":"","parse-names":false,"suffix":""},{"dropping-particle":"","family":"Prior","given":"Fred","non-dropping-particle":"","parse-names":false,"suffix":""}],"container-title":"Journal of Digital Imaging","id":"ITEM-2","issue":"6","issued":{"date-parts":[["2013"]]},"page":"1045-1057","title":"The cancer imaging archive (TCIA): Maintaining and operating a public information repository","type":"article-journal","volume":"26"},"uris":["http://www.mendeley.com/documents/?uuid=88ab72f4-2274-4ca0-9bd9-7989866e1ac9"]}],"mendeley":{"formattedCitation":"[9,11]","plainTextFormattedCitation":"[9,11]","previouslyFormattedCitation":"[9,11]"},"properties":{"noteIndex":0},"schema":"https://github.com/citation-style-language/schema/raw/master/csl-citation.json"}</w:instrText>
      </w:r>
      <w:r w:rsidRPr="00C635FF">
        <w:rPr>
          <w:rStyle w:val="Char2"/>
          <w:rFonts w:ascii="Times New Roman" w:eastAsiaTheme="minorHAnsi" w:hAnsi="Times New Roman" w:cs="Times New Roman"/>
          <w:b w:val="0"/>
          <w:bCs w:val="0"/>
          <w:sz w:val="24"/>
          <w:szCs w:val="24"/>
          <w:lang w:val="en"/>
        </w:rPr>
        <w:fldChar w:fldCharType="separate"/>
      </w:r>
      <w:r w:rsidRPr="00C635FF">
        <w:rPr>
          <w:rStyle w:val="Char2"/>
          <w:rFonts w:ascii="Times New Roman" w:eastAsiaTheme="minorHAnsi" w:hAnsi="Times New Roman" w:cs="Times New Roman"/>
          <w:b w:val="0"/>
          <w:bCs w:val="0"/>
          <w:noProof/>
          <w:sz w:val="24"/>
          <w:szCs w:val="24"/>
          <w:lang w:val="en"/>
        </w:rPr>
        <w:t>[9,11]</w:t>
      </w:r>
      <w:r w:rsidRPr="00C635FF">
        <w:rPr>
          <w:rStyle w:val="Char2"/>
          <w:rFonts w:ascii="Times New Roman" w:eastAsiaTheme="minorHAnsi" w:hAnsi="Times New Roman" w:cs="Times New Roman"/>
          <w:b w:val="0"/>
          <w:bCs w:val="0"/>
          <w:sz w:val="24"/>
          <w:szCs w:val="24"/>
          <w:lang w:val="en"/>
        </w:rPr>
        <w:fldChar w:fldCharType="end"/>
      </w:r>
      <w:r w:rsidRPr="00C635FF">
        <w:rPr>
          <w:rStyle w:val="Char2"/>
          <w:rFonts w:ascii="Times New Roman" w:eastAsiaTheme="minorHAnsi" w:hAnsi="Times New Roman" w:cs="Times New Roman"/>
          <w:b w:val="0"/>
          <w:bCs w:val="0"/>
          <w:sz w:val="24"/>
          <w:szCs w:val="24"/>
          <w:lang w:val="en"/>
        </w:rPr>
        <w:t xml:space="preserve">. There were 61 patients with lung cancer </w:t>
      </w:r>
      <w:r w:rsidRPr="00C635FF">
        <w:rPr>
          <w:rFonts w:ascii="Times New Roman" w:eastAsiaTheme="minorHAnsi" w:hAnsi="Times New Roman" w:cs="Times New Roman"/>
          <w:b w:val="0"/>
          <w:bCs w:val="0"/>
          <w:sz w:val="24"/>
          <w:szCs w:val="24"/>
        </w:rPr>
        <w:t xml:space="preserve">(31 </w:t>
      </w:r>
      <w:r w:rsidRPr="00C635FF">
        <w:rPr>
          <w:rStyle w:val="Char2"/>
          <w:rFonts w:ascii="Times New Roman" w:eastAsiaTheme="minorHAnsi" w:hAnsi="Times New Roman" w:cs="Times New Roman"/>
          <w:b w:val="0"/>
          <w:bCs w:val="0"/>
          <w:sz w:val="24"/>
          <w:szCs w:val="24"/>
          <w:lang w:val="en"/>
        </w:rPr>
        <w:t xml:space="preserve">males </w:t>
      </w:r>
      <w:r w:rsidRPr="00C635FF">
        <w:rPr>
          <w:rFonts w:ascii="Times New Roman" w:eastAsiaTheme="minorHAnsi" w:hAnsi="Times New Roman" w:cs="Times New Roman"/>
          <w:b w:val="0"/>
          <w:bCs w:val="0"/>
          <w:sz w:val="24"/>
          <w:szCs w:val="24"/>
        </w:rPr>
        <w:t xml:space="preserve">and 30 </w:t>
      </w:r>
      <w:r w:rsidRPr="00C635FF">
        <w:rPr>
          <w:rStyle w:val="Char2"/>
          <w:rFonts w:ascii="Times New Roman" w:eastAsiaTheme="minorHAnsi" w:hAnsi="Times New Roman" w:cs="Times New Roman"/>
          <w:b w:val="0"/>
          <w:bCs w:val="0"/>
          <w:sz w:val="24"/>
          <w:szCs w:val="24"/>
          <w:lang w:val="en"/>
        </w:rPr>
        <w:t>females; 41 patients of age ≥ 65 years</w:t>
      </w:r>
      <w:r w:rsidRPr="00C635FF">
        <w:rPr>
          <w:rFonts w:ascii="Times New Roman" w:eastAsiaTheme="minorHAnsi" w:hAnsi="Times New Roman" w:cs="Times New Roman"/>
          <w:b w:val="0"/>
          <w:bCs w:val="0"/>
          <w:sz w:val="24"/>
          <w:szCs w:val="24"/>
        </w:rPr>
        <w:t xml:space="preserve">). </w:t>
      </w:r>
      <w:r w:rsidRPr="00C635FF">
        <w:rPr>
          <w:rStyle w:val="Char2"/>
          <w:rFonts w:ascii="Times New Roman" w:eastAsiaTheme="minorHAnsi" w:hAnsi="Times New Roman" w:cs="Times New Roman"/>
          <w:b w:val="0"/>
          <w:bCs w:val="0"/>
          <w:sz w:val="24"/>
          <w:szCs w:val="24"/>
          <w:lang w:val="en"/>
        </w:rPr>
        <w:t>All patients in test set1 were diagnosed with adeno</w:t>
      </w:r>
      <w:r w:rsidRPr="00C635FF">
        <w:rPr>
          <w:rFonts w:ascii="Times New Roman" w:eastAsiaTheme="minorHAnsi" w:hAnsi="Times New Roman" w:cs="Times New Roman"/>
          <w:b w:val="0"/>
          <w:bCs w:val="0"/>
          <w:sz w:val="24"/>
          <w:szCs w:val="24"/>
        </w:rPr>
        <w:t xml:space="preserve">carcinoma of </w:t>
      </w:r>
      <w:r w:rsidRPr="00C635FF">
        <w:rPr>
          <w:rStyle w:val="Char2"/>
          <w:rFonts w:ascii="Times New Roman" w:eastAsiaTheme="minorHAnsi" w:hAnsi="Times New Roman" w:cs="Times New Roman"/>
          <w:b w:val="0"/>
          <w:bCs w:val="0"/>
          <w:sz w:val="24"/>
          <w:szCs w:val="24"/>
          <w:lang w:val="en"/>
        </w:rPr>
        <w:t xml:space="preserve">stages </w:t>
      </w:r>
      <w:r w:rsidRPr="00C635FF">
        <w:rPr>
          <w:rFonts w:ascii="Times New Roman" w:eastAsiaTheme="minorHAnsi" w:hAnsi="Times New Roman" w:cs="Times New Roman"/>
          <w:b w:val="0"/>
          <w:bCs w:val="0"/>
          <w:sz w:val="24"/>
          <w:szCs w:val="24"/>
        </w:rPr>
        <w:t>I–IV</w:t>
      </w:r>
      <w:r w:rsidRPr="00C635FF">
        <w:rPr>
          <w:rStyle w:val="Char2"/>
          <w:rFonts w:ascii="Times New Roman" w:eastAsiaTheme="minorHAnsi" w:hAnsi="Times New Roman" w:cs="Times New Roman"/>
          <w:b w:val="0"/>
          <w:bCs w:val="0"/>
          <w:sz w:val="24"/>
          <w:szCs w:val="24"/>
        </w:rPr>
        <w:t xml:space="preserve"> and </w:t>
      </w:r>
      <w:r w:rsidRPr="00C635FF">
        <w:rPr>
          <w:rStyle w:val="Char2"/>
          <w:rFonts w:ascii="Times New Roman" w:eastAsiaTheme="minorHAnsi" w:hAnsi="Times New Roman" w:cs="Times New Roman"/>
          <w:b w:val="0"/>
          <w:bCs w:val="0"/>
          <w:sz w:val="24"/>
          <w:szCs w:val="24"/>
          <w:lang w:val="en"/>
        </w:rPr>
        <w:t xml:space="preserve">underwent surgical resection and had corresponding </w:t>
      </w:r>
      <w:r w:rsidRPr="00C635FF">
        <w:rPr>
          <w:rStyle w:val="Char2"/>
          <w:rFonts w:ascii="Times New Roman" w:eastAsiaTheme="minorHAnsi" w:hAnsi="Times New Roman" w:cs="Times New Roman"/>
          <w:b w:val="0"/>
          <w:bCs w:val="0"/>
          <w:sz w:val="24"/>
          <w:szCs w:val="24"/>
          <w:lang w:val="en"/>
        </w:rPr>
        <w:lastRenderedPageBreak/>
        <w:t xml:space="preserve">pre-surgery diagnostic CTs obtained within 60 days of the diagnosis. Two patients were excluded because some of their radiomics features were not computed, and therefore, contrast-enhanced CT images of 59 patients were used for the analysis. The CT image parameters of the test set 1 were as follows: tube voltage, 120-140 kV; mean </w:t>
      </w:r>
      <w:r w:rsidRPr="00C635FF">
        <w:rPr>
          <w:rFonts w:ascii="Times New Roman" w:eastAsiaTheme="minorHAnsi" w:hAnsi="Times New Roman" w:cs="Times New Roman"/>
          <w:b w:val="0"/>
          <w:bCs w:val="0"/>
          <w:color w:val="000000" w:themeColor="text1"/>
          <w:sz w:val="24"/>
          <w:szCs w:val="24"/>
        </w:rPr>
        <w:t>in-plane resolution 0.736 ± 0.09 mm (range, 0.586–0.953 mm); and average slice thickness, 4.443 ± 0.794 mm.</w:t>
      </w:r>
    </w:p>
    <w:p w14:paraId="563B0A57" w14:textId="77777777" w:rsidR="00C635FF" w:rsidRPr="00C635FF" w:rsidRDefault="00C635FF" w:rsidP="00C635FF">
      <w:pPr>
        <w:pStyle w:val="a5"/>
        <w:numPr>
          <w:ilvl w:val="0"/>
          <w:numId w:val="1"/>
        </w:numPr>
        <w:spacing w:line="480" w:lineRule="auto"/>
        <w:jc w:val="both"/>
        <w:rPr>
          <w:rFonts w:ascii="Times New Roman" w:eastAsiaTheme="minorHAnsi" w:hAnsi="Times New Roman" w:cs="Times New Roman"/>
          <w:b w:val="0"/>
          <w:bCs w:val="0"/>
          <w:sz w:val="24"/>
          <w:szCs w:val="24"/>
        </w:rPr>
      </w:pPr>
      <w:r w:rsidRPr="00C635FF">
        <w:rPr>
          <w:rFonts w:ascii="Times New Roman" w:eastAsiaTheme="minorHAnsi" w:hAnsi="Times New Roman" w:cs="Times New Roman"/>
          <w:b w:val="0"/>
          <w:bCs w:val="0"/>
          <w:sz w:val="24"/>
          <w:szCs w:val="24"/>
        </w:rPr>
        <w:t xml:space="preserve">Dataset 3 (test set2, kidney, CT) </w:t>
      </w:r>
    </w:p>
    <w:p w14:paraId="3208A1C5" w14:textId="77777777" w:rsidR="00C635FF" w:rsidRPr="00C635FF" w:rsidRDefault="00C635FF" w:rsidP="00C635FF">
      <w:pPr>
        <w:pStyle w:val="a5"/>
        <w:spacing w:line="480" w:lineRule="auto"/>
        <w:ind w:left="400"/>
        <w:rPr>
          <w:rFonts w:ascii="Times New Roman" w:eastAsiaTheme="minorHAnsi" w:hAnsi="Times New Roman" w:cs="Times New Roman"/>
          <w:b w:val="0"/>
          <w:bCs w:val="0"/>
          <w:sz w:val="24"/>
          <w:szCs w:val="24"/>
        </w:rPr>
      </w:pPr>
      <w:r w:rsidRPr="00C635FF">
        <w:rPr>
          <w:rFonts w:ascii="Times New Roman" w:eastAsiaTheme="minorHAnsi" w:hAnsi="Times New Roman" w:cs="Times New Roman"/>
          <w:b w:val="0"/>
          <w:bCs w:val="0"/>
          <w:kern w:val="0"/>
          <w:sz w:val="24"/>
          <w:szCs w:val="24"/>
          <w:lang w:val="en"/>
        </w:rPr>
        <w:t xml:space="preserve">The second test set was The Cancer Genome Atlas Kidney Renal Clear Cell Carcinoma (TCGA-KIRC) dataset </w:t>
      </w:r>
      <w:r w:rsidRPr="00C635FF">
        <w:rPr>
          <w:rFonts w:ascii="Times New Roman" w:eastAsiaTheme="minorHAnsi" w:hAnsi="Times New Roman" w:cs="Times New Roman"/>
          <w:b w:val="0"/>
          <w:bCs w:val="0"/>
          <w:kern w:val="0"/>
          <w:sz w:val="24"/>
          <w:szCs w:val="24"/>
          <w:lang w:val="en"/>
        </w:rPr>
        <w:fldChar w:fldCharType="begin" w:fldLock="1"/>
      </w:r>
      <w:r w:rsidRPr="00C635FF">
        <w:rPr>
          <w:rFonts w:ascii="Times New Roman" w:eastAsiaTheme="minorHAnsi" w:hAnsi="Times New Roman" w:cs="Times New Roman"/>
          <w:b w:val="0"/>
          <w:bCs w:val="0"/>
          <w:kern w:val="0"/>
          <w:sz w:val="24"/>
          <w:szCs w:val="24"/>
          <w:lang w:val="en"/>
        </w:rPr>
        <w:instrText>ADDIN CSL_CITATION {"citationItems":[{"id":"ITEM-1","itemData":{"DOI":"10.1007/s10278-013-9622-7","ISSN":"08971889","PMID":"23884657","abstract":"The National Institutes of Health have placed significant emphasis on sharing of research data to support secondary research. Investigators have been encouraged to publish their clinical and imaging data as part of fulfilling their grant obligations. Realizing it was not sufficient to merely ask investigators to publish their collection of imaging and clinical data, the National Cancer Institute (NCI) created the open source National Biomedical Image Archive software package as a mechanism for centralized hosting of cancer related imaging. NCI has contracted with Washington University in Saint Louis to create The Cancer Imaging Archive (TCIA) - an open-source, open-access information resource to support research, development, and educational initiatives utilizing advanced medical imaging of cancer. In its first year of operation, TCIA accumulated 23 collections (3.3 million images). Operating and maintaining a high-availability image archive is a complex challenge involving varied archive-specific resources and driven by the needs of both image submitters and image consumers. Quality archives of any type (traditional library, PubMed, refereed journals) require management and customer service. This paper describes the management tasks and user support model for TCIA. © 2013 Society for Imaging Informatics in Medicine.","author":[{"dropping-particle":"","family":"Clark","given":"Kenneth","non-dropping-particle":"","parse-names":false,"suffix":""},{"dropping-particle":"","family":"Vendt","given":"Bruce","non-dropping-particle":"","parse-names":false,"suffix":""},{"dropping-particle":"","family":"Smith","given":"Kirk","non-dropping-particle":"","parse-names":false,"suffix":""},{"dropping-particle":"","family":"Freymann","given":"John","non-dropping-particle":"","parse-names":false,"suffix":""},{"dropping-particle":"","family":"Kirby","given":"Justin","non-dropping-particle":"","parse-names":false,"suffix":""},{"dropping-particle":"","family":"Koppel","given":"Paul","non-dropping-particle":"","parse-names":false,"suffix":""},{"dropping-particle":"","family":"Moore","given":"Stephen","non-dropping-particle":"","parse-names":false,"suffix":""},{"dropping-particle":"","family":"Phillips","given":"Stanley","non-dropping-particle":"","parse-names":false,"suffix":""},{"dropping-particle":"","family":"Maffitt","given":"David","non-dropping-particle":"","parse-names":false,"suffix":""},{"dropping-particle":"","family":"Pringle","given":"Michael","non-dropping-particle":"","parse-names":false,"suffix":""},{"dropping-particle":"","family":"Tarbox","given":"Lawrence","non-dropping-particle":"","parse-names":false,"suffix":""},{"dropping-particle":"","family":"Prior","given":"Fred","non-dropping-particle":"","parse-names":false,"suffix":""}],"container-title":"Journal of Digital Imaging","id":"ITEM-1","issue":"6","issued":{"date-parts":[["2013"]]},"page":"1045-1057","title":"The cancer imaging archive (TCIA): Maintaining and operating a public information repository","type":"article-journal","volume":"26"},"uris":["http://www.mendeley.com/documents/?uuid=88ab72f4-2274-4ca0-9bd9-7989866e1ac9"]},{"id":"ITEM-2","itemData":{"DOI":"http://doi.org/10.7937/K9/TCIA.2016.V6PBVTDR","author":[{"dropping-particle":"","family":"Akin, O., Elnajjar, P., Heller, M., Jarosz, R., Erickson, B. J., Kirk, S.,Filippini","given":"J.","non-dropping-particle":"","parse-names":false,"suffix":""}],"container-title":"The Cancer Imaging Archive","id":"ITEM-2","issued":{"date-parts":[["2016"]]},"title":"Radiology Data from The Cancer Genome Atlas Kidney Renal Clear Cell Carcinoma [TCGA-KIRC] collection","type":"article-journal"},"uris":["http://www.mendeley.com/documents/?uuid=755069bb-daba-47ee-868c-db28dcac2dc9"]}],"mendeley":{"formattedCitation":"[9,12]","plainTextFormattedCitation":"[9,12]","previouslyFormattedCitation":"[9,12]"},"properties":{"noteIndex":0},"schema":"https://github.com/citation-style-language/schema/raw/master/csl-citation.json"}</w:instrText>
      </w:r>
      <w:r w:rsidRPr="00C635FF">
        <w:rPr>
          <w:rFonts w:ascii="Times New Roman" w:eastAsiaTheme="minorHAnsi" w:hAnsi="Times New Roman" w:cs="Times New Roman"/>
          <w:b w:val="0"/>
          <w:bCs w:val="0"/>
          <w:kern w:val="0"/>
          <w:sz w:val="24"/>
          <w:szCs w:val="24"/>
          <w:lang w:val="en"/>
        </w:rPr>
        <w:fldChar w:fldCharType="separate"/>
      </w:r>
      <w:r w:rsidRPr="00C635FF">
        <w:rPr>
          <w:rFonts w:ascii="Times New Roman" w:eastAsiaTheme="minorHAnsi" w:hAnsi="Times New Roman" w:cs="Times New Roman"/>
          <w:b w:val="0"/>
          <w:bCs w:val="0"/>
          <w:noProof/>
          <w:kern w:val="0"/>
          <w:sz w:val="24"/>
          <w:szCs w:val="24"/>
          <w:lang w:val="en"/>
        </w:rPr>
        <w:t>[9,12]</w:t>
      </w:r>
      <w:r w:rsidRPr="00C635FF">
        <w:rPr>
          <w:rFonts w:ascii="Times New Roman" w:eastAsiaTheme="minorHAnsi" w:hAnsi="Times New Roman" w:cs="Times New Roman"/>
          <w:b w:val="0"/>
          <w:bCs w:val="0"/>
          <w:kern w:val="0"/>
          <w:sz w:val="24"/>
          <w:szCs w:val="24"/>
          <w:lang w:val="en"/>
        </w:rPr>
        <w:fldChar w:fldCharType="end"/>
      </w:r>
      <w:r w:rsidRPr="00C635FF">
        <w:rPr>
          <w:rFonts w:ascii="Times New Roman" w:eastAsiaTheme="minorHAnsi" w:hAnsi="Times New Roman" w:cs="Times New Roman"/>
          <w:b w:val="0"/>
          <w:bCs w:val="0"/>
          <w:kern w:val="0"/>
          <w:sz w:val="24"/>
          <w:szCs w:val="24"/>
          <w:lang w:val="en"/>
        </w:rPr>
        <w:t xml:space="preserve">. Of the total </w:t>
      </w:r>
      <w:r w:rsidRPr="00C635FF">
        <w:rPr>
          <w:rFonts w:ascii="Times New Roman" w:eastAsiaTheme="minorHAnsi" w:hAnsi="Times New Roman" w:cs="Times New Roman"/>
          <w:b w:val="0"/>
          <w:bCs w:val="0"/>
          <w:sz w:val="24"/>
          <w:szCs w:val="24"/>
        </w:rPr>
        <w:t xml:space="preserve">267 </w:t>
      </w:r>
      <w:r w:rsidRPr="00C635FF">
        <w:rPr>
          <w:rFonts w:ascii="Times New Roman" w:eastAsiaTheme="minorHAnsi" w:hAnsi="Times New Roman" w:cs="Times New Roman"/>
          <w:b w:val="0"/>
          <w:bCs w:val="0"/>
          <w:kern w:val="0"/>
          <w:sz w:val="24"/>
          <w:szCs w:val="24"/>
          <w:lang w:val="en"/>
        </w:rPr>
        <w:t xml:space="preserve">renal </w:t>
      </w:r>
      <w:r w:rsidRPr="00C635FF">
        <w:rPr>
          <w:rStyle w:val="Char2"/>
          <w:rFonts w:ascii="Times New Roman" w:eastAsiaTheme="minorHAnsi" w:hAnsi="Times New Roman" w:cs="Times New Roman"/>
          <w:b w:val="0"/>
          <w:bCs w:val="0"/>
          <w:sz w:val="24"/>
          <w:szCs w:val="24"/>
          <w:lang w:val="en"/>
        </w:rPr>
        <w:t>clear cell carcinoma</w:t>
      </w:r>
      <w:r w:rsidRPr="00C635FF">
        <w:rPr>
          <w:rFonts w:ascii="Times New Roman" w:eastAsiaTheme="minorHAnsi" w:hAnsi="Times New Roman" w:cs="Times New Roman"/>
          <w:b w:val="0"/>
          <w:bCs w:val="0"/>
          <w:kern w:val="0"/>
          <w:sz w:val="24"/>
          <w:szCs w:val="24"/>
          <w:lang w:val="en"/>
        </w:rPr>
        <w:t xml:space="preserve"> patients, we randomly selected 48 patients (29 males and 19 females; mean age, 65.3 years; stages I–IV) and considered their </w:t>
      </w:r>
      <w:r w:rsidRPr="00C635FF">
        <w:rPr>
          <w:rStyle w:val="Char2"/>
          <w:rFonts w:ascii="Times New Roman" w:eastAsiaTheme="minorHAnsi" w:hAnsi="Times New Roman" w:cs="Times New Roman"/>
          <w:b w:val="0"/>
          <w:bCs w:val="0"/>
          <w:sz w:val="24"/>
          <w:szCs w:val="24"/>
          <w:lang w:val="en"/>
        </w:rPr>
        <w:t xml:space="preserve">contrast-enhanced </w:t>
      </w:r>
      <w:r w:rsidRPr="00C635FF">
        <w:rPr>
          <w:rFonts w:ascii="Times New Roman" w:eastAsiaTheme="minorHAnsi" w:hAnsi="Times New Roman" w:cs="Times New Roman"/>
          <w:b w:val="0"/>
          <w:bCs w:val="0"/>
          <w:kern w:val="0"/>
          <w:sz w:val="24"/>
          <w:szCs w:val="24"/>
          <w:lang w:val="en"/>
        </w:rPr>
        <w:t xml:space="preserve">CT imaging data. </w:t>
      </w:r>
      <w:r w:rsidRPr="00C635FF">
        <w:rPr>
          <w:rFonts w:ascii="Times New Roman" w:eastAsiaTheme="minorHAnsi" w:hAnsi="Times New Roman" w:cs="Times New Roman"/>
          <w:b w:val="0"/>
          <w:bCs w:val="0"/>
          <w:color w:val="000000" w:themeColor="text1"/>
          <w:sz w:val="24"/>
          <w:szCs w:val="24"/>
        </w:rPr>
        <w:t xml:space="preserve">The CT image parameters were as follows: tube voltage, 120 kV; tube current-exposure time product, 265-400 </w:t>
      </w:r>
      <w:proofErr w:type="spellStart"/>
      <w:r w:rsidRPr="00C635FF">
        <w:rPr>
          <w:rFonts w:ascii="Times New Roman" w:eastAsiaTheme="minorHAnsi" w:hAnsi="Times New Roman" w:cs="Times New Roman"/>
          <w:b w:val="0"/>
          <w:bCs w:val="0"/>
          <w:color w:val="000000" w:themeColor="text1"/>
          <w:sz w:val="24"/>
          <w:szCs w:val="24"/>
        </w:rPr>
        <w:t>mAs</w:t>
      </w:r>
      <w:proofErr w:type="spellEnd"/>
      <w:r w:rsidRPr="00C635FF">
        <w:rPr>
          <w:rFonts w:ascii="Times New Roman" w:eastAsiaTheme="minorHAnsi" w:hAnsi="Times New Roman" w:cs="Times New Roman"/>
          <w:b w:val="0"/>
          <w:bCs w:val="0"/>
          <w:color w:val="000000" w:themeColor="text1"/>
          <w:sz w:val="24"/>
          <w:szCs w:val="24"/>
        </w:rPr>
        <w:t>;</w:t>
      </w:r>
      <w:r w:rsidRPr="00C635FF">
        <w:rPr>
          <w:rFonts w:ascii="Times New Roman" w:eastAsiaTheme="minorHAnsi" w:hAnsi="Times New Roman" w:cs="Times New Roman"/>
          <w:b w:val="0"/>
          <w:bCs w:val="0"/>
          <w:color w:val="000000" w:themeColor="text1"/>
          <w:sz w:val="24"/>
          <w:szCs w:val="24"/>
        </w:rPr>
        <w:fldChar w:fldCharType="begin" w:fldLock="1"/>
      </w:r>
      <w:r w:rsidRPr="00C635FF">
        <w:rPr>
          <w:rFonts w:ascii="Times New Roman" w:eastAsiaTheme="minorHAnsi" w:hAnsi="Times New Roman" w:cs="Times New Roman"/>
          <w:b w:val="0"/>
          <w:bCs w:val="0"/>
          <w:color w:val="000000" w:themeColor="text1"/>
          <w:sz w:val="24"/>
          <w:szCs w:val="24"/>
        </w:rPr>
        <w:instrText>ADDIN CSL_CITATION {"citationItems":[{"id":"ITEM-1","itemData":{"DOI":"10.2214/AJR.19.21212","ISSN":"15463141","abstract":"OBJECTIVE. The objective of our study was to investigate the potential influence of in-tra- and interobserver manual segmentation variability on the reliability of single-slice–based 2D CT texture analysis of renal masses. MATERIALS AND METHODS. For this retrospective study, 30 patients with clear cell renal cell carcinoma were included from a public database. For intra- and interobserver analyses, three radiologists with varying degrees of experience segmented the tumors from unenhanced CT and corticomedullary phase contrast-enhanced CT (CECT) in different sessions. Each radiologist was blind to the image slices selected by other radiologists and him- or herself in the previous session. A total of 744 texture features were extracted from original, filtered, and transformed images. The intraclass correlation coefficient was used for reliability analysis. RESULTS. In the intraobserver analysis, the rates of features with good to excellent reliability were 84.4–92.2% for unenhanced CT and 85.5–93.1% for CECT. Considering the mean rates of unenhanced CT and CECT, having high experience resulted in better reliability rates in terms of the intraobserver analysis. In the interobserver analysis, the rates were 76.7% for unenhanced CT and 84.9% for CECT. The gray-level cooccurrence matrix and first-order feature groups yielded higher good to excellent reliability rates on both unenhanced CT and CECT. Filtered and transformed images resulted in more features with good to excellent reliability than the original images did on both unenhanced CT and CECT. CONCLUSION. Single-slice–based 2D CT texture analysis of renal masses is sensitive to intra- and interobserver manual segmentation variability. Therefore, it may lead to nonreproducible results in radiomic analysis unless a reliability analysis is considered in the workflow.","author":[{"dropping-particle":"","family":"Kocak","given":"Burak","non-dropping-particle":"","parse-names":false,"suffix":""},{"dropping-particle":"","family":"Durmaz","given":"Emine Sebnem","non-dropping-particle":"","parse-names":false,"suffix":""},{"dropping-particle":"","family":"Kaya","given":"Ozlem Korkmaz","non-dropping-particle":"","parse-names":false,"suffix":""},{"dropping-particle":"","family":"Ates","given":"Ece","non-dropping-particle":"","parse-names":false,"suffix":""},{"dropping-particle":"","family":"Kilickesmez","given":"Ozgur","non-dropping-particle":"","parse-names":false,"suffix":""}],"container-title":"American Journal of Roentgenology","id":"ITEM-1","issue":"2","issued":{"date-parts":[["2019"]]},"page":"377-383","title":"Reliability of single-slice–based 2D CT texture analysis of renal masses: Influence of intra- And interobserver manual segmentation variability on radiomic feature reproducibility","type":"article-journal","volume":"213"},"uris":["http://www.mendeley.com/documents/?uuid=18b7a629-a4d6-46be-9b96-51034ae5fb4b"]}],"mendeley":{"formattedCitation":"[13]","plainTextFormattedCitation":"[13]","previouslyFormattedCitation":"[13]"},"properties":{"noteIndex":0},"schema":"https://github.com/citation-style-language/schema/raw/master/csl-citation.json"}</w:instrText>
      </w:r>
      <w:r w:rsidRPr="00C635FF">
        <w:rPr>
          <w:rFonts w:ascii="Times New Roman" w:eastAsiaTheme="minorHAnsi" w:hAnsi="Times New Roman" w:cs="Times New Roman"/>
          <w:b w:val="0"/>
          <w:bCs w:val="0"/>
          <w:color w:val="000000" w:themeColor="text1"/>
          <w:sz w:val="24"/>
          <w:szCs w:val="24"/>
        </w:rPr>
        <w:fldChar w:fldCharType="separate"/>
      </w:r>
      <w:r w:rsidRPr="00C635FF">
        <w:rPr>
          <w:rFonts w:ascii="Times New Roman" w:eastAsiaTheme="minorHAnsi" w:hAnsi="Times New Roman" w:cs="Times New Roman"/>
          <w:b w:val="0"/>
          <w:bCs w:val="0"/>
          <w:noProof/>
          <w:color w:val="000000" w:themeColor="text1"/>
          <w:sz w:val="24"/>
          <w:szCs w:val="24"/>
        </w:rPr>
        <w:t>[13]</w:t>
      </w:r>
      <w:r w:rsidRPr="00C635FF">
        <w:rPr>
          <w:rFonts w:ascii="Times New Roman" w:eastAsiaTheme="minorHAnsi" w:hAnsi="Times New Roman" w:cs="Times New Roman"/>
          <w:b w:val="0"/>
          <w:bCs w:val="0"/>
          <w:color w:val="000000" w:themeColor="text1"/>
          <w:sz w:val="24"/>
          <w:szCs w:val="24"/>
        </w:rPr>
        <w:fldChar w:fldCharType="end"/>
      </w:r>
      <w:r w:rsidRPr="00C635FF">
        <w:rPr>
          <w:rFonts w:ascii="Times New Roman" w:eastAsiaTheme="minorHAnsi" w:hAnsi="Times New Roman" w:cs="Times New Roman"/>
          <w:b w:val="0"/>
          <w:bCs w:val="0"/>
          <w:color w:val="000000" w:themeColor="text1"/>
          <w:sz w:val="24"/>
          <w:szCs w:val="24"/>
        </w:rPr>
        <w:t xml:space="preserve"> mean in-plane resolution, 0.785 ± 0.09 mm (range, 0.617–0.977 mm); and average slice thickness, 4.708 ± 1.606 mm.</w:t>
      </w:r>
    </w:p>
    <w:p w14:paraId="1032C734" w14:textId="77777777" w:rsidR="00C635FF" w:rsidRPr="00C635FF" w:rsidRDefault="00C635FF" w:rsidP="00C635FF">
      <w:pPr>
        <w:pStyle w:val="a5"/>
        <w:numPr>
          <w:ilvl w:val="0"/>
          <w:numId w:val="1"/>
        </w:numPr>
        <w:spacing w:line="480" w:lineRule="auto"/>
        <w:jc w:val="both"/>
        <w:rPr>
          <w:rFonts w:ascii="Times New Roman" w:eastAsiaTheme="minorHAnsi" w:hAnsi="Times New Roman" w:cs="Times New Roman"/>
          <w:b w:val="0"/>
          <w:bCs w:val="0"/>
          <w:sz w:val="24"/>
          <w:szCs w:val="24"/>
        </w:rPr>
      </w:pPr>
      <w:r w:rsidRPr="00C635FF">
        <w:rPr>
          <w:rFonts w:ascii="Times New Roman" w:eastAsiaTheme="minorHAnsi" w:hAnsi="Times New Roman" w:cs="Times New Roman"/>
          <w:b w:val="0"/>
          <w:bCs w:val="0"/>
          <w:sz w:val="24"/>
          <w:szCs w:val="24"/>
        </w:rPr>
        <w:t xml:space="preserve">Dataset 4 (test set3, brain, MRI) </w:t>
      </w:r>
    </w:p>
    <w:p w14:paraId="0710D80E" w14:textId="77777777" w:rsidR="00C635FF" w:rsidRPr="00C635FF" w:rsidRDefault="00C635FF" w:rsidP="00C635FF">
      <w:pPr>
        <w:pStyle w:val="a5"/>
        <w:spacing w:line="480" w:lineRule="auto"/>
        <w:ind w:left="400"/>
        <w:rPr>
          <w:rFonts w:ascii="Times New Roman" w:eastAsiaTheme="minorHAnsi" w:hAnsi="Times New Roman" w:cs="Times New Roman"/>
          <w:b w:val="0"/>
          <w:bCs w:val="0"/>
          <w:color w:val="000000" w:themeColor="text1"/>
          <w:sz w:val="24"/>
          <w:szCs w:val="24"/>
        </w:rPr>
      </w:pPr>
      <w:r w:rsidRPr="00C635FF">
        <w:rPr>
          <w:rFonts w:ascii="Times New Roman" w:eastAsiaTheme="minorHAnsi" w:hAnsi="Times New Roman" w:cs="Times New Roman"/>
          <w:b w:val="0"/>
          <w:bCs w:val="0"/>
          <w:sz w:val="24"/>
          <w:szCs w:val="24"/>
        </w:rPr>
        <w:t xml:space="preserve">The third test set was the Clinical Proteomic Tumor Analysis Consortium Glioblastoma Multiforme (CPTAC-GBM) dataset </w:t>
      </w:r>
      <w:r w:rsidRPr="00C635FF">
        <w:rPr>
          <w:rFonts w:ascii="Times New Roman" w:eastAsiaTheme="minorHAnsi" w:hAnsi="Times New Roman" w:cs="Times New Roman"/>
          <w:b w:val="0"/>
          <w:bCs w:val="0"/>
          <w:sz w:val="24"/>
          <w:szCs w:val="24"/>
        </w:rPr>
        <w:fldChar w:fldCharType="begin" w:fldLock="1"/>
      </w:r>
      <w:r w:rsidRPr="00C635FF">
        <w:rPr>
          <w:rFonts w:ascii="Times New Roman" w:eastAsiaTheme="minorHAnsi" w:hAnsi="Times New Roman" w:cs="Times New Roman"/>
          <w:b w:val="0"/>
          <w:bCs w:val="0"/>
          <w:sz w:val="24"/>
          <w:szCs w:val="24"/>
        </w:rPr>
        <w:instrText>ADDIN CSL_CITATION {"citationItems":[{"id":"ITEM-1","itemData":{"DOI":"https://doi.org/10.7937/k9/tcia.2018.3rje41q1","container-title":"The Cancer Imaging Archive","id":"ITEM-1","issued":{"date-parts":[["2018"]]},"title":"Radiology Data from the Clinical Proteomic Tumor Analysis Consortium Glioblastoma Multiforme [CPTAC-GBM] collection","type":"article-journal"},"uris":["http://www.mendeley.com/documents/?uuid=5ddd3c3b-a0fe-487a-a5b0-19dfad2aee97"]},{"id":"ITEM-2","itemData":{"DOI":"10.1007/s10278-013-9622-7","ISSN":"08971889","PMID":"23884657","abstract":"The National Institutes of Health have placed significant emphasis on sharing of research data to support secondary research. Investigators have been encouraged to publish their clinical and imaging data as part of fulfilling their grant obligations. Realizing it was not sufficient to merely ask investigators to publish their collection of imaging and clinical data, the National Cancer Institute (NCI) created the open source National Biomedical Image Archive software package as a mechanism for centralized hosting of cancer related imaging. NCI has contracted with Washington University in Saint Louis to create The Cancer Imaging Archive (TCIA) - an open-source, open-access information resource to support research, development, and educational initiatives utilizing advanced medical imaging of cancer. In its first year of operation, TCIA accumulated 23 collections (3.3 million images). Operating and maintaining a high-availability image archive is a complex challenge involving varied archive-specific resources and driven by the needs of both image submitters and image consumers. Quality archives of any type (traditional library, PubMed, refereed journals) require management and customer service. This paper describes the management tasks and user support model for TCIA. © 2013 Society for Imaging Informatics in Medicine.","author":[{"dropping-particle":"","family":"Clark","given":"Kenneth","non-dropping-particle":"","parse-names":false,"suffix":""},{"dropping-particle":"","family":"Vendt","given":"Bruce","non-dropping-particle":"","parse-names":false,"suffix":""},{"dropping-particle":"","family":"Smith","given":"Kirk","non-dropping-particle":"","parse-names":false,"suffix":""},{"dropping-particle":"","family":"Freymann","given":"John","non-dropping-particle":"","parse-names":false,"suffix":""},{"dropping-particle":"","family":"Kirby","given":"Justin","non-dropping-particle":"","parse-names":false,"suffix":""},{"dropping-particle":"","family":"Koppel","given":"Paul","non-dropping-particle":"","parse-names":false,"suffix":""},{"dropping-particle":"","family":"Moore","given":"Stephen","non-dropping-particle":"","parse-names":false,"suffix":""},{"dropping-particle":"","family":"Phillips","given":"Stanley","non-dropping-particle":"","parse-names":false,"suffix":""},{"dropping-particle":"","family":"Maffitt","given":"David","non-dropping-particle":"","parse-names":false,"suffix":""},{"dropping-particle":"","family":"Pringle","given":"Michael","non-dropping-particle":"","parse-names":false,"suffix":""},{"dropping-particle":"","family":"Tarbox","given":"Lawrence","non-dropping-particle":"","parse-names":false,"suffix":""},{"dropping-particle":"","family":"Prior","given":"Fred","non-dropping-particle":"","parse-names":false,"suffix":""}],"container-title":"Journal of Digital Imaging","id":"ITEM-2","issue":"6","issued":{"date-parts":[["2013"]]},"page":"1045-1057","title":"The cancer imaging archive (TCIA): Maintaining and operating a public information repository","type":"article-journal","volume":"26"},"uris":["http://www.mendeley.com/documents/?uuid=88ab72f4-2274-4ca0-9bd9-7989866e1ac9"]}],"mendeley":{"formattedCitation":"[9,14]","plainTextFormattedCitation":"[9,14]","previouslyFormattedCitation":"[9,14]"},"properties":{"noteIndex":0},"schema":"https://github.com/citation-style-language/schema/raw/master/csl-citation.json"}</w:instrText>
      </w:r>
      <w:r w:rsidRPr="00C635FF">
        <w:rPr>
          <w:rFonts w:ascii="Times New Roman" w:eastAsiaTheme="minorHAnsi" w:hAnsi="Times New Roman" w:cs="Times New Roman"/>
          <w:b w:val="0"/>
          <w:bCs w:val="0"/>
          <w:sz w:val="24"/>
          <w:szCs w:val="24"/>
        </w:rPr>
        <w:fldChar w:fldCharType="separate"/>
      </w:r>
      <w:r w:rsidRPr="00C635FF">
        <w:rPr>
          <w:rFonts w:ascii="Times New Roman" w:eastAsiaTheme="minorHAnsi" w:hAnsi="Times New Roman" w:cs="Times New Roman"/>
          <w:b w:val="0"/>
          <w:bCs w:val="0"/>
          <w:noProof/>
          <w:sz w:val="24"/>
          <w:szCs w:val="24"/>
        </w:rPr>
        <w:t>[9,14]</w:t>
      </w:r>
      <w:r w:rsidRPr="00C635FF">
        <w:rPr>
          <w:rFonts w:ascii="Times New Roman" w:eastAsiaTheme="minorHAnsi" w:hAnsi="Times New Roman" w:cs="Times New Roman"/>
          <w:b w:val="0"/>
          <w:bCs w:val="0"/>
          <w:sz w:val="24"/>
          <w:szCs w:val="24"/>
        </w:rPr>
        <w:fldChar w:fldCharType="end"/>
      </w:r>
      <w:r w:rsidRPr="00C635FF">
        <w:rPr>
          <w:rFonts w:ascii="Times New Roman" w:eastAsiaTheme="minorHAnsi" w:hAnsi="Times New Roman" w:cs="Times New Roman"/>
          <w:b w:val="0"/>
          <w:bCs w:val="0"/>
          <w:sz w:val="24"/>
          <w:szCs w:val="24"/>
        </w:rPr>
        <w:t xml:space="preserve">. Of the total 59 glioblastoma multiforme patients, we analyzed contrast-enhanced T1w-MRI, not CT, data </w:t>
      </w:r>
      <w:r w:rsidRPr="00C635FF">
        <w:rPr>
          <w:rStyle w:val="Char2"/>
          <w:rFonts w:ascii="Times New Roman" w:eastAsiaTheme="minorHAnsi" w:hAnsi="Times New Roman" w:cs="Times New Roman"/>
          <w:b w:val="0"/>
          <w:bCs w:val="0"/>
          <w:sz w:val="24"/>
          <w:szCs w:val="24"/>
          <w:lang w:val="en"/>
        </w:rPr>
        <w:t xml:space="preserve">from 43 patients (31 males and 12 females; mean age 63 years; stages I–IV). We excluded 16 patients due to a lack of survival information. The mean </w:t>
      </w:r>
      <w:r w:rsidRPr="00C635FF">
        <w:rPr>
          <w:rFonts w:ascii="Times New Roman" w:eastAsiaTheme="minorHAnsi" w:hAnsi="Times New Roman" w:cs="Times New Roman"/>
          <w:b w:val="0"/>
          <w:bCs w:val="0"/>
          <w:color w:val="000000" w:themeColor="text1"/>
          <w:sz w:val="24"/>
          <w:szCs w:val="24"/>
        </w:rPr>
        <w:t>in-plane resolution was 0.598 ± 0.187 mm (range, 0.469–1.016 mm), and the average slice thickness was 1.575 ± 1.567 mm.</w:t>
      </w:r>
    </w:p>
    <w:p w14:paraId="10834D97" w14:textId="11E6EA11" w:rsidR="00C635FF" w:rsidRDefault="00C635FF" w:rsidP="00C635FF">
      <w:pPr>
        <w:widowControl/>
        <w:wordWrap/>
        <w:autoSpaceDE/>
        <w:spacing w:after="0" w:line="480" w:lineRule="auto"/>
        <w:rPr>
          <w:rFonts w:ascii="Times New Roman" w:eastAsiaTheme="minorHAnsi" w:hAnsi="Times New Roman" w:cs="Times New Roman"/>
          <w:i/>
          <w:iCs/>
          <w:kern w:val="0"/>
          <w:sz w:val="24"/>
          <w:szCs w:val="24"/>
          <w:lang w:val="en"/>
        </w:rPr>
      </w:pPr>
      <w:r>
        <w:rPr>
          <w:rFonts w:ascii="Times New Roman" w:eastAsiaTheme="minorHAnsi" w:hAnsi="Times New Roman" w:cs="Times New Roman"/>
          <w:i/>
          <w:iCs/>
          <w:kern w:val="0"/>
          <w:sz w:val="24"/>
          <w:szCs w:val="24"/>
          <w:lang w:val="en"/>
        </w:rPr>
        <w:br w:type="page"/>
      </w:r>
    </w:p>
    <w:p w14:paraId="47B82040" w14:textId="77777777" w:rsidR="00C635FF" w:rsidRPr="00C635FF" w:rsidRDefault="00C635FF" w:rsidP="00C635FF">
      <w:pPr>
        <w:widowControl/>
        <w:wordWrap/>
        <w:autoSpaceDE/>
        <w:spacing w:after="0" w:line="480" w:lineRule="auto"/>
        <w:rPr>
          <w:rFonts w:ascii="Times New Roman" w:eastAsiaTheme="minorHAnsi" w:hAnsi="Times New Roman" w:cs="Times New Roman"/>
          <w:i/>
          <w:iCs/>
          <w:kern w:val="0"/>
          <w:sz w:val="24"/>
          <w:szCs w:val="24"/>
          <w:lang w:val="en"/>
        </w:rPr>
      </w:pPr>
      <w:r w:rsidRPr="00C635FF">
        <w:rPr>
          <w:rFonts w:ascii="Times New Roman" w:eastAsiaTheme="minorHAnsi" w:hAnsi="Times New Roman" w:cs="Times New Roman"/>
          <w:i/>
          <w:iCs/>
          <w:kern w:val="0"/>
          <w:sz w:val="24"/>
          <w:szCs w:val="24"/>
          <w:lang w:val="en"/>
        </w:rPr>
        <w:lastRenderedPageBreak/>
        <w:t>Imaging differences at the organ level</w:t>
      </w:r>
    </w:p>
    <w:p w14:paraId="7DBA022D" w14:textId="77777777" w:rsidR="00C635FF" w:rsidRPr="00C635FF" w:rsidRDefault="00C635FF" w:rsidP="00C635FF">
      <w:pPr>
        <w:pStyle w:val="a5"/>
        <w:spacing w:line="480" w:lineRule="auto"/>
        <w:rPr>
          <w:rFonts w:ascii="Times New Roman" w:eastAsiaTheme="minorHAnsi" w:hAnsi="Times New Roman" w:cs="Times New Roman"/>
          <w:b w:val="0"/>
          <w:bCs w:val="0"/>
          <w:color w:val="131413"/>
          <w:kern w:val="0"/>
          <w:sz w:val="24"/>
          <w:szCs w:val="24"/>
        </w:rPr>
      </w:pPr>
      <w:r w:rsidRPr="00C635FF">
        <w:rPr>
          <w:rFonts w:ascii="Times New Roman" w:eastAsiaTheme="minorHAnsi" w:hAnsi="Times New Roman" w:cs="Times New Roman"/>
          <w:b w:val="0"/>
          <w:bCs w:val="0"/>
          <w:kern w:val="0"/>
          <w:sz w:val="24"/>
          <w:szCs w:val="24"/>
        </w:rPr>
        <w:t xml:space="preserve">The whole lung was automatically segmented using the National Institutes of Health Center for Infectious Disease Imaging lung segmentation tool </w:t>
      </w:r>
      <w:r w:rsidRPr="00C635FF">
        <w:rPr>
          <w:rFonts w:ascii="Times New Roman" w:eastAsiaTheme="minorHAnsi" w:hAnsi="Times New Roman" w:cs="Times New Roman"/>
          <w:b w:val="0"/>
          <w:bCs w:val="0"/>
          <w:kern w:val="0"/>
          <w:sz w:val="24"/>
          <w:szCs w:val="24"/>
        </w:rPr>
        <w:fldChar w:fldCharType="begin" w:fldLock="1"/>
      </w:r>
      <w:r w:rsidRPr="00C635FF">
        <w:rPr>
          <w:rFonts w:ascii="Times New Roman" w:eastAsiaTheme="minorHAnsi" w:hAnsi="Times New Roman" w:cs="Times New Roman"/>
          <w:b w:val="0"/>
          <w:bCs w:val="0"/>
          <w:kern w:val="0"/>
          <w:sz w:val="24"/>
          <w:szCs w:val="24"/>
        </w:rPr>
        <w:instrText>ADDIN CSL_CITATION {"citationItems":[{"id":"ITEM-1","itemData":{"DOI":"10.1109/EMBC.2014.6943783","ISBN":"9781424479290","abstract":"Accurate and fast extraction of lung volumes from computed tomography (CT) scans remains in a great demand in the clinical environment because the available methods fail to provide a generic solution due to wide anatomical variations of lungs and existence of pathologies. Manual annotation, current gold standard, is time consuming and often subject to human bias. On the other hand, current state-of-the-art fully automated lung segmentation methods fail to make their way into the clinical practice due to their inability to efficiently incorporate human input for handling misclassifications and praxis. This paper presents a lung annotation tool for CT images that is interactive, efficient, and robust. The proposed annotation tool produces an 'as accurate as possible' initial annotation based on the fuzzy-connectedness image segmentation, followed by efficient manual fixation of the initial extraction if deemed necessary by the practitioner. To provide maximum flexibility to the users, our annotation tool is supported in three major operating systems (Windows, Linux, and the Mac OS X). The quantitative results comparing our free software with commercially available lung segmentation tools show higher degree of consistency and precision of our software with a considerable potential to enhance the performance of routine clinical tasks.","author":[{"dropping-particle":"","family":"Mansoor","given":"Awais","non-dropping-particle":"","parse-names":false,"suffix":""},{"dropping-particle":"","family":"Bagci","given":"Ulas","non-dropping-particle":"","parse-names":false,"suffix":""},{"dropping-particle":"","family":"Foster","given":"Brent","non-dropping-particle":"","parse-names":false,"suffix":""},{"dropping-particle":"","family":"Xu","given":"Ziyue","non-dropping-particle":"","parse-names":false,"suffix":""},{"dropping-particle":"","family":"Douglas","given":"Deborah","non-dropping-particle":"","parse-names":false,"suffix":""},{"dropping-particle":"","family":"Solomon","given":"Jeffrey M.","non-dropping-particle":"","parse-names":false,"suffix":""},{"dropping-particle":"","family":"Udupa","given":"Jayaram K.","non-dropping-particle":"","parse-names":false,"suffix":""},{"dropping-particle":"","family":"Mollura","given":"Daniel J.","non-dropping-particle":"","parse-names":false,"suffix":""}],"container-title":"2014 36th Annual International Conference of the IEEE Engineering in Medicine and Biology Society, EMBC 2014","id":"ITEM-1","issue":"Cidi","issued":{"date-parts":[["2014"]]},"page":"1087-1090","title":"CIDI-lung-seg: A single-click annotation tool for automatic delineation of lungs from CT scans","type":"paper-conference"},"uris":["http://www.mendeley.com/documents/?uuid=170ceba9-8897-41d0-9d72-f3a1bfd4cdb5"]}],"mendeley":{"formattedCitation":"[15]","plainTextFormattedCitation":"[15]","previouslyFormattedCitation":"[15]"},"properties":{"noteIndex":0},"schema":"https://github.com/citation-style-language/schema/raw/master/csl-citation.json"}</w:instrText>
      </w:r>
      <w:r w:rsidRPr="00C635FF">
        <w:rPr>
          <w:rFonts w:ascii="Times New Roman" w:eastAsiaTheme="minorHAnsi" w:hAnsi="Times New Roman" w:cs="Times New Roman"/>
          <w:b w:val="0"/>
          <w:bCs w:val="0"/>
          <w:kern w:val="0"/>
          <w:sz w:val="24"/>
          <w:szCs w:val="24"/>
        </w:rPr>
        <w:fldChar w:fldCharType="separate"/>
      </w:r>
      <w:r w:rsidRPr="00C635FF">
        <w:rPr>
          <w:rFonts w:ascii="Times New Roman" w:eastAsiaTheme="minorHAnsi" w:hAnsi="Times New Roman" w:cs="Times New Roman"/>
          <w:b w:val="0"/>
          <w:bCs w:val="0"/>
          <w:noProof/>
          <w:kern w:val="0"/>
          <w:sz w:val="24"/>
          <w:szCs w:val="24"/>
        </w:rPr>
        <w:t>[15]</w:t>
      </w:r>
      <w:r w:rsidRPr="00C635FF">
        <w:rPr>
          <w:rFonts w:ascii="Times New Roman" w:eastAsiaTheme="minorHAnsi" w:hAnsi="Times New Roman" w:cs="Times New Roman"/>
          <w:b w:val="0"/>
          <w:bCs w:val="0"/>
          <w:kern w:val="0"/>
          <w:sz w:val="24"/>
          <w:szCs w:val="24"/>
        </w:rPr>
        <w:fldChar w:fldCharType="end"/>
      </w:r>
      <w:r w:rsidRPr="00C635FF">
        <w:rPr>
          <w:rFonts w:ascii="Times New Roman" w:eastAsiaTheme="minorHAnsi" w:hAnsi="Times New Roman" w:cs="Times New Roman"/>
          <w:b w:val="0"/>
          <w:bCs w:val="0"/>
          <w:kern w:val="0"/>
          <w:sz w:val="24"/>
          <w:szCs w:val="24"/>
        </w:rPr>
        <w:t>. The kidney</w:t>
      </w:r>
      <w:r w:rsidRPr="00C635FF">
        <w:rPr>
          <w:rFonts w:ascii="Times New Roman" w:eastAsiaTheme="minorHAnsi" w:hAnsi="Times New Roman" w:cs="Times New Roman"/>
          <w:b w:val="0"/>
          <w:bCs w:val="0"/>
          <w:color w:val="131413"/>
          <w:kern w:val="0"/>
          <w:sz w:val="24"/>
          <w:szCs w:val="24"/>
        </w:rPr>
        <w:t xml:space="preserve"> was segmented using an in-house semi-automated software, by a single expert (H.Y.L)  </w:t>
      </w:r>
      <w:r w:rsidRPr="00C635FF">
        <w:rPr>
          <w:rFonts w:ascii="Times New Roman" w:eastAsiaTheme="minorHAnsi" w:hAnsi="Times New Roman" w:cs="Times New Roman"/>
          <w:b w:val="0"/>
          <w:bCs w:val="0"/>
          <w:color w:val="131413"/>
          <w:kern w:val="0"/>
          <w:sz w:val="24"/>
          <w:szCs w:val="24"/>
        </w:rPr>
        <w:fldChar w:fldCharType="begin" w:fldLock="1"/>
      </w:r>
      <w:r w:rsidRPr="00C635FF">
        <w:rPr>
          <w:rFonts w:ascii="Times New Roman" w:eastAsiaTheme="minorHAnsi" w:hAnsi="Times New Roman" w:cs="Times New Roman"/>
          <w:b w:val="0"/>
          <w:bCs w:val="0"/>
          <w:color w:val="131413"/>
          <w:kern w:val="0"/>
          <w:sz w:val="24"/>
          <w:szCs w:val="24"/>
        </w:rPr>
        <w:instrText>ADDIN CSL_CITATION {"citationItems":[{"id":"ITEM-1","itemData":{"DOI":"10.1016/j.jtho.2016.11.2230","ISSN":"15561380","abstract":"Introduction Lung adenocarcinomas (ADCs) with a micropapillary pattern have been reported to have a poor prognosis. However, few studies have reported on the imaging-based identification of a micropapillary component, and all of them have been subjective studies dealing with qualitative computed tomography variables. We aimed to explore imaging phenotyping using a radiomics approach for predicting a micropapillary pattern within lung ADC. Methods We enrolled 339 patients who underwent complete resection for lung ADC. Histologic subtypes and grades of the ADC were classified. The amount of micropapillary component was determined. Clinical features and conventional imaging variables such as tumor disappearance rate and maximum standardized uptake value on positron emission tomography were assessed. Quantitative computed tomography analysis was performed on the basis of histogram, size and shape, Gray level co-occurrence matrix–based features, and intensity variance and size zone variance–based features. Results Higher tumor stage (OR = 3.270, 95% confidence interval [CI]: 1.483–7.212), intermediate grade (OR = 2.977, 95% CI: 1.066–8.316), lower value of the minimum of the whole pixel value (OR = 0.725, 95% CI: 0.527–0.98800), and lower value of the variance of the positive pixel value (OR = 0.961, 95% CI: 0.927–0.997) were identified as being predictive of a micropapillary component within lung ADC. On the other hand, maximum standardized uptake value and tumor disappearance rate were not significantly different in groups with a micropapillary pattern constituting at least 5% or less than 5% of the entire tumor. Conclusion A radiomics approach can be used to interrogate an entire tumor in a noninvasive manner. Combining imaging parameters with clinical features can provide added diagnostic value to identify the presence of a micropapillary component and thus, can influence proper treatment planning.","author":[{"dropping-particle":"","family":"Song","given":"So Hee","non-dropping-particle":"","parse-names":false,"suffix":""},{"dropping-particle":"","family":"Park","given":"Hyunjin","non-dropping-particle":"","parse-names":false,"suffix":""},{"dropping-particle":"","family":"Lee","given":"Geewon","non-dropping-particle":"","parse-names":false,"suffix":""},{"dropping-particle":"","family":"Lee","given":"Ho Yun","non-dropping-particle":"","parse-names":false,"suffix":""},{"dropping-particle":"","family":"Sohn","given":"Insuk","non-dropping-particle":"","parse-names":false,"suffix":""},{"dropping-particle":"","family":"Kim","given":"Hye Seung","non-dropping-particle":"","parse-names":false,"suffix":""},{"dropping-particle":"","family":"Lee","given":"Seung Hak","non-dropping-particle":"","parse-names":false,"suffix":""},{"dropping-particle":"","family":"Jeong","given":"Ji Yun","non-dropping-particle":"","parse-names":false,"suffix":""},{"dropping-particle":"","family":"Kim","given":"Jhingook","non-dropping-particle":"","parse-names":false,"suffix":""},{"dropping-particle":"","family":"Lee","given":"Kyung Soo","non-dropping-particle":"","parse-names":false,"suffix":""},{"dropping-particle":"","family":"Shim","given":"Young Mog","non-dropping-particle":"","parse-names":false,"suffix":""}],"container-title":"Journal of Thoracic Oncology","id":"ITEM-1","issue":"4","issued":{"date-parts":[["2017"]]},"page":"624-632","publisher":"Elsevier Inc","title":"Imaging Phenotyping Using Radiomics to Predict Micropapillary Pattern within Lung Adenocarcinoma","type":"article-journal","volume":"12"},"uris":["http://www.mendeley.com/documents/?uuid=0f3e1b1b-a46d-4ec5-bdc7-82e4e583be04"]}],"mendeley":{"formattedCitation":"[16]","plainTextFormattedCitation":"[16]","previouslyFormattedCitation":"[16]"},"properties":{"noteIndex":0},"schema":"https://github.com/citation-style-language/schema/raw/master/csl-citation.json"}</w:instrText>
      </w:r>
      <w:r w:rsidRPr="00C635FF">
        <w:rPr>
          <w:rFonts w:ascii="Times New Roman" w:eastAsiaTheme="minorHAnsi" w:hAnsi="Times New Roman" w:cs="Times New Roman"/>
          <w:b w:val="0"/>
          <w:bCs w:val="0"/>
          <w:color w:val="131413"/>
          <w:kern w:val="0"/>
          <w:sz w:val="24"/>
          <w:szCs w:val="24"/>
        </w:rPr>
        <w:fldChar w:fldCharType="separate"/>
      </w:r>
      <w:r w:rsidRPr="00C635FF">
        <w:rPr>
          <w:rFonts w:ascii="Times New Roman" w:eastAsiaTheme="minorHAnsi" w:hAnsi="Times New Roman" w:cs="Times New Roman"/>
          <w:b w:val="0"/>
          <w:bCs w:val="0"/>
          <w:noProof/>
          <w:color w:val="131413"/>
          <w:kern w:val="0"/>
          <w:sz w:val="24"/>
          <w:szCs w:val="24"/>
        </w:rPr>
        <w:t>[16]</w:t>
      </w:r>
      <w:r w:rsidRPr="00C635FF">
        <w:rPr>
          <w:rFonts w:ascii="Times New Roman" w:eastAsiaTheme="minorHAnsi" w:hAnsi="Times New Roman" w:cs="Times New Roman"/>
          <w:b w:val="0"/>
          <w:bCs w:val="0"/>
          <w:color w:val="131413"/>
          <w:kern w:val="0"/>
          <w:sz w:val="24"/>
          <w:szCs w:val="24"/>
        </w:rPr>
        <w:fldChar w:fldCharType="end"/>
      </w:r>
      <w:r w:rsidRPr="00C635FF">
        <w:rPr>
          <w:rFonts w:ascii="Times New Roman" w:eastAsiaTheme="minorHAnsi" w:hAnsi="Times New Roman" w:cs="Times New Roman"/>
          <w:b w:val="0"/>
          <w:bCs w:val="0"/>
          <w:color w:val="131413"/>
          <w:kern w:val="0"/>
          <w:sz w:val="24"/>
          <w:szCs w:val="24"/>
        </w:rPr>
        <w:t xml:space="preserve">. The brain was automatically segmented using the FMRIB software library </w:t>
      </w:r>
      <w:r w:rsidRPr="00C635FF">
        <w:rPr>
          <w:rFonts w:ascii="Times New Roman" w:eastAsiaTheme="minorHAnsi" w:hAnsi="Times New Roman" w:cs="Times New Roman"/>
          <w:b w:val="0"/>
          <w:bCs w:val="0"/>
          <w:color w:val="131413"/>
          <w:kern w:val="0"/>
          <w:sz w:val="24"/>
          <w:szCs w:val="24"/>
        </w:rPr>
        <w:fldChar w:fldCharType="begin" w:fldLock="1"/>
      </w:r>
      <w:r w:rsidRPr="00C635FF">
        <w:rPr>
          <w:rFonts w:ascii="Times New Roman" w:eastAsiaTheme="minorHAnsi" w:hAnsi="Times New Roman" w:cs="Times New Roman"/>
          <w:b w:val="0"/>
          <w:bCs w:val="0"/>
          <w:color w:val="131413"/>
          <w:kern w:val="0"/>
          <w:sz w:val="24"/>
          <w:szCs w:val="24"/>
        </w:rPr>
        <w:instrText>ADDIN CSL_CITATION {"citationItems":[{"id":"ITEM-1","itemData":{"DOI":"10.1016/j.neuroimage.2004.07.051","ISSN":"10538119","PMID":"15501092","abstract":"The techniques available for the interrogation and analysis of neuroimaging data have a large influence in determining the flexibility, sensitivity, and scope of neuroimaging experiments. The development of such methodologies has allowed investigators to address scientific questions that could not previously be answered and, as such, has become an important research area in its own right. In this paper, we present a review of the research carried out by the Analysis Group at the Oxford Centre for Functional MRI of the Brain (FMRIB). This research has focussed on the development of new methodologies for the analysis of both structural and functional magnetic resonance imaging data. The majority of the research laid out in this paper has been implemented as freely available software tools within FMRIB's Software Library (FSL). © 2004 Elsevier Inc. All rights reserved.","author":[{"dropping-particle":"","family":"Smith","given":"Stephen M","non-dropping-particle":"","parse-names":false,"suffix":""},{"dropping-particle":"","family":"Jenkinson","given":"Mark","non-dropping-particle":"","parse-names":false,"suffix":""},{"dropping-particle":"","family":"Woolrich","given":"Mark W","non-dropping-particle":"","parse-names":false,"suffix":""},{"dropping-particle":"","family":"Beckmann","given":"Christian F","non-dropping-particle":"","parse-names":false,"suffix":""},{"dropping-particle":"","family":"Behrens","given":"Timothy E.J.","non-dropping-particle":"","parse-names":false,"suffix":""},{"dropping-particle":"","family":"Johansen-Berg","given":"Heidi","non-dropping-particle":"","parse-names":false,"suffix":""},{"dropping-particle":"","family":"Bannister","given":"Peter R","non-dropping-particle":"","parse-names":false,"suffix":""},{"dropping-particle":"","family":"Luca","given":"Marilena","non-dropping-particle":"De","parse-names":false,"suffix":""},{"dropping-particle":"","family":"Drobnjak","given":"Ivana","non-dropping-particle":"","parse-names":false,"suffix":""},{"dropping-particle":"","family":"Flitney","given":"David E","non-dropping-particle":"","parse-names":false,"suffix":""},{"dropping-particle":"","family":"Niazy","given":"Rami K","non-dropping-particle":"","parse-names":false,"suffix":""},{"dropping-particle":"","family":"Saunders","given":"James","non-dropping-particle":"","parse-names":false,"suffix":""},{"dropping-particle":"","family":"Vickers","given":"John","non-dropping-particle":"","parse-names":false,"suffix":""},{"dropping-particle":"","family":"Zhang","given":"Yongyue","non-dropping-particle":"","parse-names":false,"suffix":""},{"dropping-particle":"","family":"Stefano","given":"Nicola","non-dropping-particle":"De","parse-names":false,"suffix":""},{"dropping-particle":"","family":"Brady","given":"J Michael","non-dropping-particle":"","parse-names":false,"suffix":""},{"dropping-particle":"","family":"Matthews","given":"Paul M","non-dropping-particle":"","parse-names":false,"suffix":""}],"container-title":"NeuroImage","id":"ITEM-1","issue":"SUPPL. 1","issued":{"date-parts":[["2004"]]},"page":"208-219","title":"Advances in functional and structural MR image analysis and implementation as FSL","type":"paper-conference","volume":"23"},"uris":["http://www.mendeley.com/documents/?uuid=540b101b-0e21-4e95-a2d7-bbdcf5492d6c"]},{"id":"ITEM-2","itemData":{"DOI":"10.1016/j.neuroimage.2011.09.015","abstract":"FSL (the FMRIB Software Library) is a comprehensive library of analysis tools for functional, structural and diffusion MRI brain imaging data, written mainly by members of the Analysis Group, FMRIB, Oxford. For this NeuroImage special issue on“20years offMRI”we have beenaskedtowrite about the history, developments and current status of FSL.We also include some descriptions of parts of FSL that are not well covered in the existing literature.We hope that some of this contentmight be of interest to users of FSL, and alsomaybe to newresearch groups considering creating, releasing and supporting newsoftware packages for brain image analysis.","author":[{"dropping-particle":"","family":"Jenkinson","given":"Mark","non-dropping-particle":"","parse-names":false,"suffix":""},{"dropping-particle":"","family":"Beckmann","given":"Christian F","non-dropping-particle":"","parse-names":false,"suffix":""},{"dropping-particle":"","family":"Behrens","given":"Timothy E J","non-dropping-particle":"","parse-names":false,"suffix":""},{"dropping-particle":"","family":"Woolrich","given":"Mark W","non-dropping-particle":"","parse-names":false,"suffix":""},{"dropping-particle":"","family":"Smith","given":"Stephen M","non-dropping-particle":"","parse-names":false,"suffix":""}],"container-title":"NeuroImage","id":"ITEM-2","issued":{"date-parts":[["2012"]]},"page":"782-790","title":"FSL","type":"article-journal","volume":"62"},"uris":["http://www.mendeley.com/documents/?uuid=c4051f3d-2a3d-4844-bca8-150ecea17c83"]},{"id":"ITEM-3","itemData":{"DOI":"10.1016/j.neuroimage.2008.10.055","ISSN":"10959572","abstract":"Typically in neuroimaging we are looking to extract some pertinent information from imperfect, noisy images of the brain. This might be the inference of percent changes in blood flow in perfusion FMRI data, segmentation of subcortical structures from structural MRI, or inference of the probability of an anatomical connection between an area of cortex and a subthalamic nucleus using diffusion MRI. In this article we will describe how Bayesian techniques have made a significant impact in tackling problems such as these, particularly in regards to the analysis tools in the FMRIB Software Library (FSL). We shall see how Bayes provides a framework within which we can attempt to infer on models of neuroimaging data, while allowing us to incorporate our prior belief about the brain and the neuroimaging equipment in the form of biophysically informed or regularising priors. It allows us to extract probabilistic information from the data, and to probabilistically combine information from multiple modalities. Bayes can also be used to not only compare and select between models of different complexity, but also to infer on data using committees of models. Finally, we mention some analysis scenarios where Bayesian methods are impractical, and briefly discuss some practical approaches that we have taken in these cases.","author":[{"dropping-particle":"","family":"Woolrich","given":"Mark W","non-dropping-particle":"","parse-names":false,"suffix":""},{"dropping-particle":"","family":"Jbabdi","given":"Saad","non-dropping-particle":"","parse-names":false,"suffix":""},{"dropping-particle":"","family":"Patenaude","given":"Brian","non-dropping-particle":"","parse-names":false,"suffix":""},{"dropping-particle":"","family":"Chappell","given":"Michael","non-dropping-particle":"","parse-names":false,"suffix":""},{"dropping-particle":"","family":"Makni","given":"Salima","non-dropping-particle":"","parse-names":false,"suffix":""},{"dropping-particle":"","family":"Behrens","given":"Timothy","non-dropping-particle":"","parse-names":false,"suffix":""},{"dropping-particle":"","family":"Beckmann","given":"Christian","non-dropping-particle":"","parse-names":false,"suffix":""},{"dropping-particle":"","family":"Jenkinson","given":"Mark","non-dropping-particle":"","parse-names":false,"suffix":""},{"dropping-particle":"","family":"Smith","given":"Stephen M","non-dropping-particle":"","parse-names":false,"suffix":""}],"container-title":"NeuroImage","id":"ITEM-3","issue":"1 Suppl","issued":{"date-parts":[["2009"]]},"page":"S173-S186","publisher":"Elsevier B.V.","title":"Bayesian analysis of neuroimaging data in FSL.","type":"article-journal","volume":"45"},"uris":["http://www.mendeley.com/documents/?uuid=2e59a9da-d4cf-4a99-91d9-e048b6f36d72"]}],"mendeley":{"formattedCitation":"[17–19]","plainTextFormattedCitation":"[17–19]","previouslyFormattedCitation":"[17–19]"},"properties":{"noteIndex":0},"schema":"https://github.com/citation-style-language/schema/raw/master/csl-citation.json"}</w:instrText>
      </w:r>
      <w:r w:rsidRPr="00C635FF">
        <w:rPr>
          <w:rFonts w:ascii="Times New Roman" w:eastAsiaTheme="minorHAnsi" w:hAnsi="Times New Roman" w:cs="Times New Roman"/>
          <w:b w:val="0"/>
          <w:bCs w:val="0"/>
          <w:color w:val="131413"/>
          <w:kern w:val="0"/>
          <w:sz w:val="24"/>
          <w:szCs w:val="24"/>
        </w:rPr>
        <w:fldChar w:fldCharType="separate"/>
      </w:r>
      <w:r w:rsidRPr="00C635FF">
        <w:rPr>
          <w:rFonts w:ascii="Times New Roman" w:eastAsiaTheme="minorHAnsi" w:hAnsi="Times New Roman" w:cs="Times New Roman"/>
          <w:b w:val="0"/>
          <w:bCs w:val="0"/>
          <w:noProof/>
          <w:color w:val="131413"/>
          <w:kern w:val="0"/>
          <w:sz w:val="24"/>
          <w:szCs w:val="24"/>
        </w:rPr>
        <w:t>[17–19]</w:t>
      </w:r>
      <w:r w:rsidRPr="00C635FF">
        <w:rPr>
          <w:rFonts w:ascii="Times New Roman" w:eastAsiaTheme="minorHAnsi" w:hAnsi="Times New Roman" w:cs="Times New Roman"/>
          <w:b w:val="0"/>
          <w:bCs w:val="0"/>
          <w:color w:val="131413"/>
          <w:kern w:val="0"/>
          <w:sz w:val="24"/>
          <w:szCs w:val="24"/>
        </w:rPr>
        <w:fldChar w:fldCharType="end"/>
      </w:r>
      <w:r w:rsidRPr="00C635FF">
        <w:rPr>
          <w:rFonts w:ascii="Times New Roman" w:eastAsiaTheme="minorHAnsi" w:hAnsi="Times New Roman" w:cs="Times New Roman"/>
          <w:b w:val="0"/>
          <w:bCs w:val="0"/>
          <w:color w:val="131413"/>
          <w:kern w:val="0"/>
          <w:sz w:val="24"/>
          <w:szCs w:val="24"/>
        </w:rPr>
        <w:t>.</w:t>
      </w:r>
    </w:p>
    <w:p w14:paraId="63F26AC3" w14:textId="77777777" w:rsidR="00C635FF" w:rsidRPr="00821999" w:rsidRDefault="00C635FF" w:rsidP="00C635FF">
      <w:pPr>
        <w:pStyle w:val="a5"/>
        <w:spacing w:line="480" w:lineRule="auto"/>
        <w:rPr>
          <w:rStyle w:val="Char2"/>
          <w:rFonts w:ascii="Times New Roman" w:hAnsi="Times New Roman" w:cs="Times New Roman"/>
          <w:b w:val="0"/>
        </w:rPr>
      </w:pPr>
      <w:r w:rsidRPr="00821999">
        <w:rPr>
          <w:rStyle w:val="Char2"/>
          <w:rFonts w:ascii="Times New Roman" w:hAnsi="Times New Roman" w:cs="Times New Roman"/>
          <w:b w:val="0"/>
        </w:rPr>
        <w:br w:type="page"/>
      </w:r>
    </w:p>
    <w:p w14:paraId="65F6A2C3" w14:textId="77777777" w:rsidR="00C635FF" w:rsidRPr="00D40C22" w:rsidRDefault="00C635FF" w:rsidP="00C635FF">
      <w:pPr>
        <w:wordWrap/>
        <w:adjustRightInd w:val="0"/>
        <w:spacing w:line="360" w:lineRule="auto"/>
        <w:rPr>
          <w:rStyle w:val="Char2"/>
          <w:rFonts w:ascii="Times New Roman" w:hAnsi="Times New Roman" w:cs="Times New Roman"/>
          <w:b/>
          <w:sz w:val="24"/>
          <w:szCs w:val="24"/>
        </w:rPr>
      </w:pPr>
      <w:r w:rsidRPr="00D40C22">
        <w:rPr>
          <w:rStyle w:val="Char2"/>
          <w:rFonts w:ascii="Times New Roman" w:hAnsi="Times New Roman" w:cs="Times New Roman"/>
          <w:b/>
          <w:sz w:val="24"/>
          <w:szCs w:val="24"/>
        </w:rPr>
        <w:lastRenderedPageBreak/>
        <w:t>Supplementary Results</w:t>
      </w:r>
    </w:p>
    <w:p w14:paraId="41CF1092" w14:textId="77777777" w:rsidR="00C635FF" w:rsidRPr="00AF1943" w:rsidRDefault="00C635FF" w:rsidP="00C635FF">
      <w:pPr>
        <w:spacing w:line="480" w:lineRule="auto"/>
        <w:rPr>
          <w:rFonts w:ascii="Times New Roman" w:hAnsi="Times New Roman" w:cs="Times New Roman"/>
          <w:sz w:val="24"/>
          <w:szCs w:val="24"/>
          <w:shd w:val="clear" w:color="auto" w:fill="FFFFFF"/>
        </w:rPr>
      </w:pPr>
      <w:r w:rsidRPr="00AF1943">
        <w:rPr>
          <w:rFonts w:ascii="Times New Roman" w:hAnsi="Times New Roman" w:cs="Times New Roman"/>
          <w:sz w:val="24"/>
          <w:szCs w:val="24"/>
          <w:shd w:val="clear" w:color="auto" w:fill="FFFFFF"/>
        </w:rPr>
        <w:t>Using test set2 (kidney) as the training set, we chose three features GLCM difference entropy (sub-sampled), GLCM energy (subsampled), and NGTDM contrast. They were further used to build the Cox-LASSO model. The survival analysis using the model developed from the kidney showed that the risk group could be well stratified in the lung datasets (i.e., the original training set and test set1), but failed in stratification in the kidney and brain tumor datasets (i.e., test set2 and set3) as shown in Figure S1.</w:t>
      </w:r>
    </w:p>
    <w:p w14:paraId="3FBB82F0" w14:textId="77777777" w:rsidR="00C635FF" w:rsidRPr="00D40C22" w:rsidRDefault="00C635FF" w:rsidP="00C635FF">
      <w:pPr>
        <w:keepNext/>
        <w:tabs>
          <w:tab w:val="left" w:pos="5387"/>
        </w:tabs>
        <w:spacing w:line="480" w:lineRule="auto"/>
        <w:jc w:val="center"/>
        <w:rPr>
          <w:rFonts w:ascii="Times New Roman" w:hAnsi="Times New Roman" w:cs="Times New Roman"/>
          <w:sz w:val="24"/>
          <w:szCs w:val="24"/>
        </w:rPr>
      </w:pPr>
      <w:bookmarkStart w:id="1" w:name="_Hlk56076499"/>
      <w:r w:rsidRPr="00AF1943">
        <w:rPr>
          <w:rFonts w:ascii="Times New Roman" w:hAnsi="Times New Roman" w:cs="Times New Roman"/>
          <w:noProof/>
          <w:sz w:val="24"/>
          <w:szCs w:val="24"/>
          <w:shd w:val="clear" w:color="auto" w:fill="FFFFFF"/>
        </w:rPr>
        <w:drawing>
          <wp:inline distT="0" distB="0" distL="0" distR="0" wp14:anchorId="49F6D56F" wp14:editId="1D66DDFD">
            <wp:extent cx="5181486" cy="4067188"/>
            <wp:effectExtent l="0" t="0" r="635"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5"/>
                    <pic:cNvPicPr/>
                  </pic:nvPicPr>
                  <pic:blipFill>
                    <a:blip r:embed="rId9">
                      <a:extLst>
                        <a:ext uri="{28A0092B-C50C-407E-A947-70E740481C1C}">
                          <a14:useLocalDpi xmlns:a14="http://schemas.microsoft.com/office/drawing/2010/main" val="0"/>
                        </a:ext>
                      </a:extLst>
                    </a:blip>
                    <a:stretch>
                      <a:fillRect/>
                    </a:stretch>
                  </pic:blipFill>
                  <pic:spPr>
                    <a:xfrm>
                      <a:off x="0" y="0"/>
                      <a:ext cx="5181486" cy="4067188"/>
                    </a:xfrm>
                    <a:prstGeom prst="rect">
                      <a:avLst/>
                    </a:prstGeom>
                  </pic:spPr>
                </pic:pic>
              </a:graphicData>
            </a:graphic>
          </wp:inline>
        </w:drawing>
      </w:r>
    </w:p>
    <w:p w14:paraId="179AF91F" w14:textId="77777777" w:rsidR="00C635FF" w:rsidRPr="00AF1943" w:rsidRDefault="00C635FF" w:rsidP="00C635FF">
      <w:pPr>
        <w:spacing w:line="480" w:lineRule="auto"/>
        <w:rPr>
          <w:rStyle w:val="Char2"/>
          <w:rFonts w:ascii="Times New Roman" w:hAnsi="Times New Roman" w:cs="Times New Roman"/>
          <w:sz w:val="24"/>
          <w:szCs w:val="24"/>
          <w:lang w:val="en"/>
        </w:rPr>
      </w:pPr>
      <w:r w:rsidRPr="00AF1943">
        <w:rPr>
          <w:rFonts w:ascii="Times New Roman" w:hAnsi="Times New Roman" w:cs="Times New Roman"/>
          <w:sz w:val="24"/>
          <w:szCs w:val="24"/>
        </w:rPr>
        <w:t>Figure S</w:t>
      </w:r>
      <w:r w:rsidRPr="00AF1943">
        <w:rPr>
          <w:rFonts w:ascii="Times New Roman" w:hAnsi="Times New Roman" w:cs="Times New Roman"/>
          <w:sz w:val="24"/>
          <w:szCs w:val="24"/>
        </w:rPr>
        <w:fldChar w:fldCharType="begin"/>
      </w:r>
      <w:r w:rsidRPr="00AF1943">
        <w:rPr>
          <w:rFonts w:ascii="Times New Roman" w:hAnsi="Times New Roman" w:cs="Times New Roman"/>
          <w:sz w:val="24"/>
          <w:szCs w:val="24"/>
        </w:rPr>
        <w:instrText xml:space="preserve"> SEQ Figure._S \* ARABIC </w:instrText>
      </w:r>
      <w:r w:rsidRPr="00AF1943">
        <w:rPr>
          <w:rFonts w:ascii="Times New Roman" w:hAnsi="Times New Roman" w:cs="Times New Roman"/>
          <w:sz w:val="24"/>
          <w:szCs w:val="24"/>
        </w:rPr>
        <w:fldChar w:fldCharType="separate"/>
      </w:r>
      <w:r w:rsidRPr="00AF1943">
        <w:rPr>
          <w:rFonts w:ascii="Times New Roman" w:hAnsi="Times New Roman" w:cs="Times New Roman"/>
          <w:noProof/>
          <w:sz w:val="24"/>
          <w:szCs w:val="24"/>
        </w:rPr>
        <w:t>1</w:t>
      </w:r>
      <w:r w:rsidRPr="00AF1943">
        <w:rPr>
          <w:rFonts w:ascii="Times New Roman" w:hAnsi="Times New Roman" w:cs="Times New Roman"/>
          <w:sz w:val="24"/>
          <w:szCs w:val="24"/>
        </w:rPr>
        <w:fldChar w:fldCharType="end"/>
      </w:r>
      <w:r w:rsidRPr="00AF1943">
        <w:rPr>
          <w:rFonts w:ascii="Times New Roman" w:hAnsi="Times New Roman" w:cs="Times New Roman"/>
          <w:sz w:val="24"/>
          <w:szCs w:val="24"/>
        </w:rPr>
        <w:t xml:space="preserve">. The </w:t>
      </w:r>
      <w:r w:rsidRPr="00AF1943">
        <w:rPr>
          <w:rStyle w:val="Char2"/>
          <w:rFonts w:ascii="Times New Roman" w:hAnsi="Times New Roman" w:cs="Times New Roman" w:hint="eastAsia"/>
          <w:sz w:val="24"/>
          <w:szCs w:val="24"/>
          <w:lang w:val="en"/>
        </w:rPr>
        <w:t>Kaplan-Meier plots using the radiomics score based on test set2 (kidney). (A) training set (top left), (B) test set1 (top right), (C) test set2 (bottom left, model development), and (D) test set3 (bottom right). The blue line is the low-risk group (</w:t>
      </w:r>
      <w:r w:rsidRPr="00AF1943">
        <w:rPr>
          <w:rStyle w:val="Char2"/>
          <w:rFonts w:ascii="Times New Roman" w:hAnsi="Times New Roman" w:cs="Times New Roman" w:hint="eastAsia"/>
          <w:sz w:val="24"/>
          <w:szCs w:val="24"/>
          <w:lang w:val="en"/>
        </w:rPr>
        <w:t>≤</w:t>
      </w:r>
      <w:r w:rsidRPr="00AF1943">
        <w:rPr>
          <w:rStyle w:val="Char2"/>
          <w:rFonts w:ascii="Times New Roman" w:hAnsi="Times New Roman" w:cs="Times New Roman" w:hint="eastAsia"/>
          <w:sz w:val="24"/>
          <w:szCs w:val="24"/>
          <w:lang w:val="en"/>
        </w:rPr>
        <w:t xml:space="preserve"> Median), and the green line is the high-risk group (&gt; Median). (A) and (B) showed significant group differences, but </w:t>
      </w:r>
      <w:r w:rsidRPr="00AF1943">
        <w:rPr>
          <w:rStyle w:val="Char2"/>
          <w:rFonts w:ascii="Times New Roman" w:hAnsi="Times New Roman" w:cs="Times New Roman"/>
          <w:sz w:val="24"/>
          <w:szCs w:val="24"/>
          <w:lang w:val="en"/>
        </w:rPr>
        <w:lastRenderedPageBreak/>
        <w:t>(C) and (D) showed no significant group differences.</w:t>
      </w:r>
    </w:p>
    <w:bookmarkEnd w:id="1"/>
    <w:p w14:paraId="2F53DC20" w14:textId="77777777" w:rsidR="00C635FF" w:rsidRPr="00AF1943" w:rsidRDefault="00C635FF" w:rsidP="00C635FF">
      <w:pPr>
        <w:spacing w:line="480" w:lineRule="auto"/>
        <w:rPr>
          <w:rFonts w:ascii="Times New Roman" w:hAnsi="Times New Roman" w:cs="Times New Roman"/>
          <w:sz w:val="24"/>
          <w:szCs w:val="24"/>
          <w:shd w:val="clear" w:color="auto" w:fill="FFFFFF"/>
        </w:rPr>
      </w:pPr>
      <w:r w:rsidRPr="00AF1943">
        <w:rPr>
          <w:rFonts w:ascii="Times New Roman" w:hAnsi="Times New Roman" w:cs="Times New Roman"/>
          <w:sz w:val="24"/>
          <w:szCs w:val="24"/>
          <w:shd w:val="clear" w:color="auto" w:fill="FFFFFF"/>
        </w:rPr>
        <w:t>Using test set3 (brain) as the training set, we chose informational measure of correlation and NGTDM coarseness. The survival analysis using the model developed from the brain showed that the risk group could be well stratified in one lung dataset (i.e., original training set) but failed in stratification other datasets (test set 1 of lung, test set2, and test set3) as shown in Figure S2.</w:t>
      </w:r>
    </w:p>
    <w:p w14:paraId="3F308480" w14:textId="77777777" w:rsidR="00C635FF" w:rsidRPr="00D40C22" w:rsidRDefault="00C635FF" w:rsidP="00C635FF">
      <w:pPr>
        <w:keepNext/>
        <w:tabs>
          <w:tab w:val="left" w:pos="5387"/>
        </w:tabs>
        <w:spacing w:line="480" w:lineRule="auto"/>
        <w:jc w:val="center"/>
        <w:rPr>
          <w:rFonts w:ascii="Times New Roman" w:hAnsi="Times New Roman" w:cs="Times New Roman"/>
          <w:sz w:val="24"/>
          <w:szCs w:val="24"/>
        </w:rPr>
      </w:pPr>
      <w:r w:rsidRPr="00AF1943">
        <w:rPr>
          <w:rFonts w:ascii="Times New Roman" w:hAnsi="Times New Roman" w:cs="Times New Roman"/>
          <w:noProof/>
          <w:sz w:val="24"/>
          <w:szCs w:val="24"/>
          <w:shd w:val="clear" w:color="auto" w:fill="FFFFFF"/>
        </w:rPr>
        <w:drawing>
          <wp:inline distT="0" distB="0" distL="0" distR="0" wp14:anchorId="0E5F0483" wp14:editId="6E3CC1A5">
            <wp:extent cx="5253876" cy="4128356"/>
            <wp:effectExtent l="0" t="0" r="4445" b="571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6"/>
                    <pic:cNvPicPr/>
                  </pic:nvPicPr>
                  <pic:blipFill>
                    <a:blip r:embed="rId10">
                      <a:extLst>
                        <a:ext uri="{28A0092B-C50C-407E-A947-70E740481C1C}">
                          <a14:useLocalDpi xmlns:a14="http://schemas.microsoft.com/office/drawing/2010/main" val="0"/>
                        </a:ext>
                      </a:extLst>
                    </a:blip>
                    <a:stretch>
                      <a:fillRect/>
                    </a:stretch>
                  </pic:blipFill>
                  <pic:spPr>
                    <a:xfrm>
                      <a:off x="0" y="0"/>
                      <a:ext cx="5253876" cy="4128356"/>
                    </a:xfrm>
                    <a:prstGeom prst="rect">
                      <a:avLst/>
                    </a:prstGeom>
                  </pic:spPr>
                </pic:pic>
              </a:graphicData>
            </a:graphic>
          </wp:inline>
        </w:drawing>
      </w:r>
    </w:p>
    <w:p w14:paraId="43580A47" w14:textId="77777777" w:rsidR="00C635FF" w:rsidRPr="00AF1943" w:rsidRDefault="00C635FF" w:rsidP="00C635FF">
      <w:pPr>
        <w:spacing w:line="480" w:lineRule="auto"/>
        <w:rPr>
          <w:rStyle w:val="Char2"/>
          <w:rFonts w:ascii="Times New Roman" w:hAnsi="Times New Roman" w:cs="Times New Roman"/>
          <w:sz w:val="24"/>
          <w:szCs w:val="24"/>
          <w:lang w:val="en"/>
        </w:rPr>
      </w:pPr>
      <w:r w:rsidRPr="00AF1943">
        <w:rPr>
          <w:rFonts w:ascii="Times New Roman" w:hAnsi="Times New Roman" w:cs="Times New Roman"/>
          <w:sz w:val="24"/>
          <w:szCs w:val="24"/>
        </w:rPr>
        <w:t>Figure S</w:t>
      </w:r>
      <w:r w:rsidRPr="00AF1943">
        <w:rPr>
          <w:rFonts w:ascii="Times New Roman" w:hAnsi="Times New Roman" w:cs="Times New Roman"/>
          <w:sz w:val="24"/>
          <w:szCs w:val="24"/>
        </w:rPr>
        <w:fldChar w:fldCharType="begin"/>
      </w:r>
      <w:r w:rsidRPr="00AF1943">
        <w:rPr>
          <w:rFonts w:ascii="Times New Roman" w:hAnsi="Times New Roman" w:cs="Times New Roman"/>
          <w:sz w:val="24"/>
          <w:szCs w:val="24"/>
        </w:rPr>
        <w:instrText xml:space="preserve"> SEQ Figure._S \* ARABIC </w:instrText>
      </w:r>
      <w:r w:rsidRPr="00AF1943">
        <w:rPr>
          <w:rFonts w:ascii="Times New Roman" w:hAnsi="Times New Roman" w:cs="Times New Roman"/>
          <w:sz w:val="24"/>
          <w:szCs w:val="24"/>
        </w:rPr>
        <w:fldChar w:fldCharType="separate"/>
      </w:r>
      <w:r w:rsidRPr="00AF1943">
        <w:rPr>
          <w:rFonts w:ascii="Times New Roman" w:hAnsi="Times New Roman" w:cs="Times New Roman"/>
          <w:noProof/>
          <w:sz w:val="24"/>
          <w:szCs w:val="24"/>
        </w:rPr>
        <w:t>2</w:t>
      </w:r>
      <w:r w:rsidRPr="00AF1943">
        <w:rPr>
          <w:rFonts w:ascii="Times New Roman" w:hAnsi="Times New Roman" w:cs="Times New Roman"/>
          <w:sz w:val="24"/>
          <w:szCs w:val="24"/>
        </w:rPr>
        <w:fldChar w:fldCharType="end"/>
      </w:r>
      <w:r w:rsidRPr="00AF1943">
        <w:rPr>
          <w:rFonts w:ascii="Times New Roman" w:hAnsi="Times New Roman" w:cs="Times New Roman"/>
          <w:sz w:val="24"/>
          <w:szCs w:val="24"/>
        </w:rPr>
        <w:t xml:space="preserve">. The </w:t>
      </w:r>
      <w:r w:rsidRPr="00AF1943">
        <w:rPr>
          <w:rStyle w:val="Char2"/>
          <w:rFonts w:ascii="Times New Roman" w:hAnsi="Times New Roman" w:cs="Times New Roman"/>
          <w:sz w:val="24"/>
          <w:szCs w:val="24"/>
          <w:lang w:val="en"/>
        </w:rPr>
        <w:t xml:space="preserve">Kaplan-Meier plots using the radiomics score based on test set2 (brain). (A) training set (top left), (B) test set1 (top right), (C) test set2 (bottom left), and (D) test set3 (bottom right, model development). The blue line is the low-risk group </w:t>
      </w:r>
      <w:r w:rsidRPr="00AF1943">
        <w:rPr>
          <w:rStyle w:val="Char2"/>
          <w:rFonts w:ascii="Times New Roman" w:hAnsi="Times New Roman" w:cs="Times New Roman" w:hint="eastAsia"/>
          <w:sz w:val="24"/>
          <w:szCs w:val="24"/>
          <w:lang w:val="en"/>
        </w:rPr>
        <w:t>(</w:t>
      </w:r>
      <w:r w:rsidRPr="00AF1943">
        <w:rPr>
          <w:rStyle w:val="Char2"/>
          <w:rFonts w:ascii="Times New Roman" w:hAnsi="Times New Roman" w:cs="Times New Roman" w:hint="eastAsia"/>
          <w:sz w:val="24"/>
          <w:szCs w:val="24"/>
          <w:lang w:val="en"/>
        </w:rPr>
        <w:t>≤</w:t>
      </w:r>
      <w:r w:rsidRPr="00AF1943">
        <w:rPr>
          <w:rStyle w:val="Char2"/>
          <w:rFonts w:ascii="Times New Roman" w:hAnsi="Times New Roman" w:cs="Times New Roman"/>
          <w:sz w:val="24"/>
          <w:szCs w:val="24"/>
          <w:lang w:val="en"/>
        </w:rPr>
        <w:t xml:space="preserve"> Median), and the green line is the high-risk group (&gt; Median). Only (A) showed significant group differences. (B), (C) and (D) showed no significant group differences.</w:t>
      </w:r>
      <w:r w:rsidRPr="00AF1943">
        <w:rPr>
          <w:rStyle w:val="Char2"/>
          <w:rFonts w:ascii="Times New Roman" w:hAnsi="Times New Roman" w:cs="Times New Roman"/>
          <w:sz w:val="24"/>
          <w:szCs w:val="24"/>
          <w:lang w:val="en"/>
        </w:rPr>
        <w:br w:type="page"/>
      </w:r>
    </w:p>
    <w:p w14:paraId="238F0F3A" w14:textId="77777777" w:rsidR="00C635FF" w:rsidRPr="00821999" w:rsidRDefault="00C635FF" w:rsidP="00C635FF">
      <w:pPr>
        <w:spacing w:line="480" w:lineRule="auto"/>
        <w:rPr>
          <w:rStyle w:val="Char2"/>
          <w:rFonts w:ascii="Times New Roman" w:hAnsi="Times New Roman" w:cs="Times New Roman"/>
          <w:b/>
          <w:sz w:val="24"/>
          <w:szCs w:val="24"/>
        </w:rPr>
      </w:pPr>
      <w:r w:rsidRPr="00821999">
        <w:rPr>
          <w:rStyle w:val="Char2"/>
          <w:rFonts w:ascii="Times New Roman" w:hAnsi="Times New Roman" w:cs="Times New Roman"/>
          <w:b/>
          <w:sz w:val="24"/>
          <w:szCs w:val="24"/>
        </w:rPr>
        <w:lastRenderedPageBreak/>
        <w:t>Supplementary Reference</w:t>
      </w:r>
    </w:p>
    <w:p w14:paraId="4247D7D9"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sz w:val="24"/>
          <w:szCs w:val="24"/>
        </w:rPr>
        <w:fldChar w:fldCharType="begin" w:fldLock="1"/>
      </w:r>
      <w:r w:rsidRPr="00821999">
        <w:rPr>
          <w:rFonts w:ascii="Times New Roman" w:hAnsi="Times New Roman" w:cs="Times New Roman"/>
          <w:sz w:val="24"/>
          <w:szCs w:val="24"/>
        </w:rPr>
        <w:instrText xml:space="preserve">ADDIN Mendeley Bibliography CSL_BIBLIOGRAPHY </w:instrText>
      </w:r>
      <w:r w:rsidRPr="00821999">
        <w:rPr>
          <w:rFonts w:ascii="Times New Roman" w:hAnsi="Times New Roman" w:cs="Times New Roman"/>
          <w:sz w:val="24"/>
          <w:szCs w:val="24"/>
        </w:rPr>
        <w:fldChar w:fldCharType="separate"/>
      </w:r>
      <w:r w:rsidRPr="00821999">
        <w:rPr>
          <w:rFonts w:ascii="Times New Roman" w:hAnsi="Times New Roman" w:cs="Times New Roman"/>
          <w:noProof/>
          <w:kern w:val="0"/>
          <w:sz w:val="24"/>
          <w:szCs w:val="24"/>
        </w:rPr>
        <w:t xml:space="preserve">1. Zwanenburg A, Vallières M, Abdalah MA, Aerts HJWL, Andrearczyk V, Apte A, et al. The Image Biomarker Standardization Initiative: Standardized Quantitative Radiomics for High-Throughput Image-based Phenotyping. Radiology. 2020;191145. </w:t>
      </w:r>
    </w:p>
    <w:p w14:paraId="59306703"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2. Aerts HJWL, Velazquez ER, Leijenaar RT, Parmar C, Grossmann P, Carvalho S, et al. Decoding tumour phenotype by noninvasive imaging using a quantitative radiomics approach. Nat Commun. 2014;5:4006. </w:t>
      </w:r>
    </w:p>
    <w:p w14:paraId="30ECCD5C"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3. Aerts HJWL, Grossmann P, Tan Y, Oxnard GG, Rizvi N, Schwartz LH, et al. Defining a Radiomic Response Phenotype: A Pilot Study using targeted therapy in NSCLC. Sci Rep. Nature Publishing Group; 2016;6. </w:t>
      </w:r>
    </w:p>
    <w:p w14:paraId="078F1226"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4. Chong Y, Kim JH, Lee HY, Ahn YC, Lee KS, Ahn MJ, et al. Quantitative CT variables enabling response prediction in neoadjuvant therapy with EGFR-TKIs: Are they different from those in neoadjuvant concurrent chemoradiotherapy? PLoS One. 2014;9:1–8. </w:t>
      </w:r>
    </w:p>
    <w:p w14:paraId="16B7F979"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5. Niu L, Qian M, Yang W, Meng L, Xiao Y, Wong KKL, et al. Surface Roughness Detection of Arteries via Texture Analysis of Ultrasound Images for Early Diagnosis of Atherosclerosis. PLoS One. 2013;8. </w:t>
      </w:r>
    </w:p>
    <w:p w14:paraId="2AEA5D3E"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6. Davnall F, Yip CSP, Ljungqvist G, Selmi M, Ng F, Sanghera B, et al. Assessment of tumor heterogeneity: An emerging imaging tool for clinical practice? Insights Imaging. 2012;3:573–89. </w:t>
      </w:r>
    </w:p>
    <w:p w14:paraId="7C07D588"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7. Lennon FE, Cianci GC, Cipriani NA, Hensing T a, Zhang HJ, Chen C-T, et al. Lung cancer—a fractal viewpoint. Nat Rev Clin Oncol. Nature Publishing Group; 2015;12:664–75. </w:t>
      </w:r>
    </w:p>
    <w:p w14:paraId="5397C395"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8. Wang C, Subashi E, Yin FF, Chang Z. Dynamic fractal signature dissimilarity analysis for </w:t>
      </w:r>
      <w:r w:rsidRPr="00821999">
        <w:rPr>
          <w:rFonts w:ascii="Times New Roman" w:hAnsi="Times New Roman" w:cs="Times New Roman"/>
          <w:noProof/>
          <w:kern w:val="0"/>
          <w:sz w:val="24"/>
          <w:szCs w:val="24"/>
        </w:rPr>
        <w:lastRenderedPageBreak/>
        <w:t xml:space="preserve">therapeutic response assessment using dynamic contrast-enhanced MRI. Med Phys. 2016;43:1335–47. </w:t>
      </w:r>
    </w:p>
    <w:p w14:paraId="00370AAB"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9. Clark K, Vendt B, Smith K, Freymann J, Kirby J, Koppel P, et al. The cancer imaging archive (TCIA): Maintaining and operating a public information repository. J Digit Imaging. 2013;26:1045–57. </w:t>
      </w:r>
    </w:p>
    <w:p w14:paraId="5AA0E5EF"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10. Welch ML, McIntosh C, Haibe-Kains B, Milosevic MF, Wee L, Dekker A, et al. Vulnerabilities of radiomic signature development: The need for safeguards. Radiother Oncol [Internet]. The Author(s); 2019;130:2–9. Available from: https://doi.org/10.1016/j.radonc.2018.10.027</w:t>
      </w:r>
    </w:p>
    <w:p w14:paraId="69A1FB48"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11. Grove O, Berglund AE, Schabath MB, Aerts HJWL, Dekker A, Wang H, et al. Quantitative computed tomographic descriptors associate tumor shape complexity and intratumor heterogeneity with prognosis in lung adenocarcinoma. PLoS One. 2015;10:1–14. </w:t>
      </w:r>
    </w:p>
    <w:p w14:paraId="0631F23F"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12. Akin, O., Elnajjar, P., Heller, M., Jarosz, R., Erickson, B. J., Kirk, S.,Filippini J. Radiology Data from The Cancer Genome Atlas Kidney Renal Clear Cell Carcinoma [TCGA-KIRC] collection. Cancer Imaging Arch. 2016; </w:t>
      </w:r>
    </w:p>
    <w:p w14:paraId="4526FC61"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13. Kocak B, Durmaz ES, Kaya OK, Ates E, Kilickesmez O. Reliability of single-slice–based 2D CT texture analysis of renal masses: Influence of intra- And interobserver manual segmentation variability on radiomic feature reproducibility. Am J Roentgenol. 2019;213:377–83. </w:t>
      </w:r>
    </w:p>
    <w:p w14:paraId="03ACF680"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14. Radiology Data from the Clinical Proteomic Tumor Analysis Consortium Glioblastoma Multiforme [CPTAC-GBM] collection. Cancer Imaging Arch [Internet]. 2018; Available from: https://wiki.cancerimagingarchive.net/display/Public/CPTAC-GBM#4dc5f53338634b35a3500cbed18472e0</w:t>
      </w:r>
    </w:p>
    <w:p w14:paraId="1D793723"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lastRenderedPageBreak/>
        <w:t xml:space="preserve">15. Mansoor A, Bagci U, Foster B, Xu Z, Douglas D, Solomon JM, et al. CIDI-lung-seg: A single-click annotation tool for automatic delineation of lungs from CT scans. 2014 36th Annu Int Conf IEEE Eng Med Biol Soc EMBC 2014. 2014. p. 1087–90. </w:t>
      </w:r>
    </w:p>
    <w:p w14:paraId="4E44FAC1"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16. Song SH, Park H, Lee G, Lee HY, Sohn I, Kim HS, et al. Imaging Phenotyping Using Radiomics to Predict Micropapillary Pattern within Lung Adenocarcinoma. J Thorac Oncol [Internet]. Elsevier Inc; 2017;12:624–32. Available from: http://dx.doi.org/10.1016/j.jtho.2016.11.2230</w:t>
      </w:r>
    </w:p>
    <w:p w14:paraId="47548B11"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17. Smith SM, Jenkinson M, Woolrich MW, Beckmann CF, Behrens TEJ, Johansen-Berg H, et al. Advances in functional and structural MR image analysis and implementation as FSL. Neuroimage. 2004. p. 208–19. </w:t>
      </w:r>
    </w:p>
    <w:p w14:paraId="1167D38F" w14:textId="77777777" w:rsidR="00C635FF" w:rsidRPr="00821999" w:rsidRDefault="00C635FF" w:rsidP="00C635FF">
      <w:pPr>
        <w:wordWrap/>
        <w:adjustRightInd w:val="0"/>
        <w:spacing w:line="480" w:lineRule="auto"/>
        <w:jc w:val="left"/>
        <w:rPr>
          <w:rFonts w:ascii="Times New Roman" w:hAnsi="Times New Roman" w:cs="Times New Roman"/>
          <w:noProof/>
          <w:kern w:val="0"/>
          <w:sz w:val="24"/>
          <w:szCs w:val="24"/>
        </w:rPr>
      </w:pPr>
      <w:r w:rsidRPr="00821999">
        <w:rPr>
          <w:rFonts w:ascii="Times New Roman" w:hAnsi="Times New Roman" w:cs="Times New Roman"/>
          <w:noProof/>
          <w:kern w:val="0"/>
          <w:sz w:val="24"/>
          <w:szCs w:val="24"/>
        </w:rPr>
        <w:t xml:space="preserve">18. Jenkinson M, Beckmann CF, Behrens TEJ, Woolrich MW, Smith SM. FSL. Neuroimage. 2012;62:782–90. </w:t>
      </w:r>
    </w:p>
    <w:p w14:paraId="572BDA42" w14:textId="77777777" w:rsidR="00C635FF" w:rsidRPr="00821999" w:rsidRDefault="00C635FF" w:rsidP="00C635FF">
      <w:pPr>
        <w:wordWrap/>
        <w:adjustRightInd w:val="0"/>
        <w:spacing w:line="480" w:lineRule="auto"/>
        <w:jc w:val="left"/>
        <w:rPr>
          <w:rFonts w:ascii="Times New Roman" w:hAnsi="Times New Roman" w:cs="Times New Roman"/>
          <w:noProof/>
          <w:sz w:val="24"/>
          <w:szCs w:val="24"/>
        </w:rPr>
      </w:pPr>
      <w:r w:rsidRPr="00821999">
        <w:rPr>
          <w:rFonts w:ascii="Times New Roman" w:hAnsi="Times New Roman" w:cs="Times New Roman"/>
          <w:noProof/>
          <w:kern w:val="0"/>
          <w:sz w:val="24"/>
          <w:szCs w:val="24"/>
        </w:rPr>
        <w:t>19. Woolrich MW, Jbabdi S, Patenaude B, Chappell M, Makni S, Behrens T, et al. Bayesian analysis of neuroimaging data in FSL. Neuroimage [Internet]. Elsevier B.V.; 2009;45:S173–86. Available from: http://dx.doi.org/10.1016/j.neuroimage.2008.10.055</w:t>
      </w:r>
    </w:p>
    <w:p w14:paraId="4860F07D" w14:textId="77777777" w:rsidR="00C635FF" w:rsidRPr="00DF2AAC" w:rsidRDefault="00C635FF" w:rsidP="00C635FF">
      <w:pPr>
        <w:rPr>
          <w:rFonts w:ascii="Times New Roman" w:hAnsi="Times New Roman" w:cs="Times New Roman"/>
          <w:sz w:val="24"/>
          <w:szCs w:val="24"/>
        </w:rPr>
      </w:pPr>
      <w:r w:rsidRPr="00821999">
        <w:rPr>
          <w:rFonts w:ascii="Times New Roman" w:hAnsi="Times New Roman" w:cs="Times New Roman"/>
          <w:sz w:val="24"/>
          <w:szCs w:val="24"/>
        </w:rPr>
        <w:fldChar w:fldCharType="end"/>
      </w:r>
    </w:p>
    <w:sectPr w:rsidR="00C635FF" w:rsidRPr="00DF2AAC">
      <w:footerReference w:type="default" r:id="rId11"/>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3706EA" w14:textId="77777777" w:rsidR="00857441" w:rsidRDefault="00857441" w:rsidP="008B263C">
      <w:pPr>
        <w:spacing w:after="0" w:line="240" w:lineRule="auto"/>
      </w:pPr>
      <w:r>
        <w:separator/>
      </w:r>
    </w:p>
  </w:endnote>
  <w:endnote w:type="continuationSeparator" w:id="0">
    <w:p w14:paraId="2F3ED034" w14:textId="77777777" w:rsidR="00857441" w:rsidRDefault="00857441" w:rsidP="008B2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1187585"/>
      <w:docPartObj>
        <w:docPartGallery w:val="Page Numbers (Bottom of Page)"/>
        <w:docPartUnique/>
      </w:docPartObj>
    </w:sdtPr>
    <w:sdtEndPr/>
    <w:sdtContent>
      <w:p w14:paraId="67945514" w14:textId="0D9C1453" w:rsidR="001F380A" w:rsidRDefault="001F380A">
        <w:pPr>
          <w:pStyle w:val="a8"/>
          <w:jc w:val="center"/>
        </w:pPr>
        <w:r>
          <w:fldChar w:fldCharType="begin"/>
        </w:r>
        <w:r>
          <w:instrText>PAGE   \* MERGEFORMAT</w:instrText>
        </w:r>
        <w:r>
          <w:fldChar w:fldCharType="separate"/>
        </w:r>
        <w:r>
          <w:rPr>
            <w:lang w:val="ko-KR"/>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1177459"/>
      <w:docPartObj>
        <w:docPartGallery w:val="Page Numbers (Bottom of Page)"/>
        <w:docPartUnique/>
      </w:docPartObj>
    </w:sdtPr>
    <w:sdtEndPr/>
    <w:sdtContent>
      <w:p w14:paraId="798AEF4B" w14:textId="71190DE6" w:rsidR="001F380A" w:rsidRDefault="001F380A">
        <w:pPr>
          <w:pStyle w:val="a8"/>
          <w:jc w:val="center"/>
        </w:pPr>
        <w:r>
          <w:fldChar w:fldCharType="begin"/>
        </w:r>
        <w:r>
          <w:instrText>PAGE   \* MERGEFORMAT</w:instrText>
        </w:r>
        <w:r>
          <w:fldChar w:fldCharType="separate"/>
        </w:r>
        <w:r w:rsidRPr="004958F1">
          <w:rPr>
            <w:noProof/>
            <w:lang w:val="ko-KR"/>
          </w:rPr>
          <w:t>16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3011CF" w14:textId="77777777" w:rsidR="00857441" w:rsidRDefault="00857441" w:rsidP="008B263C">
      <w:pPr>
        <w:spacing w:after="0" w:line="240" w:lineRule="auto"/>
      </w:pPr>
      <w:r>
        <w:separator/>
      </w:r>
    </w:p>
  </w:footnote>
  <w:footnote w:type="continuationSeparator" w:id="0">
    <w:p w14:paraId="32CAD6B1" w14:textId="77777777" w:rsidR="00857441" w:rsidRDefault="00857441" w:rsidP="008B26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742007"/>
    <w:multiLevelType w:val="hybridMultilevel"/>
    <w:tmpl w:val="0D20F1B8"/>
    <w:lvl w:ilvl="0" w:tplc="C36A592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1CE83876"/>
    <w:multiLevelType w:val="hybridMultilevel"/>
    <w:tmpl w:val="2110B71E"/>
    <w:lvl w:ilvl="0" w:tplc="7990ECD4">
      <w:start w:val="1"/>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41BD2CAF"/>
    <w:multiLevelType w:val="hybridMultilevel"/>
    <w:tmpl w:val="8A22A836"/>
    <w:lvl w:ilvl="0" w:tplc="337EF8C0">
      <w:start w:val="1"/>
      <w:numFmt w:val="decimal"/>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5AEC611B"/>
    <w:multiLevelType w:val="hybridMultilevel"/>
    <w:tmpl w:val="BB40309E"/>
    <w:lvl w:ilvl="0" w:tplc="04090001">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 w15:restartNumberingAfterBreak="0">
    <w:nsid w:val="74303906"/>
    <w:multiLevelType w:val="hybridMultilevel"/>
    <w:tmpl w:val="46047FBA"/>
    <w:lvl w:ilvl="0" w:tplc="95B254C4">
      <w:numFmt w:val="bullet"/>
      <w:lvlText w:val=""/>
      <w:lvlJc w:val="left"/>
      <w:pPr>
        <w:ind w:left="760" w:hanging="360"/>
      </w:pPr>
      <w:rPr>
        <w:rFonts w:ascii="Wingdings" w:eastAsiaTheme="minorHAnsi"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bordersDoNotSurroundHeader/>
  <w:bordersDoNotSurroundFooter/>
  <w:hideSpellingErrors/>
  <w:hideGrammaticalErrors/>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zMLE0NjcwNDIzNjVX0lEKTi0uzszPAykwNa0FADHW/84tAAAA"/>
  </w:docVars>
  <w:rsids>
    <w:rsidRoot w:val="002719D0"/>
    <w:rsid w:val="00001C29"/>
    <w:rsid w:val="00001CE5"/>
    <w:rsid w:val="00001D75"/>
    <w:rsid w:val="00005034"/>
    <w:rsid w:val="000068C4"/>
    <w:rsid w:val="00012F77"/>
    <w:rsid w:val="000142CC"/>
    <w:rsid w:val="00020184"/>
    <w:rsid w:val="00020B1B"/>
    <w:rsid w:val="000239DE"/>
    <w:rsid w:val="00023B8C"/>
    <w:rsid w:val="000241CE"/>
    <w:rsid w:val="0002432F"/>
    <w:rsid w:val="000244FF"/>
    <w:rsid w:val="00024541"/>
    <w:rsid w:val="00024880"/>
    <w:rsid w:val="0002597A"/>
    <w:rsid w:val="000269A0"/>
    <w:rsid w:val="00026C5C"/>
    <w:rsid w:val="000323EB"/>
    <w:rsid w:val="00034890"/>
    <w:rsid w:val="00037B66"/>
    <w:rsid w:val="00045058"/>
    <w:rsid w:val="00046B79"/>
    <w:rsid w:val="00051DF7"/>
    <w:rsid w:val="00054B39"/>
    <w:rsid w:val="000575FD"/>
    <w:rsid w:val="00060639"/>
    <w:rsid w:val="00067A46"/>
    <w:rsid w:val="00076BAF"/>
    <w:rsid w:val="00085427"/>
    <w:rsid w:val="00086D4D"/>
    <w:rsid w:val="00093209"/>
    <w:rsid w:val="00093559"/>
    <w:rsid w:val="00095210"/>
    <w:rsid w:val="0009594D"/>
    <w:rsid w:val="00096C1B"/>
    <w:rsid w:val="000A6F3C"/>
    <w:rsid w:val="000B15B0"/>
    <w:rsid w:val="000B166A"/>
    <w:rsid w:val="000B1986"/>
    <w:rsid w:val="000B2448"/>
    <w:rsid w:val="000B59BA"/>
    <w:rsid w:val="000B6C76"/>
    <w:rsid w:val="000B79C7"/>
    <w:rsid w:val="000C0070"/>
    <w:rsid w:val="000C5436"/>
    <w:rsid w:val="000D66FC"/>
    <w:rsid w:val="000E0E2F"/>
    <w:rsid w:val="000E16B1"/>
    <w:rsid w:val="000E27FF"/>
    <w:rsid w:val="000E51D7"/>
    <w:rsid w:val="000E6263"/>
    <w:rsid w:val="000E7B93"/>
    <w:rsid w:val="000F2693"/>
    <w:rsid w:val="000F2754"/>
    <w:rsid w:val="000F2888"/>
    <w:rsid w:val="000F2C8B"/>
    <w:rsid w:val="000F39A3"/>
    <w:rsid w:val="000F4193"/>
    <w:rsid w:val="000F5C5F"/>
    <w:rsid w:val="000F62B9"/>
    <w:rsid w:val="000F7523"/>
    <w:rsid w:val="0010043E"/>
    <w:rsid w:val="00100792"/>
    <w:rsid w:val="00101B42"/>
    <w:rsid w:val="00102213"/>
    <w:rsid w:val="00102974"/>
    <w:rsid w:val="0010492A"/>
    <w:rsid w:val="00104BF1"/>
    <w:rsid w:val="00105B50"/>
    <w:rsid w:val="00106377"/>
    <w:rsid w:val="00111134"/>
    <w:rsid w:val="00113238"/>
    <w:rsid w:val="001239D7"/>
    <w:rsid w:val="001254EE"/>
    <w:rsid w:val="0012627B"/>
    <w:rsid w:val="001267A0"/>
    <w:rsid w:val="00130C62"/>
    <w:rsid w:val="00134F84"/>
    <w:rsid w:val="00136321"/>
    <w:rsid w:val="00144B1D"/>
    <w:rsid w:val="0014564A"/>
    <w:rsid w:val="00147067"/>
    <w:rsid w:val="00147EC5"/>
    <w:rsid w:val="0016006E"/>
    <w:rsid w:val="00160455"/>
    <w:rsid w:val="001613C6"/>
    <w:rsid w:val="001620B6"/>
    <w:rsid w:val="00165A93"/>
    <w:rsid w:val="00166BB4"/>
    <w:rsid w:val="00175B48"/>
    <w:rsid w:val="00176167"/>
    <w:rsid w:val="00176A2E"/>
    <w:rsid w:val="001772E3"/>
    <w:rsid w:val="00177360"/>
    <w:rsid w:val="00183F2A"/>
    <w:rsid w:val="00185F06"/>
    <w:rsid w:val="0018653B"/>
    <w:rsid w:val="00187020"/>
    <w:rsid w:val="00192710"/>
    <w:rsid w:val="001956DA"/>
    <w:rsid w:val="00197780"/>
    <w:rsid w:val="001A1A6C"/>
    <w:rsid w:val="001A6A58"/>
    <w:rsid w:val="001A7617"/>
    <w:rsid w:val="001B0431"/>
    <w:rsid w:val="001B52DC"/>
    <w:rsid w:val="001B689B"/>
    <w:rsid w:val="001C2943"/>
    <w:rsid w:val="001C2B93"/>
    <w:rsid w:val="001C54ED"/>
    <w:rsid w:val="001C6301"/>
    <w:rsid w:val="001D0699"/>
    <w:rsid w:val="001D0A08"/>
    <w:rsid w:val="001D1890"/>
    <w:rsid w:val="001D4B04"/>
    <w:rsid w:val="001D77AE"/>
    <w:rsid w:val="001E44AE"/>
    <w:rsid w:val="001F1800"/>
    <w:rsid w:val="001F21C8"/>
    <w:rsid w:val="001F380A"/>
    <w:rsid w:val="001F3D52"/>
    <w:rsid w:val="001F3D64"/>
    <w:rsid w:val="001F55AA"/>
    <w:rsid w:val="001F6AFC"/>
    <w:rsid w:val="001F7679"/>
    <w:rsid w:val="00204442"/>
    <w:rsid w:val="00211094"/>
    <w:rsid w:val="00213684"/>
    <w:rsid w:val="00215983"/>
    <w:rsid w:val="00220C9D"/>
    <w:rsid w:val="00221431"/>
    <w:rsid w:val="002234BF"/>
    <w:rsid w:val="002252F9"/>
    <w:rsid w:val="00230751"/>
    <w:rsid w:val="0023112F"/>
    <w:rsid w:val="00233119"/>
    <w:rsid w:val="002338F5"/>
    <w:rsid w:val="00236115"/>
    <w:rsid w:val="00240142"/>
    <w:rsid w:val="00240F27"/>
    <w:rsid w:val="002434C5"/>
    <w:rsid w:val="00247409"/>
    <w:rsid w:val="00247634"/>
    <w:rsid w:val="00253619"/>
    <w:rsid w:val="00253EEE"/>
    <w:rsid w:val="0026011C"/>
    <w:rsid w:val="002604DD"/>
    <w:rsid w:val="00260D8F"/>
    <w:rsid w:val="002619FF"/>
    <w:rsid w:val="00262707"/>
    <w:rsid w:val="002653FE"/>
    <w:rsid w:val="00266752"/>
    <w:rsid w:val="00267BE0"/>
    <w:rsid w:val="00270A7C"/>
    <w:rsid w:val="00270D4B"/>
    <w:rsid w:val="002719D0"/>
    <w:rsid w:val="002719FA"/>
    <w:rsid w:val="0027355B"/>
    <w:rsid w:val="0027570B"/>
    <w:rsid w:val="00276873"/>
    <w:rsid w:val="00276A8E"/>
    <w:rsid w:val="00277D9C"/>
    <w:rsid w:val="00282ED0"/>
    <w:rsid w:val="00283537"/>
    <w:rsid w:val="00283826"/>
    <w:rsid w:val="00283C53"/>
    <w:rsid w:val="002842F5"/>
    <w:rsid w:val="00284533"/>
    <w:rsid w:val="00286A82"/>
    <w:rsid w:val="00291F33"/>
    <w:rsid w:val="00292156"/>
    <w:rsid w:val="0029322C"/>
    <w:rsid w:val="002964EA"/>
    <w:rsid w:val="00296853"/>
    <w:rsid w:val="00296982"/>
    <w:rsid w:val="002A1B42"/>
    <w:rsid w:val="002A1CDC"/>
    <w:rsid w:val="002A42D3"/>
    <w:rsid w:val="002B0E76"/>
    <w:rsid w:val="002B0EF2"/>
    <w:rsid w:val="002B134D"/>
    <w:rsid w:val="002B3895"/>
    <w:rsid w:val="002B4358"/>
    <w:rsid w:val="002B4ECF"/>
    <w:rsid w:val="002B52B3"/>
    <w:rsid w:val="002B5542"/>
    <w:rsid w:val="002B6087"/>
    <w:rsid w:val="002B6D0B"/>
    <w:rsid w:val="002B73D5"/>
    <w:rsid w:val="002C2257"/>
    <w:rsid w:val="002C753B"/>
    <w:rsid w:val="002D025B"/>
    <w:rsid w:val="002D0F1D"/>
    <w:rsid w:val="002D243A"/>
    <w:rsid w:val="002D441C"/>
    <w:rsid w:val="002D4B96"/>
    <w:rsid w:val="002D63F5"/>
    <w:rsid w:val="002D7367"/>
    <w:rsid w:val="002E00ED"/>
    <w:rsid w:val="002E050A"/>
    <w:rsid w:val="002E19BB"/>
    <w:rsid w:val="002E67E1"/>
    <w:rsid w:val="002E6A65"/>
    <w:rsid w:val="002E6AF8"/>
    <w:rsid w:val="002F1AA2"/>
    <w:rsid w:val="002F1E99"/>
    <w:rsid w:val="002F4060"/>
    <w:rsid w:val="002F7EFC"/>
    <w:rsid w:val="003015F1"/>
    <w:rsid w:val="003027EA"/>
    <w:rsid w:val="0030688A"/>
    <w:rsid w:val="00313D06"/>
    <w:rsid w:val="003162B7"/>
    <w:rsid w:val="00316946"/>
    <w:rsid w:val="00320ADB"/>
    <w:rsid w:val="003221F7"/>
    <w:rsid w:val="00324829"/>
    <w:rsid w:val="00327225"/>
    <w:rsid w:val="00327420"/>
    <w:rsid w:val="003278AF"/>
    <w:rsid w:val="00333262"/>
    <w:rsid w:val="00333376"/>
    <w:rsid w:val="003336CA"/>
    <w:rsid w:val="00334448"/>
    <w:rsid w:val="00335F9F"/>
    <w:rsid w:val="003403A5"/>
    <w:rsid w:val="00343038"/>
    <w:rsid w:val="0034304C"/>
    <w:rsid w:val="00343D39"/>
    <w:rsid w:val="00343F3D"/>
    <w:rsid w:val="00344087"/>
    <w:rsid w:val="00346D5B"/>
    <w:rsid w:val="00347FA9"/>
    <w:rsid w:val="00352245"/>
    <w:rsid w:val="003564DA"/>
    <w:rsid w:val="003566DF"/>
    <w:rsid w:val="00356A52"/>
    <w:rsid w:val="003575CD"/>
    <w:rsid w:val="003629AF"/>
    <w:rsid w:val="0036352D"/>
    <w:rsid w:val="003637E3"/>
    <w:rsid w:val="003648F5"/>
    <w:rsid w:val="00366BE4"/>
    <w:rsid w:val="00370C03"/>
    <w:rsid w:val="00373C9A"/>
    <w:rsid w:val="00377AA8"/>
    <w:rsid w:val="0038080A"/>
    <w:rsid w:val="00380C27"/>
    <w:rsid w:val="0038517D"/>
    <w:rsid w:val="00386780"/>
    <w:rsid w:val="003867D7"/>
    <w:rsid w:val="0039358D"/>
    <w:rsid w:val="00393C82"/>
    <w:rsid w:val="003A1EC1"/>
    <w:rsid w:val="003A2E45"/>
    <w:rsid w:val="003A5A4B"/>
    <w:rsid w:val="003B140F"/>
    <w:rsid w:val="003B45C2"/>
    <w:rsid w:val="003B5A24"/>
    <w:rsid w:val="003B5FB6"/>
    <w:rsid w:val="003B6F9F"/>
    <w:rsid w:val="003C512B"/>
    <w:rsid w:val="003C7FA3"/>
    <w:rsid w:val="003D0396"/>
    <w:rsid w:val="003D071B"/>
    <w:rsid w:val="003D0AF8"/>
    <w:rsid w:val="003D2704"/>
    <w:rsid w:val="003D5288"/>
    <w:rsid w:val="003D5A70"/>
    <w:rsid w:val="003E1C38"/>
    <w:rsid w:val="003E2BC6"/>
    <w:rsid w:val="003E3CAE"/>
    <w:rsid w:val="003E43BA"/>
    <w:rsid w:val="003E5048"/>
    <w:rsid w:val="003F1F8E"/>
    <w:rsid w:val="003F2E76"/>
    <w:rsid w:val="003F511B"/>
    <w:rsid w:val="004016C8"/>
    <w:rsid w:val="00403A71"/>
    <w:rsid w:val="00403AC8"/>
    <w:rsid w:val="00405802"/>
    <w:rsid w:val="00407627"/>
    <w:rsid w:val="004077B1"/>
    <w:rsid w:val="00417D8B"/>
    <w:rsid w:val="004213E1"/>
    <w:rsid w:val="00421ECF"/>
    <w:rsid w:val="00422749"/>
    <w:rsid w:val="004248F2"/>
    <w:rsid w:val="00425157"/>
    <w:rsid w:val="00425EC1"/>
    <w:rsid w:val="00426813"/>
    <w:rsid w:val="00430110"/>
    <w:rsid w:val="00431A8D"/>
    <w:rsid w:val="00432BEA"/>
    <w:rsid w:val="00437776"/>
    <w:rsid w:val="004403EA"/>
    <w:rsid w:val="00441BC7"/>
    <w:rsid w:val="004519A0"/>
    <w:rsid w:val="00451FF7"/>
    <w:rsid w:val="00453675"/>
    <w:rsid w:val="00453CEE"/>
    <w:rsid w:val="00455EEC"/>
    <w:rsid w:val="00456B54"/>
    <w:rsid w:val="00456C0B"/>
    <w:rsid w:val="00456E02"/>
    <w:rsid w:val="0046070F"/>
    <w:rsid w:val="004611EB"/>
    <w:rsid w:val="00462C9B"/>
    <w:rsid w:val="00464021"/>
    <w:rsid w:val="00464CB5"/>
    <w:rsid w:val="0046502F"/>
    <w:rsid w:val="004651D8"/>
    <w:rsid w:val="004736D9"/>
    <w:rsid w:val="0047488D"/>
    <w:rsid w:val="00475DA4"/>
    <w:rsid w:val="00476B28"/>
    <w:rsid w:val="0048307A"/>
    <w:rsid w:val="0048417A"/>
    <w:rsid w:val="0048433E"/>
    <w:rsid w:val="00484D9F"/>
    <w:rsid w:val="004870BB"/>
    <w:rsid w:val="00487F77"/>
    <w:rsid w:val="00490B1B"/>
    <w:rsid w:val="00491183"/>
    <w:rsid w:val="00492171"/>
    <w:rsid w:val="00492577"/>
    <w:rsid w:val="004958F1"/>
    <w:rsid w:val="004A72AB"/>
    <w:rsid w:val="004B063F"/>
    <w:rsid w:val="004B1BB4"/>
    <w:rsid w:val="004B59F1"/>
    <w:rsid w:val="004B6F82"/>
    <w:rsid w:val="004B7A53"/>
    <w:rsid w:val="004C00A5"/>
    <w:rsid w:val="004C22A1"/>
    <w:rsid w:val="004C400B"/>
    <w:rsid w:val="004C598E"/>
    <w:rsid w:val="004C63E9"/>
    <w:rsid w:val="004D0951"/>
    <w:rsid w:val="004D10E4"/>
    <w:rsid w:val="004D11A6"/>
    <w:rsid w:val="004D2352"/>
    <w:rsid w:val="004D354A"/>
    <w:rsid w:val="004D6B8F"/>
    <w:rsid w:val="004E0181"/>
    <w:rsid w:val="004E1AE8"/>
    <w:rsid w:val="004E48FD"/>
    <w:rsid w:val="004E5B8D"/>
    <w:rsid w:val="004E6154"/>
    <w:rsid w:val="004E6F41"/>
    <w:rsid w:val="004E7C45"/>
    <w:rsid w:val="004E7E61"/>
    <w:rsid w:val="004F20BA"/>
    <w:rsid w:val="004F370B"/>
    <w:rsid w:val="00500F1D"/>
    <w:rsid w:val="005021F7"/>
    <w:rsid w:val="00503BEF"/>
    <w:rsid w:val="005049A0"/>
    <w:rsid w:val="005112C8"/>
    <w:rsid w:val="0051226D"/>
    <w:rsid w:val="00512EA3"/>
    <w:rsid w:val="00513010"/>
    <w:rsid w:val="00513C33"/>
    <w:rsid w:val="00516314"/>
    <w:rsid w:val="0052019B"/>
    <w:rsid w:val="00521EA0"/>
    <w:rsid w:val="00527C0B"/>
    <w:rsid w:val="00530F58"/>
    <w:rsid w:val="0053118B"/>
    <w:rsid w:val="005319DF"/>
    <w:rsid w:val="00531D03"/>
    <w:rsid w:val="00533304"/>
    <w:rsid w:val="0053585E"/>
    <w:rsid w:val="005358AE"/>
    <w:rsid w:val="005369C2"/>
    <w:rsid w:val="0054016B"/>
    <w:rsid w:val="005415FF"/>
    <w:rsid w:val="00541A97"/>
    <w:rsid w:val="00543284"/>
    <w:rsid w:val="00544AA3"/>
    <w:rsid w:val="00544C12"/>
    <w:rsid w:val="00550657"/>
    <w:rsid w:val="00551299"/>
    <w:rsid w:val="005516E5"/>
    <w:rsid w:val="00554DAC"/>
    <w:rsid w:val="005569B2"/>
    <w:rsid w:val="00560081"/>
    <w:rsid w:val="0056025C"/>
    <w:rsid w:val="00560EE8"/>
    <w:rsid w:val="005612A1"/>
    <w:rsid w:val="00561731"/>
    <w:rsid w:val="00561777"/>
    <w:rsid w:val="005625A3"/>
    <w:rsid w:val="00562AAF"/>
    <w:rsid w:val="005635C9"/>
    <w:rsid w:val="00564961"/>
    <w:rsid w:val="005741DC"/>
    <w:rsid w:val="00575E9F"/>
    <w:rsid w:val="00582A06"/>
    <w:rsid w:val="0058651A"/>
    <w:rsid w:val="00591A02"/>
    <w:rsid w:val="00594727"/>
    <w:rsid w:val="00597B77"/>
    <w:rsid w:val="005A012B"/>
    <w:rsid w:val="005A346D"/>
    <w:rsid w:val="005A3567"/>
    <w:rsid w:val="005B21CB"/>
    <w:rsid w:val="005B3AC6"/>
    <w:rsid w:val="005B6219"/>
    <w:rsid w:val="005B69EF"/>
    <w:rsid w:val="005B7240"/>
    <w:rsid w:val="005C5636"/>
    <w:rsid w:val="005C5782"/>
    <w:rsid w:val="005C76FE"/>
    <w:rsid w:val="005D1D68"/>
    <w:rsid w:val="005D1F3E"/>
    <w:rsid w:val="005D2E50"/>
    <w:rsid w:val="005D2FBF"/>
    <w:rsid w:val="005D3AB8"/>
    <w:rsid w:val="005D3B1B"/>
    <w:rsid w:val="005D5566"/>
    <w:rsid w:val="005E1AB6"/>
    <w:rsid w:val="005E52E4"/>
    <w:rsid w:val="005E6E0B"/>
    <w:rsid w:val="005E72CA"/>
    <w:rsid w:val="005F01AD"/>
    <w:rsid w:val="005F10CF"/>
    <w:rsid w:val="005F2759"/>
    <w:rsid w:val="005F307A"/>
    <w:rsid w:val="005F364A"/>
    <w:rsid w:val="005F3DF6"/>
    <w:rsid w:val="005F50A2"/>
    <w:rsid w:val="005F5C55"/>
    <w:rsid w:val="005F607F"/>
    <w:rsid w:val="005F7953"/>
    <w:rsid w:val="00600328"/>
    <w:rsid w:val="00602C85"/>
    <w:rsid w:val="006041AB"/>
    <w:rsid w:val="006079DA"/>
    <w:rsid w:val="00607B6B"/>
    <w:rsid w:val="0061079F"/>
    <w:rsid w:val="00612067"/>
    <w:rsid w:val="0061341F"/>
    <w:rsid w:val="00615433"/>
    <w:rsid w:val="00616167"/>
    <w:rsid w:val="00616D62"/>
    <w:rsid w:val="006205A5"/>
    <w:rsid w:val="0062319B"/>
    <w:rsid w:val="00623C3F"/>
    <w:rsid w:val="00623EF7"/>
    <w:rsid w:val="00624E4D"/>
    <w:rsid w:val="00624F74"/>
    <w:rsid w:val="00625436"/>
    <w:rsid w:val="006374E2"/>
    <w:rsid w:val="00640379"/>
    <w:rsid w:val="006421E4"/>
    <w:rsid w:val="00642635"/>
    <w:rsid w:val="00642FF3"/>
    <w:rsid w:val="006434D6"/>
    <w:rsid w:val="00645E13"/>
    <w:rsid w:val="00651E0E"/>
    <w:rsid w:val="00652F14"/>
    <w:rsid w:val="00653F3C"/>
    <w:rsid w:val="00654208"/>
    <w:rsid w:val="00655FC0"/>
    <w:rsid w:val="00656691"/>
    <w:rsid w:val="00656C8F"/>
    <w:rsid w:val="006617E6"/>
    <w:rsid w:val="00664847"/>
    <w:rsid w:val="00671AFF"/>
    <w:rsid w:val="006725CC"/>
    <w:rsid w:val="00675DC5"/>
    <w:rsid w:val="006764C0"/>
    <w:rsid w:val="00682237"/>
    <w:rsid w:val="00685202"/>
    <w:rsid w:val="00686FC2"/>
    <w:rsid w:val="006877CC"/>
    <w:rsid w:val="006917AD"/>
    <w:rsid w:val="00691FAB"/>
    <w:rsid w:val="00693BC8"/>
    <w:rsid w:val="006950D3"/>
    <w:rsid w:val="00696799"/>
    <w:rsid w:val="006A273A"/>
    <w:rsid w:val="006A38D7"/>
    <w:rsid w:val="006A5797"/>
    <w:rsid w:val="006A62CA"/>
    <w:rsid w:val="006A73C1"/>
    <w:rsid w:val="006B03AA"/>
    <w:rsid w:val="006B14F1"/>
    <w:rsid w:val="006B175E"/>
    <w:rsid w:val="006B487C"/>
    <w:rsid w:val="006B4909"/>
    <w:rsid w:val="006C3599"/>
    <w:rsid w:val="006C494A"/>
    <w:rsid w:val="006C5C6F"/>
    <w:rsid w:val="006D0514"/>
    <w:rsid w:val="006D1E8A"/>
    <w:rsid w:val="006D21B0"/>
    <w:rsid w:val="006D60CC"/>
    <w:rsid w:val="006D72EF"/>
    <w:rsid w:val="006E1B95"/>
    <w:rsid w:val="006E21CD"/>
    <w:rsid w:val="006E27F8"/>
    <w:rsid w:val="006E3E5A"/>
    <w:rsid w:val="006E4908"/>
    <w:rsid w:val="006E6DA0"/>
    <w:rsid w:val="006E71D9"/>
    <w:rsid w:val="006E76D9"/>
    <w:rsid w:val="006F1529"/>
    <w:rsid w:val="006F1A9E"/>
    <w:rsid w:val="006F2456"/>
    <w:rsid w:val="006F3450"/>
    <w:rsid w:val="006F7632"/>
    <w:rsid w:val="00700D54"/>
    <w:rsid w:val="007018A2"/>
    <w:rsid w:val="007053C7"/>
    <w:rsid w:val="00705427"/>
    <w:rsid w:val="00706171"/>
    <w:rsid w:val="00706987"/>
    <w:rsid w:val="00707AFF"/>
    <w:rsid w:val="00707B76"/>
    <w:rsid w:val="00711346"/>
    <w:rsid w:val="00711A24"/>
    <w:rsid w:val="00711AAF"/>
    <w:rsid w:val="007225C7"/>
    <w:rsid w:val="00723278"/>
    <w:rsid w:val="007260FC"/>
    <w:rsid w:val="00731783"/>
    <w:rsid w:val="00731AB6"/>
    <w:rsid w:val="00733309"/>
    <w:rsid w:val="00740036"/>
    <w:rsid w:val="00741D36"/>
    <w:rsid w:val="00745AE3"/>
    <w:rsid w:val="00746BCF"/>
    <w:rsid w:val="00747AAC"/>
    <w:rsid w:val="00750CB6"/>
    <w:rsid w:val="00751C94"/>
    <w:rsid w:val="007532FD"/>
    <w:rsid w:val="00753589"/>
    <w:rsid w:val="007538D0"/>
    <w:rsid w:val="0075687A"/>
    <w:rsid w:val="0075688D"/>
    <w:rsid w:val="00757635"/>
    <w:rsid w:val="00760EEE"/>
    <w:rsid w:val="00761459"/>
    <w:rsid w:val="007635C2"/>
    <w:rsid w:val="00766550"/>
    <w:rsid w:val="00770D28"/>
    <w:rsid w:val="00773E79"/>
    <w:rsid w:val="007765D9"/>
    <w:rsid w:val="00776A2E"/>
    <w:rsid w:val="00777CC8"/>
    <w:rsid w:val="00777FE7"/>
    <w:rsid w:val="007817D7"/>
    <w:rsid w:val="00781880"/>
    <w:rsid w:val="00783DF9"/>
    <w:rsid w:val="00791269"/>
    <w:rsid w:val="00792E22"/>
    <w:rsid w:val="00793746"/>
    <w:rsid w:val="00794243"/>
    <w:rsid w:val="007945F0"/>
    <w:rsid w:val="00794C52"/>
    <w:rsid w:val="00795650"/>
    <w:rsid w:val="00796C39"/>
    <w:rsid w:val="007A09D0"/>
    <w:rsid w:val="007A12C3"/>
    <w:rsid w:val="007A1866"/>
    <w:rsid w:val="007A560E"/>
    <w:rsid w:val="007B0DF0"/>
    <w:rsid w:val="007B1E81"/>
    <w:rsid w:val="007B2C27"/>
    <w:rsid w:val="007B2EAE"/>
    <w:rsid w:val="007B3A94"/>
    <w:rsid w:val="007B76DC"/>
    <w:rsid w:val="007B7963"/>
    <w:rsid w:val="007C1867"/>
    <w:rsid w:val="007C2229"/>
    <w:rsid w:val="007C23CB"/>
    <w:rsid w:val="007C35F5"/>
    <w:rsid w:val="007C584C"/>
    <w:rsid w:val="007C586D"/>
    <w:rsid w:val="007C60A4"/>
    <w:rsid w:val="007C6DFA"/>
    <w:rsid w:val="007D05C2"/>
    <w:rsid w:val="007D6A15"/>
    <w:rsid w:val="007E07C7"/>
    <w:rsid w:val="007E0E07"/>
    <w:rsid w:val="007E13F7"/>
    <w:rsid w:val="007E1A82"/>
    <w:rsid w:val="007E266B"/>
    <w:rsid w:val="007E29AE"/>
    <w:rsid w:val="007E3234"/>
    <w:rsid w:val="007E5643"/>
    <w:rsid w:val="007E5F6D"/>
    <w:rsid w:val="007E72F6"/>
    <w:rsid w:val="007F00DB"/>
    <w:rsid w:val="007F248D"/>
    <w:rsid w:val="007F2B50"/>
    <w:rsid w:val="007F332C"/>
    <w:rsid w:val="007F4851"/>
    <w:rsid w:val="007F7963"/>
    <w:rsid w:val="007F797B"/>
    <w:rsid w:val="00800A48"/>
    <w:rsid w:val="008020E9"/>
    <w:rsid w:val="00802108"/>
    <w:rsid w:val="00804C50"/>
    <w:rsid w:val="0080596A"/>
    <w:rsid w:val="00805E1A"/>
    <w:rsid w:val="0080662A"/>
    <w:rsid w:val="00806FBA"/>
    <w:rsid w:val="00807209"/>
    <w:rsid w:val="008106FE"/>
    <w:rsid w:val="00816F85"/>
    <w:rsid w:val="00821999"/>
    <w:rsid w:val="00824026"/>
    <w:rsid w:val="00827332"/>
    <w:rsid w:val="00830058"/>
    <w:rsid w:val="008304D3"/>
    <w:rsid w:val="00834C20"/>
    <w:rsid w:val="0083589C"/>
    <w:rsid w:val="0083723B"/>
    <w:rsid w:val="00842DE0"/>
    <w:rsid w:val="00843C12"/>
    <w:rsid w:val="0084620C"/>
    <w:rsid w:val="0085073B"/>
    <w:rsid w:val="008525AB"/>
    <w:rsid w:val="00854C81"/>
    <w:rsid w:val="0085518B"/>
    <w:rsid w:val="00857441"/>
    <w:rsid w:val="00857C27"/>
    <w:rsid w:val="00860F5E"/>
    <w:rsid w:val="0086584B"/>
    <w:rsid w:val="00866356"/>
    <w:rsid w:val="00866659"/>
    <w:rsid w:val="0087739C"/>
    <w:rsid w:val="00883E90"/>
    <w:rsid w:val="00885DCC"/>
    <w:rsid w:val="0088675D"/>
    <w:rsid w:val="00887D14"/>
    <w:rsid w:val="008907B2"/>
    <w:rsid w:val="008923C7"/>
    <w:rsid w:val="00894B49"/>
    <w:rsid w:val="008956E4"/>
    <w:rsid w:val="008971D3"/>
    <w:rsid w:val="0089774C"/>
    <w:rsid w:val="008A15F7"/>
    <w:rsid w:val="008A3227"/>
    <w:rsid w:val="008A3884"/>
    <w:rsid w:val="008A392D"/>
    <w:rsid w:val="008A59BB"/>
    <w:rsid w:val="008A6086"/>
    <w:rsid w:val="008A79FB"/>
    <w:rsid w:val="008B036A"/>
    <w:rsid w:val="008B160F"/>
    <w:rsid w:val="008B263C"/>
    <w:rsid w:val="008B2F64"/>
    <w:rsid w:val="008B321E"/>
    <w:rsid w:val="008B3574"/>
    <w:rsid w:val="008B495A"/>
    <w:rsid w:val="008B57F3"/>
    <w:rsid w:val="008B60BB"/>
    <w:rsid w:val="008B7C67"/>
    <w:rsid w:val="008C0181"/>
    <w:rsid w:val="008C4705"/>
    <w:rsid w:val="008C7719"/>
    <w:rsid w:val="008D1DB4"/>
    <w:rsid w:val="008D1E4C"/>
    <w:rsid w:val="008D31E4"/>
    <w:rsid w:val="008D5B46"/>
    <w:rsid w:val="008D5CB3"/>
    <w:rsid w:val="008E0BED"/>
    <w:rsid w:val="008E2FC1"/>
    <w:rsid w:val="008E367F"/>
    <w:rsid w:val="008E4284"/>
    <w:rsid w:val="008E4E75"/>
    <w:rsid w:val="008E50AC"/>
    <w:rsid w:val="008E5BFB"/>
    <w:rsid w:val="008E6E4E"/>
    <w:rsid w:val="008E6F75"/>
    <w:rsid w:val="008F52E9"/>
    <w:rsid w:val="00900161"/>
    <w:rsid w:val="00904B8C"/>
    <w:rsid w:val="009056AE"/>
    <w:rsid w:val="0091007D"/>
    <w:rsid w:val="00911964"/>
    <w:rsid w:val="00912AF9"/>
    <w:rsid w:val="00914711"/>
    <w:rsid w:val="009222E3"/>
    <w:rsid w:val="009258D0"/>
    <w:rsid w:val="009308BF"/>
    <w:rsid w:val="00930D37"/>
    <w:rsid w:val="009408CA"/>
    <w:rsid w:val="00944044"/>
    <w:rsid w:val="00944940"/>
    <w:rsid w:val="009478EB"/>
    <w:rsid w:val="00953099"/>
    <w:rsid w:val="00962574"/>
    <w:rsid w:val="00963607"/>
    <w:rsid w:val="00963972"/>
    <w:rsid w:val="00963F0B"/>
    <w:rsid w:val="00964805"/>
    <w:rsid w:val="009655A7"/>
    <w:rsid w:val="009656F9"/>
    <w:rsid w:val="009664FB"/>
    <w:rsid w:val="00966A79"/>
    <w:rsid w:val="00966BB8"/>
    <w:rsid w:val="009678B5"/>
    <w:rsid w:val="00971005"/>
    <w:rsid w:val="00972FD5"/>
    <w:rsid w:val="0097465D"/>
    <w:rsid w:val="009750CB"/>
    <w:rsid w:val="00976065"/>
    <w:rsid w:val="0097668E"/>
    <w:rsid w:val="009855FA"/>
    <w:rsid w:val="009868B6"/>
    <w:rsid w:val="00992C49"/>
    <w:rsid w:val="00992FF2"/>
    <w:rsid w:val="00996844"/>
    <w:rsid w:val="009A0DB1"/>
    <w:rsid w:val="009A1173"/>
    <w:rsid w:val="009A247A"/>
    <w:rsid w:val="009A2640"/>
    <w:rsid w:val="009A27A8"/>
    <w:rsid w:val="009B1A01"/>
    <w:rsid w:val="009B1B06"/>
    <w:rsid w:val="009B4370"/>
    <w:rsid w:val="009B7438"/>
    <w:rsid w:val="009C1E8B"/>
    <w:rsid w:val="009C25E3"/>
    <w:rsid w:val="009C26AA"/>
    <w:rsid w:val="009C645A"/>
    <w:rsid w:val="009D17A7"/>
    <w:rsid w:val="009D27F1"/>
    <w:rsid w:val="009D627D"/>
    <w:rsid w:val="009D67BC"/>
    <w:rsid w:val="009D6993"/>
    <w:rsid w:val="009D7445"/>
    <w:rsid w:val="009E1BF6"/>
    <w:rsid w:val="009E250C"/>
    <w:rsid w:val="009E3AC0"/>
    <w:rsid w:val="009E3FD5"/>
    <w:rsid w:val="009E4F28"/>
    <w:rsid w:val="009E63FE"/>
    <w:rsid w:val="009F21C7"/>
    <w:rsid w:val="009F63E8"/>
    <w:rsid w:val="00A0035B"/>
    <w:rsid w:val="00A00F4B"/>
    <w:rsid w:val="00A021F4"/>
    <w:rsid w:val="00A03451"/>
    <w:rsid w:val="00A104B1"/>
    <w:rsid w:val="00A1396C"/>
    <w:rsid w:val="00A14ECE"/>
    <w:rsid w:val="00A15CE8"/>
    <w:rsid w:val="00A15F83"/>
    <w:rsid w:val="00A17F8F"/>
    <w:rsid w:val="00A208B4"/>
    <w:rsid w:val="00A21504"/>
    <w:rsid w:val="00A2339C"/>
    <w:rsid w:val="00A25471"/>
    <w:rsid w:val="00A31944"/>
    <w:rsid w:val="00A321D9"/>
    <w:rsid w:val="00A32B7E"/>
    <w:rsid w:val="00A35DB1"/>
    <w:rsid w:val="00A41899"/>
    <w:rsid w:val="00A419F0"/>
    <w:rsid w:val="00A41AB9"/>
    <w:rsid w:val="00A42C44"/>
    <w:rsid w:val="00A4310D"/>
    <w:rsid w:val="00A44260"/>
    <w:rsid w:val="00A45F46"/>
    <w:rsid w:val="00A52A5E"/>
    <w:rsid w:val="00A5493B"/>
    <w:rsid w:val="00A5497F"/>
    <w:rsid w:val="00A563DE"/>
    <w:rsid w:val="00A56410"/>
    <w:rsid w:val="00A577E9"/>
    <w:rsid w:val="00A57A92"/>
    <w:rsid w:val="00A57F92"/>
    <w:rsid w:val="00A609C2"/>
    <w:rsid w:val="00A637CC"/>
    <w:rsid w:val="00A64684"/>
    <w:rsid w:val="00A64987"/>
    <w:rsid w:val="00A67A32"/>
    <w:rsid w:val="00A72D2C"/>
    <w:rsid w:val="00A73476"/>
    <w:rsid w:val="00A74615"/>
    <w:rsid w:val="00A7540C"/>
    <w:rsid w:val="00A815AD"/>
    <w:rsid w:val="00A8208D"/>
    <w:rsid w:val="00A848CF"/>
    <w:rsid w:val="00A8594F"/>
    <w:rsid w:val="00A92DA5"/>
    <w:rsid w:val="00A93CEE"/>
    <w:rsid w:val="00A958F5"/>
    <w:rsid w:val="00AA14C9"/>
    <w:rsid w:val="00AA2365"/>
    <w:rsid w:val="00AA2D5C"/>
    <w:rsid w:val="00AB4B4D"/>
    <w:rsid w:val="00AC0E5E"/>
    <w:rsid w:val="00AC43D7"/>
    <w:rsid w:val="00AC54C2"/>
    <w:rsid w:val="00AC77B5"/>
    <w:rsid w:val="00AD2FA5"/>
    <w:rsid w:val="00AD375B"/>
    <w:rsid w:val="00AE1855"/>
    <w:rsid w:val="00AE3737"/>
    <w:rsid w:val="00AE4C60"/>
    <w:rsid w:val="00AE603D"/>
    <w:rsid w:val="00AE6239"/>
    <w:rsid w:val="00AE6F61"/>
    <w:rsid w:val="00AF1533"/>
    <w:rsid w:val="00AF193B"/>
    <w:rsid w:val="00AF1D77"/>
    <w:rsid w:val="00AF2DB6"/>
    <w:rsid w:val="00AF3C9A"/>
    <w:rsid w:val="00AF40AA"/>
    <w:rsid w:val="00AF6CB9"/>
    <w:rsid w:val="00AF6EA1"/>
    <w:rsid w:val="00AF7FE5"/>
    <w:rsid w:val="00B04504"/>
    <w:rsid w:val="00B069F0"/>
    <w:rsid w:val="00B06B99"/>
    <w:rsid w:val="00B109DF"/>
    <w:rsid w:val="00B14950"/>
    <w:rsid w:val="00B16366"/>
    <w:rsid w:val="00B208DB"/>
    <w:rsid w:val="00B2132E"/>
    <w:rsid w:val="00B22C21"/>
    <w:rsid w:val="00B26574"/>
    <w:rsid w:val="00B31343"/>
    <w:rsid w:val="00B34AE4"/>
    <w:rsid w:val="00B34CF2"/>
    <w:rsid w:val="00B35547"/>
    <w:rsid w:val="00B35576"/>
    <w:rsid w:val="00B37CB5"/>
    <w:rsid w:val="00B43DAC"/>
    <w:rsid w:val="00B46249"/>
    <w:rsid w:val="00B47607"/>
    <w:rsid w:val="00B47BAC"/>
    <w:rsid w:val="00B52AB3"/>
    <w:rsid w:val="00B530B3"/>
    <w:rsid w:val="00B5486F"/>
    <w:rsid w:val="00B60ECD"/>
    <w:rsid w:val="00B6385A"/>
    <w:rsid w:val="00B65254"/>
    <w:rsid w:val="00B65AB6"/>
    <w:rsid w:val="00B66693"/>
    <w:rsid w:val="00B66DF0"/>
    <w:rsid w:val="00B66F95"/>
    <w:rsid w:val="00B67C6B"/>
    <w:rsid w:val="00B71B73"/>
    <w:rsid w:val="00B767CE"/>
    <w:rsid w:val="00B77F77"/>
    <w:rsid w:val="00B81371"/>
    <w:rsid w:val="00B81590"/>
    <w:rsid w:val="00B82318"/>
    <w:rsid w:val="00B84780"/>
    <w:rsid w:val="00B84AA6"/>
    <w:rsid w:val="00B8725E"/>
    <w:rsid w:val="00B87E28"/>
    <w:rsid w:val="00B92DFA"/>
    <w:rsid w:val="00B94EC0"/>
    <w:rsid w:val="00B95DCE"/>
    <w:rsid w:val="00B961CC"/>
    <w:rsid w:val="00BA2127"/>
    <w:rsid w:val="00BA3A97"/>
    <w:rsid w:val="00BA3B8D"/>
    <w:rsid w:val="00BA5668"/>
    <w:rsid w:val="00BA5722"/>
    <w:rsid w:val="00BB05E2"/>
    <w:rsid w:val="00BB3FDB"/>
    <w:rsid w:val="00BB543F"/>
    <w:rsid w:val="00BC04A0"/>
    <w:rsid w:val="00BC162B"/>
    <w:rsid w:val="00BC1787"/>
    <w:rsid w:val="00BC70DA"/>
    <w:rsid w:val="00BD4E04"/>
    <w:rsid w:val="00BD723B"/>
    <w:rsid w:val="00BD7E6B"/>
    <w:rsid w:val="00BE1154"/>
    <w:rsid w:val="00BE1A27"/>
    <w:rsid w:val="00BE1C01"/>
    <w:rsid w:val="00BE6421"/>
    <w:rsid w:val="00BE7D1E"/>
    <w:rsid w:val="00BF087A"/>
    <w:rsid w:val="00BF18D4"/>
    <w:rsid w:val="00BF2D82"/>
    <w:rsid w:val="00BF2E72"/>
    <w:rsid w:val="00BF3190"/>
    <w:rsid w:val="00BF33F3"/>
    <w:rsid w:val="00BF4391"/>
    <w:rsid w:val="00BF4C6D"/>
    <w:rsid w:val="00BF6FEE"/>
    <w:rsid w:val="00BF79D9"/>
    <w:rsid w:val="00C01B10"/>
    <w:rsid w:val="00C11687"/>
    <w:rsid w:val="00C1665A"/>
    <w:rsid w:val="00C22BD3"/>
    <w:rsid w:val="00C250E5"/>
    <w:rsid w:val="00C310F2"/>
    <w:rsid w:val="00C32A4C"/>
    <w:rsid w:val="00C32F88"/>
    <w:rsid w:val="00C3389A"/>
    <w:rsid w:val="00C33D08"/>
    <w:rsid w:val="00C34AFE"/>
    <w:rsid w:val="00C35460"/>
    <w:rsid w:val="00C37AD7"/>
    <w:rsid w:val="00C4330E"/>
    <w:rsid w:val="00C51F9D"/>
    <w:rsid w:val="00C520CE"/>
    <w:rsid w:val="00C56E5A"/>
    <w:rsid w:val="00C61A27"/>
    <w:rsid w:val="00C635FF"/>
    <w:rsid w:val="00C65043"/>
    <w:rsid w:val="00C65BBC"/>
    <w:rsid w:val="00C66715"/>
    <w:rsid w:val="00C67D14"/>
    <w:rsid w:val="00C7238C"/>
    <w:rsid w:val="00C7302B"/>
    <w:rsid w:val="00C731CB"/>
    <w:rsid w:val="00C74473"/>
    <w:rsid w:val="00C75EF0"/>
    <w:rsid w:val="00C76D80"/>
    <w:rsid w:val="00C77072"/>
    <w:rsid w:val="00C802A9"/>
    <w:rsid w:val="00C80611"/>
    <w:rsid w:val="00C8273D"/>
    <w:rsid w:val="00C83D0C"/>
    <w:rsid w:val="00C85EAC"/>
    <w:rsid w:val="00C87F2C"/>
    <w:rsid w:val="00C903EC"/>
    <w:rsid w:val="00C90824"/>
    <w:rsid w:val="00C94312"/>
    <w:rsid w:val="00C96095"/>
    <w:rsid w:val="00C96CDD"/>
    <w:rsid w:val="00CA2ACB"/>
    <w:rsid w:val="00CA5CF8"/>
    <w:rsid w:val="00CA61D0"/>
    <w:rsid w:val="00CA67C3"/>
    <w:rsid w:val="00CB17E8"/>
    <w:rsid w:val="00CB188E"/>
    <w:rsid w:val="00CB1F6B"/>
    <w:rsid w:val="00CB4179"/>
    <w:rsid w:val="00CB6104"/>
    <w:rsid w:val="00CB7A8D"/>
    <w:rsid w:val="00CC0D59"/>
    <w:rsid w:val="00CC24B0"/>
    <w:rsid w:val="00CC451C"/>
    <w:rsid w:val="00CC4579"/>
    <w:rsid w:val="00CC4A5B"/>
    <w:rsid w:val="00CC716F"/>
    <w:rsid w:val="00CC76D2"/>
    <w:rsid w:val="00CD402D"/>
    <w:rsid w:val="00CD4B46"/>
    <w:rsid w:val="00CE1B54"/>
    <w:rsid w:val="00CE1DE3"/>
    <w:rsid w:val="00CE2822"/>
    <w:rsid w:val="00CE3E76"/>
    <w:rsid w:val="00CE4978"/>
    <w:rsid w:val="00CF27BC"/>
    <w:rsid w:val="00CF4A91"/>
    <w:rsid w:val="00D00080"/>
    <w:rsid w:val="00D00149"/>
    <w:rsid w:val="00D0240D"/>
    <w:rsid w:val="00D04865"/>
    <w:rsid w:val="00D05FAF"/>
    <w:rsid w:val="00D07A9F"/>
    <w:rsid w:val="00D1084D"/>
    <w:rsid w:val="00D10999"/>
    <w:rsid w:val="00D15CA7"/>
    <w:rsid w:val="00D15D13"/>
    <w:rsid w:val="00D172CE"/>
    <w:rsid w:val="00D2317A"/>
    <w:rsid w:val="00D24AD2"/>
    <w:rsid w:val="00D306F1"/>
    <w:rsid w:val="00D31C7F"/>
    <w:rsid w:val="00D334BD"/>
    <w:rsid w:val="00D341AB"/>
    <w:rsid w:val="00D3580E"/>
    <w:rsid w:val="00D36B59"/>
    <w:rsid w:val="00D40C22"/>
    <w:rsid w:val="00D41BF4"/>
    <w:rsid w:val="00D43D29"/>
    <w:rsid w:val="00D45E6D"/>
    <w:rsid w:val="00D5103A"/>
    <w:rsid w:val="00D52848"/>
    <w:rsid w:val="00D52A58"/>
    <w:rsid w:val="00D5353B"/>
    <w:rsid w:val="00D6002F"/>
    <w:rsid w:val="00D60861"/>
    <w:rsid w:val="00D62F7C"/>
    <w:rsid w:val="00D63D3A"/>
    <w:rsid w:val="00D760B5"/>
    <w:rsid w:val="00D820BD"/>
    <w:rsid w:val="00D82227"/>
    <w:rsid w:val="00D8624F"/>
    <w:rsid w:val="00D87EDF"/>
    <w:rsid w:val="00D9371F"/>
    <w:rsid w:val="00D937CE"/>
    <w:rsid w:val="00D941D5"/>
    <w:rsid w:val="00D95852"/>
    <w:rsid w:val="00D96E1C"/>
    <w:rsid w:val="00D96F49"/>
    <w:rsid w:val="00D973C2"/>
    <w:rsid w:val="00DA0219"/>
    <w:rsid w:val="00DA2917"/>
    <w:rsid w:val="00DA3EDC"/>
    <w:rsid w:val="00DA46E8"/>
    <w:rsid w:val="00DA4B63"/>
    <w:rsid w:val="00DA5BC2"/>
    <w:rsid w:val="00DA656C"/>
    <w:rsid w:val="00DA6ED3"/>
    <w:rsid w:val="00DA77A7"/>
    <w:rsid w:val="00DB0B7E"/>
    <w:rsid w:val="00DB0CA6"/>
    <w:rsid w:val="00DB13B4"/>
    <w:rsid w:val="00DC1B84"/>
    <w:rsid w:val="00DC2D4C"/>
    <w:rsid w:val="00DC7F23"/>
    <w:rsid w:val="00DD00E5"/>
    <w:rsid w:val="00DD3FCF"/>
    <w:rsid w:val="00DD416F"/>
    <w:rsid w:val="00DD5330"/>
    <w:rsid w:val="00DE59E0"/>
    <w:rsid w:val="00DF1CB4"/>
    <w:rsid w:val="00DF1F15"/>
    <w:rsid w:val="00DF203E"/>
    <w:rsid w:val="00DF31CB"/>
    <w:rsid w:val="00DF5B1B"/>
    <w:rsid w:val="00DF660B"/>
    <w:rsid w:val="00DF7EFE"/>
    <w:rsid w:val="00E008A4"/>
    <w:rsid w:val="00E055AD"/>
    <w:rsid w:val="00E06039"/>
    <w:rsid w:val="00E0603B"/>
    <w:rsid w:val="00E07EF0"/>
    <w:rsid w:val="00E12768"/>
    <w:rsid w:val="00E12AFA"/>
    <w:rsid w:val="00E13B09"/>
    <w:rsid w:val="00E151B1"/>
    <w:rsid w:val="00E15267"/>
    <w:rsid w:val="00E1578F"/>
    <w:rsid w:val="00E15DA8"/>
    <w:rsid w:val="00E16964"/>
    <w:rsid w:val="00E24077"/>
    <w:rsid w:val="00E246CE"/>
    <w:rsid w:val="00E26C04"/>
    <w:rsid w:val="00E26DB5"/>
    <w:rsid w:val="00E26DD1"/>
    <w:rsid w:val="00E40E1C"/>
    <w:rsid w:val="00E419D2"/>
    <w:rsid w:val="00E42628"/>
    <w:rsid w:val="00E42C16"/>
    <w:rsid w:val="00E42F35"/>
    <w:rsid w:val="00E432C1"/>
    <w:rsid w:val="00E47887"/>
    <w:rsid w:val="00E509DD"/>
    <w:rsid w:val="00E5248C"/>
    <w:rsid w:val="00E530D7"/>
    <w:rsid w:val="00E54683"/>
    <w:rsid w:val="00E56F19"/>
    <w:rsid w:val="00E579BB"/>
    <w:rsid w:val="00E6298F"/>
    <w:rsid w:val="00E6373A"/>
    <w:rsid w:val="00E638B9"/>
    <w:rsid w:val="00E63BDA"/>
    <w:rsid w:val="00E7073D"/>
    <w:rsid w:val="00E72B4E"/>
    <w:rsid w:val="00E74A36"/>
    <w:rsid w:val="00E74BB4"/>
    <w:rsid w:val="00E76C8E"/>
    <w:rsid w:val="00E82446"/>
    <w:rsid w:val="00E82F1D"/>
    <w:rsid w:val="00E83E1E"/>
    <w:rsid w:val="00E84A39"/>
    <w:rsid w:val="00E84E67"/>
    <w:rsid w:val="00E8618F"/>
    <w:rsid w:val="00E86C92"/>
    <w:rsid w:val="00E91FDA"/>
    <w:rsid w:val="00E92659"/>
    <w:rsid w:val="00E92C59"/>
    <w:rsid w:val="00E9692D"/>
    <w:rsid w:val="00EA10B7"/>
    <w:rsid w:val="00EA541D"/>
    <w:rsid w:val="00EA74B1"/>
    <w:rsid w:val="00EB0A23"/>
    <w:rsid w:val="00EB16A8"/>
    <w:rsid w:val="00EB2E3F"/>
    <w:rsid w:val="00EB3797"/>
    <w:rsid w:val="00EB4A33"/>
    <w:rsid w:val="00EB58A0"/>
    <w:rsid w:val="00EB5A4C"/>
    <w:rsid w:val="00EB7142"/>
    <w:rsid w:val="00EC03B0"/>
    <w:rsid w:val="00EC0669"/>
    <w:rsid w:val="00EC1EC9"/>
    <w:rsid w:val="00EC3154"/>
    <w:rsid w:val="00EC3A16"/>
    <w:rsid w:val="00EC5714"/>
    <w:rsid w:val="00EC6B7E"/>
    <w:rsid w:val="00ED1F4D"/>
    <w:rsid w:val="00ED2F59"/>
    <w:rsid w:val="00ED4FB2"/>
    <w:rsid w:val="00ED6245"/>
    <w:rsid w:val="00ED6F38"/>
    <w:rsid w:val="00EE1269"/>
    <w:rsid w:val="00EE2785"/>
    <w:rsid w:val="00EE6A44"/>
    <w:rsid w:val="00EE6C8C"/>
    <w:rsid w:val="00EE77E6"/>
    <w:rsid w:val="00EF05E8"/>
    <w:rsid w:val="00EF15A4"/>
    <w:rsid w:val="00EF215D"/>
    <w:rsid w:val="00EF327E"/>
    <w:rsid w:val="00EF4DB9"/>
    <w:rsid w:val="00EF6B5C"/>
    <w:rsid w:val="00F03C6A"/>
    <w:rsid w:val="00F03D71"/>
    <w:rsid w:val="00F05F6D"/>
    <w:rsid w:val="00F067F8"/>
    <w:rsid w:val="00F07571"/>
    <w:rsid w:val="00F12109"/>
    <w:rsid w:val="00F122D8"/>
    <w:rsid w:val="00F14721"/>
    <w:rsid w:val="00F21AA0"/>
    <w:rsid w:val="00F21EC7"/>
    <w:rsid w:val="00F2442D"/>
    <w:rsid w:val="00F24ABE"/>
    <w:rsid w:val="00F256C3"/>
    <w:rsid w:val="00F2730B"/>
    <w:rsid w:val="00F27FD5"/>
    <w:rsid w:val="00F33E64"/>
    <w:rsid w:val="00F3406B"/>
    <w:rsid w:val="00F34B53"/>
    <w:rsid w:val="00F42CE4"/>
    <w:rsid w:val="00F42E8F"/>
    <w:rsid w:val="00F42F2E"/>
    <w:rsid w:val="00F43FCD"/>
    <w:rsid w:val="00F440F0"/>
    <w:rsid w:val="00F455E2"/>
    <w:rsid w:val="00F4631C"/>
    <w:rsid w:val="00F46B0D"/>
    <w:rsid w:val="00F511BA"/>
    <w:rsid w:val="00F54240"/>
    <w:rsid w:val="00F569A7"/>
    <w:rsid w:val="00F60F24"/>
    <w:rsid w:val="00F610DF"/>
    <w:rsid w:val="00F63075"/>
    <w:rsid w:val="00F63915"/>
    <w:rsid w:val="00F63986"/>
    <w:rsid w:val="00F67731"/>
    <w:rsid w:val="00F679C4"/>
    <w:rsid w:val="00F71DC8"/>
    <w:rsid w:val="00F739F5"/>
    <w:rsid w:val="00F75FF7"/>
    <w:rsid w:val="00F7645E"/>
    <w:rsid w:val="00F765AE"/>
    <w:rsid w:val="00F80D66"/>
    <w:rsid w:val="00F82DB2"/>
    <w:rsid w:val="00F86E86"/>
    <w:rsid w:val="00F90207"/>
    <w:rsid w:val="00F92BFF"/>
    <w:rsid w:val="00F94177"/>
    <w:rsid w:val="00F9428F"/>
    <w:rsid w:val="00F94FDF"/>
    <w:rsid w:val="00FA2315"/>
    <w:rsid w:val="00FA2901"/>
    <w:rsid w:val="00FA7772"/>
    <w:rsid w:val="00FA7B65"/>
    <w:rsid w:val="00FB0103"/>
    <w:rsid w:val="00FB4469"/>
    <w:rsid w:val="00FB6449"/>
    <w:rsid w:val="00FB6AF6"/>
    <w:rsid w:val="00FC1E05"/>
    <w:rsid w:val="00FC612B"/>
    <w:rsid w:val="00FC6ADD"/>
    <w:rsid w:val="00FC6E0E"/>
    <w:rsid w:val="00FC6F3A"/>
    <w:rsid w:val="00FC7650"/>
    <w:rsid w:val="00FC7AE9"/>
    <w:rsid w:val="00FC7B21"/>
    <w:rsid w:val="00FC7C41"/>
    <w:rsid w:val="00FD2159"/>
    <w:rsid w:val="00FD24E0"/>
    <w:rsid w:val="00FD25F4"/>
    <w:rsid w:val="00FD587C"/>
    <w:rsid w:val="00FE0A6B"/>
    <w:rsid w:val="00FE23F8"/>
    <w:rsid w:val="00FE250A"/>
    <w:rsid w:val="00FE3AD8"/>
    <w:rsid w:val="00FE4E24"/>
    <w:rsid w:val="00FE54EA"/>
    <w:rsid w:val="00FE7F5D"/>
    <w:rsid w:val="00FF18E7"/>
    <w:rsid w:val="00FF2349"/>
    <w:rsid w:val="00FF2ED1"/>
    <w:rsid w:val="00FF7057"/>
    <w:rsid w:val="00FF708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6A3051"/>
  <w15:chartTrackingRefBased/>
  <w15:docId w15:val="{6767E208-5634-444F-988B-6E8328B8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3C7FA3"/>
    <w:pPr>
      <w:keepNext/>
      <w:outlineLvl w:val="0"/>
    </w:pPr>
    <w:rPr>
      <w:rFonts w:asciiTheme="majorHAnsi" w:eastAsiaTheme="majorEastAsia" w:hAnsiTheme="majorHAnsi" w:cstheme="majorBidi"/>
      <w:sz w:val="28"/>
      <w:szCs w:val="28"/>
    </w:rPr>
  </w:style>
  <w:style w:type="paragraph" w:styleId="2">
    <w:name w:val="heading 2"/>
    <w:basedOn w:val="a"/>
    <w:link w:val="2Char"/>
    <w:uiPriority w:val="9"/>
    <w:qFormat/>
    <w:rsid w:val="00CB1F6B"/>
    <w:pPr>
      <w:widowControl/>
      <w:wordWrap/>
      <w:autoSpaceDE/>
      <w:autoSpaceDN/>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3C7FA3"/>
    <w:rPr>
      <w:rFonts w:asciiTheme="majorHAnsi" w:eastAsiaTheme="majorEastAsia" w:hAnsiTheme="majorHAnsi" w:cstheme="majorBidi"/>
      <w:sz w:val="28"/>
      <w:szCs w:val="28"/>
    </w:rPr>
  </w:style>
  <w:style w:type="character" w:customStyle="1" w:styleId="2Char">
    <w:name w:val="제목 2 Char"/>
    <w:basedOn w:val="a0"/>
    <w:link w:val="2"/>
    <w:uiPriority w:val="9"/>
    <w:rsid w:val="00CB1F6B"/>
    <w:rPr>
      <w:rFonts w:ascii="굴림" w:eastAsia="굴림" w:hAnsi="굴림" w:cs="굴림"/>
      <w:b/>
      <w:bCs/>
      <w:kern w:val="0"/>
      <w:sz w:val="36"/>
      <w:szCs w:val="36"/>
    </w:rPr>
  </w:style>
  <w:style w:type="character" w:customStyle="1" w:styleId="DefaultChar">
    <w:name w:val="Default Char"/>
    <w:basedOn w:val="a0"/>
    <w:link w:val="Default"/>
    <w:uiPriority w:val="99"/>
    <w:locked/>
    <w:rsid w:val="00860F5E"/>
    <w:rPr>
      <w:rFonts w:ascii="Times New Roman" w:eastAsia="맑은 고딕" w:hAnsi="Times New Roman" w:cs="Times New Roman"/>
      <w:color w:val="000000"/>
      <w:kern w:val="0"/>
      <w:sz w:val="24"/>
      <w:szCs w:val="24"/>
    </w:rPr>
  </w:style>
  <w:style w:type="paragraph" w:customStyle="1" w:styleId="Default">
    <w:name w:val="Default"/>
    <w:link w:val="DefaultChar"/>
    <w:uiPriority w:val="99"/>
    <w:rsid w:val="00860F5E"/>
    <w:pPr>
      <w:widowControl w:val="0"/>
      <w:autoSpaceDE w:val="0"/>
      <w:autoSpaceDN w:val="0"/>
      <w:adjustRightInd w:val="0"/>
      <w:spacing w:after="0" w:line="240" w:lineRule="auto"/>
      <w:jc w:val="left"/>
    </w:pPr>
    <w:rPr>
      <w:rFonts w:ascii="Times New Roman" w:eastAsia="맑은 고딕" w:hAnsi="Times New Roman" w:cs="Times New Roman"/>
      <w:color w:val="000000"/>
      <w:kern w:val="0"/>
      <w:sz w:val="24"/>
      <w:szCs w:val="24"/>
    </w:rPr>
  </w:style>
  <w:style w:type="character" w:customStyle="1" w:styleId="tlid-translation">
    <w:name w:val="tlid-translation"/>
    <w:basedOn w:val="a0"/>
    <w:rsid w:val="009E3AC0"/>
  </w:style>
  <w:style w:type="character" w:styleId="a3">
    <w:name w:val="annotation reference"/>
    <w:basedOn w:val="a0"/>
    <w:uiPriority w:val="99"/>
    <w:unhideWhenUsed/>
    <w:rsid w:val="003648F5"/>
    <w:rPr>
      <w:sz w:val="18"/>
      <w:szCs w:val="18"/>
    </w:rPr>
  </w:style>
  <w:style w:type="paragraph" w:styleId="a4">
    <w:name w:val="annotation text"/>
    <w:basedOn w:val="a"/>
    <w:link w:val="Char"/>
    <w:uiPriority w:val="99"/>
    <w:unhideWhenUsed/>
    <w:rsid w:val="003648F5"/>
    <w:pPr>
      <w:jc w:val="left"/>
    </w:pPr>
  </w:style>
  <w:style w:type="character" w:customStyle="1" w:styleId="Char">
    <w:name w:val="메모 텍스트 Char"/>
    <w:basedOn w:val="a0"/>
    <w:link w:val="a4"/>
    <w:uiPriority w:val="99"/>
    <w:rsid w:val="003648F5"/>
  </w:style>
  <w:style w:type="paragraph" w:styleId="a5">
    <w:name w:val="annotation subject"/>
    <w:basedOn w:val="a4"/>
    <w:next w:val="a4"/>
    <w:link w:val="Char0"/>
    <w:uiPriority w:val="99"/>
    <w:semiHidden/>
    <w:unhideWhenUsed/>
    <w:rsid w:val="003648F5"/>
    <w:rPr>
      <w:b/>
      <w:bCs/>
    </w:rPr>
  </w:style>
  <w:style w:type="character" w:customStyle="1" w:styleId="Char0">
    <w:name w:val="메모 주제 Char"/>
    <w:basedOn w:val="Char"/>
    <w:link w:val="a5"/>
    <w:uiPriority w:val="99"/>
    <w:semiHidden/>
    <w:rsid w:val="003648F5"/>
    <w:rPr>
      <w:b/>
      <w:bCs/>
    </w:rPr>
  </w:style>
  <w:style w:type="paragraph" w:styleId="a6">
    <w:name w:val="Balloon Text"/>
    <w:basedOn w:val="a"/>
    <w:link w:val="Char1"/>
    <w:uiPriority w:val="99"/>
    <w:semiHidden/>
    <w:unhideWhenUsed/>
    <w:rsid w:val="003648F5"/>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3648F5"/>
    <w:rPr>
      <w:rFonts w:asciiTheme="majorHAnsi" w:eastAsiaTheme="majorEastAsia" w:hAnsiTheme="majorHAnsi" w:cstheme="majorBidi"/>
      <w:sz w:val="18"/>
      <w:szCs w:val="18"/>
    </w:rPr>
  </w:style>
  <w:style w:type="paragraph" w:styleId="a7">
    <w:name w:val="header"/>
    <w:basedOn w:val="a"/>
    <w:link w:val="Char2"/>
    <w:uiPriority w:val="99"/>
    <w:unhideWhenUsed/>
    <w:rsid w:val="008B263C"/>
    <w:pPr>
      <w:tabs>
        <w:tab w:val="center" w:pos="4513"/>
        <w:tab w:val="right" w:pos="9026"/>
      </w:tabs>
      <w:snapToGrid w:val="0"/>
    </w:pPr>
  </w:style>
  <w:style w:type="character" w:customStyle="1" w:styleId="Char2">
    <w:name w:val="머리글 Char"/>
    <w:basedOn w:val="a0"/>
    <w:link w:val="a7"/>
    <w:uiPriority w:val="99"/>
    <w:rsid w:val="008B263C"/>
  </w:style>
  <w:style w:type="paragraph" w:styleId="a8">
    <w:name w:val="footer"/>
    <w:basedOn w:val="a"/>
    <w:link w:val="Char3"/>
    <w:uiPriority w:val="99"/>
    <w:unhideWhenUsed/>
    <w:rsid w:val="008B263C"/>
    <w:pPr>
      <w:tabs>
        <w:tab w:val="center" w:pos="4513"/>
        <w:tab w:val="right" w:pos="9026"/>
      </w:tabs>
      <w:snapToGrid w:val="0"/>
    </w:pPr>
  </w:style>
  <w:style w:type="character" w:customStyle="1" w:styleId="Char3">
    <w:name w:val="바닥글 Char"/>
    <w:basedOn w:val="a0"/>
    <w:link w:val="a8"/>
    <w:uiPriority w:val="99"/>
    <w:rsid w:val="008B263C"/>
  </w:style>
  <w:style w:type="character" w:styleId="a9">
    <w:name w:val="Strong"/>
    <w:basedOn w:val="a0"/>
    <w:uiPriority w:val="22"/>
    <w:qFormat/>
    <w:rsid w:val="003E2BC6"/>
    <w:rPr>
      <w:b/>
      <w:bCs/>
    </w:rPr>
  </w:style>
  <w:style w:type="paragraph" w:styleId="aa">
    <w:name w:val="List Paragraph"/>
    <w:basedOn w:val="a"/>
    <w:uiPriority w:val="34"/>
    <w:qFormat/>
    <w:rsid w:val="003E2BC6"/>
    <w:pPr>
      <w:ind w:leftChars="400" w:left="800"/>
    </w:pPr>
  </w:style>
  <w:style w:type="character" w:customStyle="1" w:styleId="hlfld-title">
    <w:name w:val="hlfld-title"/>
    <w:basedOn w:val="a0"/>
    <w:rsid w:val="00CB1F6B"/>
  </w:style>
  <w:style w:type="character" w:styleId="ab">
    <w:name w:val="Hyperlink"/>
    <w:basedOn w:val="a0"/>
    <w:uiPriority w:val="99"/>
    <w:semiHidden/>
    <w:unhideWhenUsed/>
    <w:rsid w:val="00CB1F6B"/>
    <w:rPr>
      <w:color w:val="0000FF"/>
      <w:u w:val="single"/>
    </w:rPr>
  </w:style>
  <w:style w:type="table" w:styleId="ac">
    <w:name w:val="Table Grid"/>
    <w:basedOn w:val="a1"/>
    <w:uiPriority w:val="39"/>
    <w:rsid w:val="002B608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aption"/>
    <w:basedOn w:val="a"/>
    <w:next w:val="a"/>
    <w:uiPriority w:val="35"/>
    <w:unhideWhenUsed/>
    <w:qFormat/>
    <w:rsid w:val="002B6087"/>
    <w:rPr>
      <w:b/>
      <w:bCs/>
      <w:szCs w:val="20"/>
    </w:rPr>
  </w:style>
  <w:style w:type="paragraph" w:styleId="ae">
    <w:name w:val="Normal (Web)"/>
    <w:basedOn w:val="a"/>
    <w:uiPriority w:val="99"/>
    <w:semiHidden/>
    <w:unhideWhenUsed/>
    <w:rsid w:val="00373C9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uworddic">
    <w:name w:val="u_word_dic"/>
    <w:basedOn w:val="a0"/>
    <w:rsid w:val="008A392D"/>
  </w:style>
  <w:style w:type="character" w:customStyle="1" w:styleId="title-text">
    <w:name w:val="title-text"/>
    <w:basedOn w:val="a0"/>
    <w:rsid w:val="009222E3"/>
  </w:style>
  <w:style w:type="character" w:customStyle="1" w:styleId="Char10">
    <w:name w:val="머리글 Char1"/>
    <w:basedOn w:val="a0"/>
    <w:uiPriority w:val="99"/>
    <w:semiHidden/>
    <w:rsid w:val="00C635FF"/>
  </w:style>
  <w:style w:type="character" w:customStyle="1" w:styleId="Char11">
    <w:name w:val="바닥글 Char1"/>
    <w:basedOn w:val="a0"/>
    <w:uiPriority w:val="99"/>
    <w:semiHidden/>
    <w:rsid w:val="00C635FF"/>
  </w:style>
  <w:style w:type="character" w:customStyle="1" w:styleId="Char12">
    <w:name w:val="메모 주제 Char1"/>
    <w:basedOn w:val="Char"/>
    <w:uiPriority w:val="99"/>
    <w:semiHidden/>
    <w:rsid w:val="00C635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908428">
      <w:bodyDiv w:val="1"/>
      <w:marLeft w:val="0"/>
      <w:marRight w:val="0"/>
      <w:marTop w:val="0"/>
      <w:marBottom w:val="0"/>
      <w:divBdr>
        <w:top w:val="none" w:sz="0" w:space="0" w:color="auto"/>
        <w:left w:val="none" w:sz="0" w:space="0" w:color="auto"/>
        <w:bottom w:val="none" w:sz="0" w:space="0" w:color="auto"/>
        <w:right w:val="none" w:sz="0" w:space="0" w:color="auto"/>
      </w:divBdr>
    </w:div>
    <w:div w:id="37976729">
      <w:bodyDiv w:val="1"/>
      <w:marLeft w:val="0"/>
      <w:marRight w:val="0"/>
      <w:marTop w:val="0"/>
      <w:marBottom w:val="0"/>
      <w:divBdr>
        <w:top w:val="none" w:sz="0" w:space="0" w:color="auto"/>
        <w:left w:val="none" w:sz="0" w:space="0" w:color="auto"/>
        <w:bottom w:val="none" w:sz="0" w:space="0" w:color="auto"/>
        <w:right w:val="none" w:sz="0" w:space="0" w:color="auto"/>
      </w:divBdr>
    </w:div>
    <w:div w:id="94905438">
      <w:bodyDiv w:val="1"/>
      <w:marLeft w:val="0"/>
      <w:marRight w:val="0"/>
      <w:marTop w:val="0"/>
      <w:marBottom w:val="0"/>
      <w:divBdr>
        <w:top w:val="none" w:sz="0" w:space="0" w:color="auto"/>
        <w:left w:val="none" w:sz="0" w:space="0" w:color="auto"/>
        <w:bottom w:val="none" w:sz="0" w:space="0" w:color="auto"/>
        <w:right w:val="none" w:sz="0" w:space="0" w:color="auto"/>
      </w:divBdr>
      <w:divsChild>
        <w:div w:id="481973464">
          <w:marLeft w:val="0"/>
          <w:marRight w:val="0"/>
          <w:marTop w:val="0"/>
          <w:marBottom w:val="0"/>
          <w:divBdr>
            <w:top w:val="none" w:sz="0" w:space="0" w:color="auto"/>
            <w:left w:val="none" w:sz="0" w:space="0" w:color="auto"/>
            <w:bottom w:val="none" w:sz="0" w:space="0" w:color="auto"/>
            <w:right w:val="none" w:sz="0" w:space="0" w:color="auto"/>
          </w:divBdr>
          <w:divsChild>
            <w:div w:id="117954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56862">
      <w:bodyDiv w:val="1"/>
      <w:marLeft w:val="0"/>
      <w:marRight w:val="0"/>
      <w:marTop w:val="0"/>
      <w:marBottom w:val="0"/>
      <w:divBdr>
        <w:top w:val="none" w:sz="0" w:space="0" w:color="auto"/>
        <w:left w:val="none" w:sz="0" w:space="0" w:color="auto"/>
        <w:bottom w:val="none" w:sz="0" w:space="0" w:color="auto"/>
        <w:right w:val="none" w:sz="0" w:space="0" w:color="auto"/>
      </w:divBdr>
    </w:div>
    <w:div w:id="256862709">
      <w:bodyDiv w:val="1"/>
      <w:marLeft w:val="0"/>
      <w:marRight w:val="0"/>
      <w:marTop w:val="0"/>
      <w:marBottom w:val="0"/>
      <w:divBdr>
        <w:top w:val="none" w:sz="0" w:space="0" w:color="auto"/>
        <w:left w:val="none" w:sz="0" w:space="0" w:color="auto"/>
        <w:bottom w:val="none" w:sz="0" w:space="0" w:color="auto"/>
        <w:right w:val="none" w:sz="0" w:space="0" w:color="auto"/>
      </w:divBdr>
    </w:div>
    <w:div w:id="270405267">
      <w:bodyDiv w:val="1"/>
      <w:marLeft w:val="0"/>
      <w:marRight w:val="0"/>
      <w:marTop w:val="0"/>
      <w:marBottom w:val="0"/>
      <w:divBdr>
        <w:top w:val="none" w:sz="0" w:space="0" w:color="auto"/>
        <w:left w:val="none" w:sz="0" w:space="0" w:color="auto"/>
        <w:bottom w:val="none" w:sz="0" w:space="0" w:color="auto"/>
        <w:right w:val="none" w:sz="0" w:space="0" w:color="auto"/>
      </w:divBdr>
      <w:divsChild>
        <w:div w:id="1904754623">
          <w:marLeft w:val="0"/>
          <w:marRight w:val="0"/>
          <w:marTop w:val="0"/>
          <w:marBottom w:val="0"/>
          <w:divBdr>
            <w:top w:val="none" w:sz="0" w:space="0" w:color="auto"/>
            <w:left w:val="none" w:sz="0" w:space="0" w:color="auto"/>
            <w:bottom w:val="none" w:sz="0" w:space="0" w:color="auto"/>
            <w:right w:val="none" w:sz="0" w:space="0" w:color="auto"/>
          </w:divBdr>
          <w:divsChild>
            <w:div w:id="214573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15620">
      <w:bodyDiv w:val="1"/>
      <w:marLeft w:val="0"/>
      <w:marRight w:val="0"/>
      <w:marTop w:val="0"/>
      <w:marBottom w:val="0"/>
      <w:divBdr>
        <w:top w:val="none" w:sz="0" w:space="0" w:color="auto"/>
        <w:left w:val="none" w:sz="0" w:space="0" w:color="auto"/>
        <w:bottom w:val="none" w:sz="0" w:space="0" w:color="auto"/>
        <w:right w:val="none" w:sz="0" w:space="0" w:color="auto"/>
      </w:divBdr>
      <w:divsChild>
        <w:div w:id="737364968">
          <w:marLeft w:val="0"/>
          <w:marRight w:val="0"/>
          <w:marTop w:val="0"/>
          <w:marBottom w:val="0"/>
          <w:divBdr>
            <w:top w:val="none" w:sz="0" w:space="0" w:color="auto"/>
            <w:left w:val="none" w:sz="0" w:space="0" w:color="auto"/>
            <w:bottom w:val="none" w:sz="0" w:space="0" w:color="auto"/>
            <w:right w:val="none" w:sz="0" w:space="0" w:color="auto"/>
          </w:divBdr>
        </w:div>
      </w:divsChild>
    </w:div>
    <w:div w:id="343828098">
      <w:bodyDiv w:val="1"/>
      <w:marLeft w:val="0"/>
      <w:marRight w:val="0"/>
      <w:marTop w:val="0"/>
      <w:marBottom w:val="0"/>
      <w:divBdr>
        <w:top w:val="none" w:sz="0" w:space="0" w:color="auto"/>
        <w:left w:val="none" w:sz="0" w:space="0" w:color="auto"/>
        <w:bottom w:val="none" w:sz="0" w:space="0" w:color="auto"/>
        <w:right w:val="none" w:sz="0" w:space="0" w:color="auto"/>
      </w:divBdr>
    </w:div>
    <w:div w:id="377360054">
      <w:bodyDiv w:val="1"/>
      <w:marLeft w:val="0"/>
      <w:marRight w:val="0"/>
      <w:marTop w:val="0"/>
      <w:marBottom w:val="0"/>
      <w:divBdr>
        <w:top w:val="none" w:sz="0" w:space="0" w:color="auto"/>
        <w:left w:val="none" w:sz="0" w:space="0" w:color="auto"/>
        <w:bottom w:val="none" w:sz="0" w:space="0" w:color="auto"/>
        <w:right w:val="none" w:sz="0" w:space="0" w:color="auto"/>
      </w:divBdr>
    </w:div>
    <w:div w:id="476842263">
      <w:bodyDiv w:val="1"/>
      <w:marLeft w:val="0"/>
      <w:marRight w:val="0"/>
      <w:marTop w:val="0"/>
      <w:marBottom w:val="0"/>
      <w:divBdr>
        <w:top w:val="none" w:sz="0" w:space="0" w:color="auto"/>
        <w:left w:val="none" w:sz="0" w:space="0" w:color="auto"/>
        <w:bottom w:val="none" w:sz="0" w:space="0" w:color="auto"/>
        <w:right w:val="none" w:sz="0" w:space="0" w:color="auto"/>
      </w:divBdr>
    </w:div>
    <w:div w:id="477502605">
      <w:bodyDiv w:val="1"/>
      <w:marLeft w:val="0"/>
      <w:marRight w:val="0"/>
      <w:marTop w:val="0"/>
      <w:marBottom w:val="0"/>
      <w:divBdr>
        <w:top w:val="none" w:sz="0" w:space="0" w:color="auto"/>
        <w:left w:val="none" w:sz="0" w:space="0" w:color="auto"/>
        <w:bottom w:val="none" w:sz="0" w:space="0" w:color="auto"/>
        <w:right w:val="none" w:sz="0" w:space="0" w:color="auto"/>
      </w:divBdr>
    </w:div>
    <w:div w:id="514155256">
      <w:bodyDiv w:val="1"/>
      <w:marLeft w:val="0"/>
      <w:marRight w:val="0"/>
      <w:marTop w:val="0"/>
      <w:marBottom w:val="0"/>
      <w:divBdr>
        <w:top w:val="none" w:sz="0" w:space="0" w:color="auto"/>
        <w:left w:val="none" w:sz="0" w:space="0" w:color="auto"/>
        <w:bottom w:val="none" w:sz="0" w:space="0" w:color="auto"/>
        <w:right w:val="none" w:sz="0" w:space="0" w:color="auto"/>
      </w:divBdr>
      <w:divsChild>
        <w:div w:id="1604145849">
          <w:marLeft w:val="0"/>
          <w:marRight w:val="0"/>
          <w:marTop w:val="0"/>
          <w:marBottom w:val="0"/>
          <w:divBdr>
            <w:top w:val="none" w:sz="0" w:space="0" w:color="auto"/>
            <w:left w:val="none" w:sz="0" w:space="0" w:color="auto"/>
            <w:bottom w:val="none" w:sz="0" w:space="0" w:color="auto"/>
            <w:right w:val="none" w:sz="0" w:space="0" w:color="auto"/>
          </w:divBdr>
          <w:divsChild>
            <w:div w:id="33464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836978">
      <w:bodyDiv w:val="1"/>
      <w:marLeft w:val="0"/>
      <w:marRight w:val="0"/>
      <w:marTop w:val="0"/>
      <w:marBottom w:val="0"/>
      <w:divBdr>
        <w:top w:val="none" w:sz="0" w:space="0" w:color="auto"/>
        <w:left w:val="none" w:sz="0" w:space="0" w:color="auto"/>
        <w:bottom w:val="none" w:sz="0" w:space="0" w:color="auto"/>
        <w:right w:val="none" w:sz="0" w:space="0" w:color="auto"/>
      </w:divBdr>
      <w:divsChild>
        <w:div w:id="1391421231">
          <w:marLeft w:val="0"/>
          <w:marRight w:val="0"/>
          <w:marTop w:val="0"/>
          <w:marBottom w:val="0"/>
          <w:divBdr>
            <w:top w:val="none" w:sz="0" w:space="0" w:color="auto"/>
            <w:left w:val="none" w:sz="0" w:space="0" w:color="auto"/>
            <w:bottom w:val="none" w:sz="0" w:space="0" w:color="auto"/>
            <w:right w:val="none" w:sz="0" w:space="0" w:color="auto"/>
          </w:divBdr>
        </w:div>
      </w:divsChild>
    </w:div>
    <w:div w:id="660430114">
      <w:bodyDiv w:val="1"/>
      <w:marLeft w:val="0"/>
      <w:marRight w:val="0"/>
      <w:marTop w:val="0"/>
      <w:marBottom w:val="0"/>
      <w:divBdr>
        <w:top w:val="none" w:sz="0" w:space="0" w:color="auto"/>
        <w:left w:val="none" w:sz="0" w:space="0" w:color="auto"/>
        <w:bottom w:val="none" w:sz="0" w:space="0" w:color="auto"/>
        <w:right w:val="none" w:sz="0" w:space="0" w:color="auto"/>
      </w:divBdr>
    </w:div>
    <w:div w:id="749231430">
      <w:bodyDiv w:val="1"/>
      <w:marLeft w:val="0"/>
      <w:marRight w:val="0"/>
      <w:marTop w:val="0"/>
      <w:marBottom w:val="0"/>
      <w:divBdr>
        <w:top w:val="none" w:sz="0" w:space="0" w:color="auto"/>
        <w:left w:val="none" w:sz="0" w:space="0" w:color="auto"/>
        <w:bottom w:val="none" w:sz="0" w:space="0" w:color="auto"/>
        <w:right w:val="none" w:sz="0" w:space="0" w:color="auto"/>
      </w:divBdr>
    </w:div>
    <w:div w:id="787894607">
      <w:bodyDiv w:val="1"/>
      <w:marLeft w:val="0"/>
      <w:marRight w:val="0"/>
      <w:marTop w:val="0"/>
      <w:marBottom w:val="0"/>
      <w:divBdr>
        <w:top w:val="none" w:sz="0" w:space="0" w:color="auto"/>
        <w:left w:val="none" w:sz="0" w:space="0" w:color="auto"/>
        <w:bottom w:val="none" w:sz="0" w:space="0" w:color="auto"/>
        <w:right w:val="none" w:sz="0" w:space="0" w:color="auto"/>
      </w:divBdr>
    </w:div>
    <w:div w:id="815606921">
      <w:bodyDiv w:val="1"/>
      <w:marLeft w:val="0"/>
      <w:marRight w:val="0"/>
      <w:marTop w:val="0"/>
      <w:marBottom w:val="0"/>
      <w:divBdr>
        <w:top w:val="none" w:sz="0" w:space="0" w:color="auto"/>
        <w:left w:val="none" w:sz="0" w:space="0" w:color="auto"/>
        <w:bottom w:val="none" w:sz="0" w:space="0" w:color="auto"/>
        <w:right w:val="none" w:sz="0" w:space="0" w:color="auto"/>
      </w:divBdr>
    </w:div>
    <w:div w:id="817309799">
      <w:bodyDiv w:val="1"/>
      <w:marLeft w:val="0"/>
      <w:marRight w:val="0"/>
      <w:marTop w:val="0"/>
      <w:marBottom w:val="0"/>
      <w:divBdr>
        <w:top w:val="none" w:sz="0" w:space="0" w:color="auto"/>
        <w:left w:val="none" w:sz="0" w:space="0" w:color="auto"/>
        <w:bottom w:val="none" w:sz="0" w:space="0" w:color="auto"/>
        <w:right w:val="none" w:sz="0" w:space="0" w:color="auto"/>
      </w:divBdr>
    </w:div>
    <w:div w:id="1078553809">
      <w:bodyDiv w:val="1"/>
      <w:marLeft w:val="0"/>
      <w:marRight w:val="0"/>
      <w:marTop w:val="0"/>
      <w:marBottom w:val="0"/>
      <w:divBdr>
        <w:top w:val="none" w:sz="0" w:space="0" w:color="auto"/>
        <w:left w:val="none" w:sz="0" w:space="0" w:color="auto"/>
        <w:bottom w:val="none" w:sz="0" w:space="0" w:color="auto"/>
        <w:right w:val="none" w:sz="0" w:space="0" w:color="auto"/>
      </w:divBdr>
    </w:div>
    <w:div w:id="1199119987">
      <w:bodyDiv w:val="1"/>
      <w:marLeft w:val="0"/>
      <w:marRight w:val="0"/>
      <w:marTop w:val="0"/>
      <w:marBottom w:val="0"/>
      <w:divBdr>
        <w:top w:val="none" w:sz="0" w:space="0" w:color="auto"/>
        <w:left w:val="none" w:sz="0" w:space="0" w:color="auto"/>
        <w:bottom w:val="none" w:sz="0" w:space="0" w:color="auto"/>
        <w:right w:val="none" w:sz="0" w:space="0" w:color="auto"/>
      </w:divBdr>
    </w:div>
    <w:div w:id="1251618799">
      <w:bodyDiv w:val="1"/>
      <w:marLeft w:val="0"/>
      <w:marRight w:val="0"/>
      <w:marTop w:val="0"/>
      <w:marBottom w:val="0"/>
      <w:divBdr>
        <w:top w:val="none" w:sz="0" w:space="0" w:color="auto"/>
        <w:left w:val="none" w:sz="0" w:space="0" w:color="auto"/>
        <w:bottom w:val="none" w:sz="0" w:space="0" w:color="auto"/>
        <w:right w:val="none" w:sz="0" w:space="0" w:color="auto"/>
      </w:divBdr>
    </w:div>
    <w:div w:id="1482229583">
      <w:bodyDiv w:val="1"/>
      <w:marLeft w:val="0"/>
      <w:marRight w:val="0"/>
      <w:marTop w:val="0"/>
      <w:marBottom w:val="0"/>
      <w:divBdr>
        <w:top w:val="none" w:sz="0" w:space="0" w:color="auto"/>
        <w:left w:val="none" w:sz="0" w:space="0" w:color="auto"/>
        <w:bottom w:val="none" w:sz="0" w:space="0" w:color="auto"/>
        <w:right w:val="none" w:sz="0" w:space="0" w:color="auto"/>
      </w:divBdr>
      <w:divsChild>
        <w:div w:id="996230051">
          <w:marLeft w:val="0"/>
          <w:marRight w:val="0"/>
          <w:marTop w:val="0"/>
          <w:marBottom w:val="0"/>
          <w:divBdr>
            <w:top w:val="none" w:sz="0" w:space="0" w:color="auto"/>
            <w:left w:val="none" w:sz="0" w:space="0" w:color="auto"/>
            <w:bottom w:val="none" w:sz="0" w:space="0" w:color="auto"/>
            <w:right w:val="none" w:sz="0" w:space="0" w:color="auto"/>
          </w:divBdr>
          <w:divsChild>
            <w:div w:id="29406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067861">
      <w:bodyDiv w:val="1"/>
      <w:marLeft w:val="0"/>
      <w:marRight w:val="0"/>
      <w:marTop w:val="0"/>
      <w:marBottom w:val="0"/>
      <w:divBdr>
        <w:top w:val="none" w:sz="0" w:space="0" w:color="auto"/>
        <w:left w:val="none" w:sz="0" w:space="0" w:color="auto"/>
        <w:bottom w:val="none" w:sz="0" w:space="0" w:color="auto"/>
        <w:right w:val="none" w:sz="0" w:space="0" w:color="auto"/>
      </w:divBdr>
    </w:div>
    <w:div w:id="1552960739">
      <w:bodyDiv w:val="1"/>
      <w:marLeft w:val="0"/>
      <w:marRight w:val="0"/>
      <w:marTop w:val="0"/>
      <w:marBottom w:val="0"/>
      <w:divBdr>
        <w:top w:val="none" w:sz="0" w:space="0" w:color="auto"/>
        <w:left w:val="none" w:sz="0" w:space="0" w:color="auto"/>
        <w:bottom w:val="none" w:sz="0" w:space="0" w:color="auto"/>
        <w:right w:val="none" w:sz="0" w:space="0" w:color="auto"/>
      </w:divBdr>
      <w:divsChild>
        <w:div w:id="563957404">
          <w:marLeft w:val="0"/>
          <w:marRight w:val="0"/>
          <w:marTop w:val="0"/>
          <w:marBottom w:val="0"/>
          <w:divBdr>
            <w:top w:val="none" w:sz="0" w:space="0" w:color="auto"/>
            <w:left w:val="none" w:sz="0" w:space="0" w:color="auto"/>
            <w:bottom w:val="none" w:sz="0" w:space="0" w:color="auto"/>
            <w:right w:val="none" w:sz="0" w:space="0" w:color="auto"/>
          </w:divBdr>
          <w:divsChild>
            <w:div w:id="74299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76201">
      <w:bodyDiv w:val="1"/>
      <w:marLeft w:val="0"/>
      <w:marRight w:val="0"/>
      <w:marTop w:val="0"/>
      <w:marBottom w:val="0"/>
      <w:divBdr>
        <w:top w:val="none" w:sz="0" w:space="0" w:color="auto"/>
        <w:left w:val="none" w:sz="0" w:space="0" w:color="auto"/>
        <w:bottom w:val="none" w:sz="0" w:space="0" w:color="auto"/>
        <w:right w:val="none" w:sz="0" w:space="0" w:color="auto"/>
      </w:divBdr>
    </w:div>
    <w:div w:id="1749229276">
      <w:bodyDiv w:val="1"/>
      <w:marLeft w:val="0"/>
      <w:marRight w:val="0"/>
      <w:marTop w:val="0"/>
      <w:marBottom w:val="0"/>
      <w:divBdr>
        <w:top w:val="none" w:sz="0" w:space="0" w:color="auto"/>
        <w:left w:val="none" w:sz="0" w:space="0" w:color="auto"/>
        <w:bottom w:val="none" w:sz="0" w:space="0" w:color="auto"/>
        <w:right w:val="none" w:sz="0" w:space="0" w:color="auto"/>
      </w:divBdr>
      <w:divsChild>
        <w:div w:id="119886930">
          <w:marLeft w:val="0"/>
          <w:marRight w:val="0"/>
          <w:marTop w:val="0"/>
          <w:marBottom w:val="0"/>
          <w:divBdr>
            <w:top w:val="none" w:sz="0" w:space="0" w:color="auto"/>
            <w:left w:val="none" w:sz="0" w:space="0" w:color="auto"/>
            <w:bottom w:val="none" w:sz="0" w:space="0" w:color="auto"/>
            <w:right w:val="none" w:sz="0" w:space="0" w:color="auto"/>
          </w:divBdr>
          <w:divsChild>
            <w:div w:id="21041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839313">
      <w:bodyDiv w:val="1"/>
      <w:marLeft w:val="0"/>
      <w:marRight w:val="0"/>
      <w:marTop w:val="0"/>
      <w:marBottom w:val="0"/>
      <w:divBdr>
        <w:top w:val="none" w:sz="0" w:space="0" w:color="auto"/>
        <w:left w:val="none" w:sz="0" w:space="0" w:color="auto"/>
        <w:bottom w:val="none" w:sz="0" w:space="0" w:color="auto"/>
        <w:right w:val="none" w:sz="0" w:space="0" w:color="auto"/>
      </w:divBdr>
      <w:divsChild>
        <w:div w:id="613362981">
          <w:marLeft w:val="0"/>
          <w:marRight w:val="0"/>
          <w:marTop w:val="0"/>
          <w:marBottom w:val="0"/>
          <w:divBdr>
            <w:top w:val="none" w:sz="0" w:space="0" w:color="auto"/>
            <w:left w:val="none" w:sz="0" w:space="0" w:color="auto"/>
            <w:bottom w:val="none" w:sz="0" w:space="0" w:color="auto"/>
            <w:right w:val="none" w:sz="0" w:space="0" w:color="auto"/>
          </w:divBdr>
          <w:divsChild>
            <w:div w:id="170598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972234">
      <w:bodyDiv w:val="1"/>
      <w:marLeft w:val="0"/>
      <w:marRight w:val="0"/>
      <w:marTop w:val="0"/>
      <w:marBottom w:val="0"/>
      <w:divBdr>
        <w:top w:val="none" w:sz="0" w:space="0" w:color="auto"/>
        <w:left w:val="none" w:sz="0" w:space="0" w:color="auto"/>
        <w:bottom w:val="none" w:sz="0" w:space="0" w:color="auto"/>
        <w:right w:val="none" w:sz="0" w:space="0" w:color="auto"/>
      </w:divBdr>
    </w:div>
    <w:div w:id="1807969015">
      <w:bodyDiv w:val="1"/>
      <w:marLeft w:val="0"/>
      <w:marRight w:val="0"/>
      <w:marTop w:val="0"/>
      <w:marBottom w:val="0"/>
      <w:divBdr>
        <w:top w:val="none" w:sz="0" w:space="0" w:color="auto"/>
        <w:left w:val="none" w:sz="0" w:space="0" w:color="auto"/>
        <w:bottom w:val="none" w:sz="0" w:space="0" w:color="auto"/>
        <w:right w:val="none" w:sz="0" w:space="0" w:color="auto"/>
      </w:divBdr>
    </w:div>
    <w:div w:id="1821650859">
      <w:bodyDiv w:val="1"/>
      <w:marLeft w:val="0"/>
      <w:marRight w:val="0"/>
      <w:marTop w:val="0"/>
      <w:marBottom w:val="0"/>
      <w:divBdr>
        <w:top w:val="none" w:sz="0" w:space="0" w:color="auto"/>
        <w:left w:val="none" w:sz="0" w:space="0" w:color="auto"/>
        <w:bottom w:val="none" w:sz="0" w:space="0" w:color="auto"/>
        <w:right w:val="none" w:sz="0" w:space="0" w:color="auto"/>
      </w:divBdr>
    </w:div>
    <w:div w:id="1830516178">
      <w:bodyDiv w:val="1"/>
      <w:marLeft w:val="0"/>
      <w:marRight w:val="0"/>
      <w:marTop w:val="0"/>
      <w:marBottom w:val="0"/>
      <w:divBdr>
        <w:top w:val="none" w:sz="0" w:space="0" w:color="auto"/>
        <w:left w:val="none" w:sz="0" w:space="0" w:color="auto"/>
        <w:bottom w:val="none" w:sz="0" w:space="0" w:color="auto"/>
        <w:right w:val="none" w:sz="0" w:space="0" w:color="auto"/>
      </w:divBdr>
      <w:divsChild>
        <w:div w:id="666447478">
          <w:marLeft w:val="0"/>
          <w:marRight w:val="0"/>
          <w:marTop w:val="0"/>
          <w:marBottom w:val="0"/>
          <w:divBdr>
            <w:top w:val="none" w:sz="0" w:space="0" w:color="auto"/>
            <w:left w:val="none" w:sz="0" w:space="0" w:color="auto"/>
            <w:bottom w:val="none" w:sz="0" w:space="0" w:color="auto"/>
            <w:right w:val="none" w:sz="0" w:space="0" w:color="auto"/>
          </w:divBdr>
        </w:div>
      </w:divsChild>
    </w:div>
    <w:div w:id="1837064484">
      <w:bodyDiv w:val="1"/>
      <w:marLeft w:val="0"/>
      <w:marRight w:val="0"/>
      <w:marTop w:val="0"/>
      <w:marBottom w:val="0"/>
      <w:divBdr>
        <w:top w:val="none" w:sz="0" w:space="0" w:color="auto"/>
        <w:left w:val="none" w:sz="0" w:space="0" w:color="auto"/>
        <w:bottom w:val="none" w:sz="0" w:space="0" w:color="auto"/>
        <w:right w:val="none" w:sz="0" w:space="0" w:color="auto"/>
      </w:divBdr>
    </w:div>
    <w:div w:id="1857498026">
      <w:bodyDiv w:val="1"/>
      <w:marLeft w:val="0"/>
      <w:marRight w:val="0"/>
      <w:marTop w:val="0"/>
      <w:marBottom w:val="0"/>
      <w:divBdr>
        <w:top w:val="none" w:sz="0" w:space="0" w:color="auto"/>
        <w:left w:val="none" w:sz="0" w:space="0" w:color="auto"/>
        <w:bottom w:val="none" w:sz="0" w:space="0" w:color="auto"/>
        <w:right w:val="none" w:sz="0" w:space="0" w:color="auto"/>
      </w:divBdr>
    </w:div>
    <w:div w:id="1892301285">
      <w:bodyDiv w:val="1"/>
      <w:marLeft w:val="0"/>
      <w:marRight w:val="0"/>
      <w:marTop w:val="0"/>
      <w:marBottom w:val="0"/>
      <w:divBdr>
        <w:top w:val="none" w:sz="0" w:space="0" w:color="auto"/>
        <w:left w:val="none" w:sz="0" w:space="0" w:color="auto"/>
        <w:bottom w:val="none" w:sz="0" w:space="0" w:color="auto"/>
        <w:right w:val="none" w:sz="0" w:space="0" w:color="auto"/>
      </w:divBdr>
    </w:div>
    <w:div w:id="1900245132">
      <w:bodyDiv w:val="1"/>
      <w:marLeft w:val="0"/>
      <w:marRight w:val="0"/>
      <w:marTop w:val="0"/>
      <w:marBottom w:val="0"/>
      <w:divBdr>
        <w:top w:val="none" w:sz="0" w:space="0" w:color="auto"/>
        <w:left w:val="none" w:sz="0" w:space="0" w:color="auto"/>
        <w:bottom w:val="none" w:sz="0" w:space="0" w:color="auto"/>
        <w:right w:val="none" w:sz="0" w:space="0" w:color="auto"/>
      </w:divBdr>
    </w:div>
    <w:div w:id="1983928078">
      <w:bodyDiv w:val="1"/>
      <w:marLeft w:val="0"/>
      <w:marRight w:val="0"/>
      <w:marTop w:val="0"/>
      <w:marBottom w:val="0"/>
      <w:divBdr>
        <w:top w:val="none" w:sz="0" w:space="0" w:color="auto"/>
        <w:left w:val="none" w:sz="0" w:space="0" w:color="auto"/>
        <w:bottom w:val="none" w:sz="0" w:space="0" w:color="auto"/>
        <w:right w:val="none" w:sz="0" w:space="0" w:color="auto"/>
      </w:divBdr>
    </w:div>
    <w:div w:id="206729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87DA7-8A76-40C1-B13D-E91BEE040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17030</Words>
  <Characters>97073</Characters>
  <Application>Microsoft Office Word</Application>
  <DocSecurity>0</DocSecurity>
  <Lines>808</Lines>
  <Paragraphs>227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Seunghak</dc:creator>
  <cp:keywords/>
  <dc:description/>
  <cp:lastModifiedBy>Park Hyunjin</cp:lastModifiedBy>
  <cp:revision>3</cp:revision>
  <dcterms:created xsi:type="dcterms:W3CDTF">2020-11-14T01:32:00Z</dcterms:created>
  <dcterms:modified xsi:type="dcterms:W3CDTF">2020-11-14T01:33:00Z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NSCPROP_SA">
    <vt:lpwstr>C:\Users\DM300T3B-B51\Downloads\Application of common radiomics feature set_ver9.docx</vt:lpwstr>
  </property>
  <property fmtid="{D5CDD505-2E9C-101B-9397-08002B2CF9AE}" pid="4" name="Mendeley Document_1">
    <vt:lpwstr>True</vt:lpwstr>
  </property>
  <property fmtid="{D5CDD505-2E9C-101B-9397-08002B2CF9AE}" pid="5" name="Mendeley Unique User Id_1">
    <vt:lpwstr>1c6447fa-6872-3db1-9543-58652cda0e9e</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http://www.zotero.org/styles/american-sociological-association</vt:lpwstr>
  </property>
  <property fmtid="{D5CDD505-2E9C-101B-9397-08002B2CF9AE}" pid="9" name="Mendeley Recent Style Name 1_1">
    <vt:lpwstr>American Sociological Association</vt:lpwstr>
  </property>
  <property fmtid="{D5CDD505-2E9C-101B-9397-08002B2CF9AE}" pid="10" name="Mendeley Recent Style Id 2_1">
    <vt:lpwstr>http://www.zotero.org/styles/cancer-imaging</vt:lpwstr>
  </property>
  <property fmtid="{D5CDD505-2E9C-101B-9397-08002B2CF9AE}" pid="11" name="Mendeley Recent Style Name 2_1">
    <vt:lpwstr>Cancer Imaging</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http://www.zotero.org/styles/computers-in-biology-and-medicine</vt:lpwstr>
  </property>
  <property fmtid="{D5CDD505-2E9C-101B-9397-08002B2CF9AE}" pid="15" name="Mendeley Recent Style Name 4_1">
    <vt:lpwstr>Computers in Biology and Medicine</vt:lpwstr>
  </property>
  <property fmtid="{D5CDD505-2E9C-101B-9397-08002B2CF9AE}" pid="16" name="Mendeley Recent Style Id 5_1">
    <vt:lpwstr>http://www.zotero.org/styles/european-radiology</vt:lpwstr>
  </property>
  <property fmtid="{D5CDD505-2E9C-101B-9397-08002B2CF9AE}" pid="17" name="Mendeley Recent Style Name 5_1">
    <vt:lpwstr>European Radiology</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http://www.zotero.org/styles/investigative-radiology</vt:lpwstr>
  </property>
  <property fmtid="{D5CDD505-2E9C-101B-9397-08002B2CF9AE}" pid="21" name="Mendeley Recent Style Name 7_1">
    <vt:lpwstr>Investigative Radiology</vt:lpwstr>
  </property>
  <property fmtid="{D5CDD505-2E9C-101B-9397-08002B2CF9AE}" pid="22" name="Mendeley Recent Style Id 8_1">
    <vt:lpwstr>http://www.zotero.org/styles/springer-vancouver</vt:lpwstr>
  </property>
  <property fmtid="{D5CDD505-2E9C-101B-9397-08002B2CF9AE}" pid="23" name="Mendeley Recent Style Name 8_1">
    <vt:lpwstr>Springer - Vancouver</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y fmtid="{D5CDD505-2E9C-101B-9397-08002B2CF9AE}" pid="26" name="Mendeley Citation Style_1">
    <vt:lpwstr>http://www.zotero.org/styles/cancer-imaging</vt:lpwstr>
  </property>
</Properties>
</file>