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bCs/>
          <w:sz w:val="30"/>
          <w:szCs w:val="30"/>
        </w:rPr>
      </w:pPr>
      <w:r>
        <w:rPr>
          <w:rFonts w:ascii="Times New Roman" w:hAnsi="Times New Roman" w:cs="Times New Roman"/>
          <w:b/>
          <w:bCs/>
          <w:sz w:val="30"/>
          <w:szCs w:val="30"/>
        </w:rPr>
        <w:t>Clinical and DCE-CT signs in predicting microvascular invasion in cHCC-ICC</w:t>
      </w:r>
    </w:p>
    <w:p>
      <w:pPr>
        <w:jc w:val="center"/>
        <w:rPr>
          <w:rFonts w:ascii="Times New Roman" w:hAnsi="Times New Roman" w:cs="Times New Roman"/>
          <w:sz w:val="24"/>
        </w:rPr>
      </w:pPr>
      <w:r>
        <w:rPr>
          <w:rFonts w:hint="eastAsia" w:ascii="Times New Roman" w:hAnsi="Times New Roman" w:cs="Times New Roman"/>
          <w:sz w:val="28"/>
          <w:szCs w:val="28"/>
        </w:rPr>
        <w:t>Zhong-Jian</w:t>
      </w:r>
      <w:r>
        <w:rPr>
          <w:rFonts w:ascii="Times New Roman" w:hAnsi="Times New Roman" w:cs="Times New Roman"/>
          <w:sz w:val="28"/>
          <w:szCs w:val="28"/>
        </w:rPr>
        <w:t xml:space="preserve"> </w:t>
      </w:r>
      <w:r>
        <w:rPr>
          <w:rFonts w:hint="eastAsia" w:ascii="Times New Roman" w:hAnsi="Times New Roman" w:cs="Times New Roman"/>
          <w:sz w:val="28"/>
          <w:szCs w:val="28"/>
        </w:rPr>
        <w:t>Liao</w:t>
      </w:r>
      <w:r>
        <w:rPr>
          <w:rFonts w:ascii="Times New Roman" w:hAnsi="Times New Roman" w:cs="Times New Roman"/>
          <w:sz w:val="28"/>
          <w:szCs w:val="28"/>
          <w:vertAlign w:val="superscript"/>
        </w:rPr>
        <w:t>1</w:t>
      </w:r>
      <w:r>
        <w:rPr>
          <w:rFonts w:hint="eastAsia" w:ascii="Times New Roman" w:hAnsi="Times New Roman" w:cs="Times New Roman"/>
          <w:sz w:val="28"/>
          <w:szCs w:val="28"/>
          <w:vertAlign w:val="superscript"/>
        </w:rPr>
        <w:t>,#</w:t>
      </w:r>
      <w:r>
        <w:rPr>
          <w:rFonts w:ascii="Times New Roman" w:hAnsi="Times New Roman" w:cs="Times New Roman"/>
          <w:sz w:val="28"/>
          <w:szCs w:val="28"/>
        </w:rPr>
        <w:t xml:space="preserve">, </w:t>
      </w:r>
      <w:r>
        <w:rPr>
          <w:rFonts w:hint="eastAsia" w:ascii="Times New Roman" w:hAnsi="Times New Roman" w:cs="Times New Roman"/>
          <w:sz w:val="28"/>
          <w:szCs w:val="28"/>
        </w:rPr>
        <w:t>Lun</w:t>
      </w:r>
      <w:r>
        <w:rPr>
          <w:rFonts w:ascii="Times New Roman" w:hAnsi="Times New Roman" w:cs="Times New Roman"/>
          <w:sz w:val="28"/>
          <w:szCs w:val="28"/>
        </w:rPr>
        <w:t xml:space="preserve"> L</w:t>
      </w:r>
      <w:r>
        <w:rPr>
          <w:rFonts w:hint="eastAsia" w:ascii="Times New Roman" w:hAnsi="Times New Roman" w:cs="Times New Roman"/>
          <w:sz w:val="28"/>
          <w:szCs w:val="28"/>
        </w:rPr>
        <w:t>u</w:t>
      </w:r>
      <w:r>
        <w:rPr>
          <w:rFonts w:hint="eastAsia" w:ascii="Times New Roman" w:hAnsi="Times New Roman" w:cs="Times New Roman"/>
          <w:sz w:val="28"/>
          <w:szCs w:val="28"/>
          <w:vertAlign w:val="superscript"/>
        </w:rPr>
        <w:t>2,#</w:t>
      </w:r>
      <w:r>
        <w:rPr>
          <w:rFonts w:ascii="Times New Roman" w:hAnsi="Times New Roman" w:cs="Times New Roman"/>
          <w:sz w:val="28"/>
          <w:szCs w:val="28"/>
        </w:rPr>
        <w:t>,</w:t>
      </w:r>
      <w:r>
        <w:rPr>
          <w:rFonts w:hint="eastAsia" w:ascii="Times New Roman" w:hAnsi="Times New Roman" w:cs="Times New Roman"/>
          <w:sz w:val="28"/>
          <w:szCs w:val="28"/>
        </w:rPr>
        <w:t xml:space="preserve"> Yi-Ping</w:t>
      </w:r>
      <w:r>
        <w:rPr>
          <w:rFonts w:ascii="Times New Roman" w:hAnsi="Times New Roman" w:cs="Times New Roman"/>
          <w:sz w:val="28"/>
          <w:szCs w:val="28"/>
        </w:rPr>
        <w:t xml:space="preserve"> </w:t>
      </w:r>
      <w:r>
        <w:rPr>
          <w:rFonts w:hint="eastAsia" w:ascii="Times New Roman" w:hAnsi="Times New Roman" w:cs="Times New Roman"/>
          <w:sz w:val="28"/>
          <w:szCs w:val="28"/>
        </w:rPr>
        <w:t>Li</w:t>
      </w:r>
      <w:r>
        <w:rPr>
          <w:rFonts w:ascii="Times New Roman" w:hAnsi="Times New Roman" w:cs="Times New Roman"/>
          <w:sz w:val="28"/>
          <w:szCs w:val="28"/>
        </w:rPr>
        <w:t>u</w:t>
      </w:r>
      <w:r>
        <w:rPr>
          <w:rFonts w:hint="eastAsia" w:ascii="Times New Roman" w:hAnsi="Times New Roman" w:cs="Times New Roman"/>
          <w:sz w:val="28"/>
          <w:szCs w:val="28"/>
          <w:vertAlign w:val="superscript"/>
        </w:rPr>
        <w:t>2</w:t>
      </w:r>
      <w:r>
        <w:rPr>
          <w:rFonts w:ascii="Times New Roman" w:hAnsi="Times New Roman" w:cs="Times New Roman"/>
          <w:sz w:val="28"/>
          <w:szCs w:val="28"/>
          <w:vertAlign w:val="superscript"/>
        </w:rPr>
        <w:t>,</w:t>
      </w:r>
      <w:r>
        <w:rPr>
          <w:rFonts w:hint="eastAsia" w:ascii="Times New Roman" w:hAnsi="Times New Roman" w:cs="Times New Roman"/>
          <w:sz w:val="28"/>
          <w:szCs w:val="28"/>
          <w:vertAlign w:val="superscript"/>
        </w:rPr>
        <w:t>#</w:t>
      </w:r>
      <w:r>
        <w:rPr>
          <w:rFonts w:ascii="Times New Roman" w:hAnsi="Times New Roman" w:cs="Times New Roman"/>
          <w:sz w:val="28"/>
          <w:szCs w:val="28"/>
        </w:rPr>
        <w:t>,</w:t>
      </w:r>
      <w:r>
        <w:rPr>
          <w:rFonts w:hint="eastAsia" w:ascii="Times New Roman" w:hAnsi="Times New Roman" w:cs="Times New Roman"/>
          <w:sz w:val="28"/>
          <w:szCs w:val="28"/>
        </w:rPr>
        <w:t xml:space="preserve"> Geng-geng Qin</w:t>
      </w:r>
      <w:r>
        <w:rPr>
          <w:rFonts w:hint="eastAsia" w:ascii="Times New Roman" w:hAnsi="Times New Roman" w:cs="Times New Roman"/>
          <w:sz w:val="28"/>
          <w:szCs w:val="28"/>
          <w:vertAlign w:val="superscript"/>
        </w:rPr>
        <w:t>1,3</w:t>
      </w:r>
      <w:r>
        <w:rPr>
          <w:rFonts w:hint="eastAsia" w:ascii="Times New Roman" w:hAnsi="Times New Roman" w:cs="Times New Roman"/>
          <w:sz w:val="28"/>
          <w:szCs w:val="28"/>
        </w:rPr>
        <w:t>,</w:t>
      </w:r>
      <w:r>
        <w:rPr>
          <w:rFonts w:ascii="Times New Roman" w:hAnsi="Times New Roman" w:cs="Times New Roman"/>
          <w:sz w:val="28"/>
          <w:szCs w:val="28"/>
        </w:rPr>
        <w:t xml:space="preserve"> C</w:t>
      </w:r>
      <w:r>
        <w:rPr>
          <w:rFonts w:hint="eastAsia" w:ascii="Times New Roman" w:hAnsi="Times New Roman" w:cs="Times New Roman"/>
          <w:sz w:val="28"/>
          <w:szCs w:val="28"/>
        </w:rPr>
        <w:t>un</w:t>
      </w:r>
      <w:r>
        <w:rPr>
          <w:rFonts w:ascii="Times New Roman" w:hAnsi="Times New Roman" w:cs="Times New Roman"/>
          <w:sz w:val="28"/>
          <w:szCs w:val="28"/>
        </w:rPr>
        <w:t>-</w:t>
      </w:r>
      <w:r>
        <w:rPr>
          <w:rFonts w:hint="eastAsia" w:ascii="Times New Roman" w:hAnsi="Times New Roman" w:cs="Times New Roman"/>
          <w:sz w:val="28"/>
          <w:szCs w:val="28"/>
        </w:rPr>
        <w:t>geng</w:t>
      </w:r>
      <w:r>
        <w:rPr>
          <w:rFonts w:ascii="Times New Roman" w:hAnsi="Times New Roman" w:cs="Times New Roman"/>
          <w:sz w:val="28"/>
          <w:szCs w:val="28"/>
        </w:rPr>
        <w:t xml:space="preserve"> </w:t>
      </w:r>
      <w:r>
        <w:rPr>
          <w:rFonts w:hint="eastAsia" w:ascii="Times New Roman" w:hAnsi="Times New Roman" w:cs="Times New Roman"/>
          <w:sz w:val="28"/>
          <w:szCs w:val="28"/>
        </w:rPr>
        <w:t>Fan</w:t>
      </w:r>
      <w:r>
        <w:rPr>
          <w:rFonts w:hint="eastAsia" w:ascii="Times New Roman" w:hAnsi="Times New Roman" w:cs="Times New Roman"/>
          <w:sz w:val="28"/>
          <w:szCs w:val="28"/>
          <w:vertAlign w:val="superscript"/>
        </w:rPr>
        <w:t>1</w:t>
      </w:r>
      <w:r>
        <w:rPr>
          <w:rFonts w:ascii="Times New Roman" w:hAnsi="Times New Roman" w:cs="Times New Roman"/>
          <w:sz w:val="28"/>
          <w:szCs w:val="28"/>
        </w:rPr>
        <w:t>,</w:t>
      </w:r>
      <w:r>
        <w:rPr>
          <w:rFonts w:hint="eastAsia" w:ascii="Times New Roman" w:hAnsi="Times New Roman" w:cs="Times New Roman"/>
          <w:sz w:val="28"/>
          <w:szCs w:val="28"/>
        </w:rPr>
        <w:t xml:space="preserve"> Yan-Ping</w:t>
      </w:r>
      <w:r>
        <w:rPr>
          <w:rFonts w:ascii="Times New Roman" w:hAnsi="Times New Roman" w:cs="Times New Roman"/>
          <w:sz w:val="28"/>
          <w:szCs w:val="28"/>
        </w:rPr>
        <w:t xml:space="preserve"> </w:t>
      </w:r>
      <w:r>
        <w:rPr>
          <w:rFonts w:hint="eastAsia" w:ascii="Times New Roman" w:hAnsi="Times New Roman" w:cs="Times New Roman"/>
          <w:sz w:val="28"/>
          <w:szCs w:val="28"/>
        </w:rPr>
        <w:t>Li</w:t>
      </w:r>
      <w:r>
        <w:rPr>
          <w:rFonts w:ascii="Times New Roman" w:hAnsi="Times New Roman" w:cs="Times New Roman"/>
          <w:sz w:val="28"/>
          <w:szCs w:val="28"/>
        </w:rPr>
        <w:t>u</w:t>
      </w:r>
      <w:r>
        <w:rPr>
          <w:rFonts w:hint="eastAsia" w:ascii="Times New Roman" w:hAnsi="Times New Roman" w:cs="Times New Roman"/>
          <w:sz w:val="28"/>
          <w:szCs w:val="28"/>
          <w:vertAlign w:val="superscript"/>
        </w:rPr>
        <w:t>1</w:t>
      </w:r>
      <w:r>
        <w:rPr>
          <w:rFonts w:ascii="Times New Roman" w:hAnsi="Times New Roman" w:cs="Times New Roman"/>
          <w:sz w:val="28"/>
          <w:szCs w:val="28"/>
        </w:rPr>
        <w:t xml:space="preserve">, </w:t>
      </w:r>
      <w:r>
        <w:rPr>
          <w:rFonts w:hint="eastAsia" w:ascii="Times New Roman" w:hAnsi="Times New Roman" w:cs="Times New Roman"/>
          <w:sz w:val="28"/>
          <w:szCs w:val="28"/>
        </w:rPr>
        <w:t>Ning-yang Jia</w:t>
      </w:r>
      <w:r>
        <w:rPr>
          <w:rFonts w:ascii="Times New Roman" w:hAnsi="Times New Roman" w:cs="Times New Roman"/>
          <w:sz w:val="28"/>
          <w:szCs w:val="28"/>
          <w:vertAlign w:val="superscript"/>
        </w:rPr>
        <w:t>2,</w:t>
      </w:r>
      <w:r>
        <w:rPr>
          <w:rFonts w:ascii="Times New Roman" w:hAnsi="Times New Roman" w:cs="Times New Roman"/>
          <w:sz w:val="28"/>
          <w:szCs w:val="28"/>
        </w:rPr>
        <w:t>*</w:t>
      </w:r>
      <w:r>
        <w:rPr>
          <w:rFonts w:hint="eastAsia" w:ascii="Times New Roman" w:hAnsi="Times New Roman" w:cs="Times New Roman"/>
          <w:sz w:val="28"/>
          <w:szCs w:val="28"/>
        </w:rPr>
        <w:t>,</w:t>
      </w:r>
      <w:r>
        <w:rPr>
          <w:rFonts w:ascii="Times New Roman" w:hAnsi="Times New Roman" w:cs="Times New Roman"/>
          <w:sz w:val="28"/>
          <w:szCs w:val="28"/>
        </w:rPr>
        <w:t xml:space="preserve"> </w:t>
      </w:r>
      <w:r>
        <w:rPr>
          <w:rFonts w:hint="eastAsia" w:ascii="Times New Roman" w:hAnsi="Times New Roman" w:cs="Times New Roman"/>
          <w:sz w:val="28"/>
          <w:szCs w:val="28"/>
        </w:rPr>
        <w:t>L</w:t>
      </w:r>
      <w:r>
        <w:rPr>
          <w:rFonts w:ascii="Times New Roman" w:hAnsi="Times New Roman" w:cs="Times New Roman"/>
          <w:sz w:val="28"/>
          <w:szCs w:val="28"/>
        </w:rPr>
        <w:t xml:space="preserve">ing </w:t>
      </w:r>
      <w:r>
        <w:rPr>
          <w:rFonts w:hint="eastAsia" w:ascii="Times New Roman" w:hAnsi="Times New Roman" w:cs="Times New Roman"/>
          <w:sz w:val="28"/>
          <w:szCs w:val="28"/>
        </w:rPr>
        <w:t>Zhang</w:t>
      </w:r>
      <w:r>
        <w:rPr>
          <w:rFonts w:hint="eastAsia" w:ascii="Times New Roman" w:hAnsi="Times New Roman" w:cs="Times New Roman"/>
          <w:sz w:val="28"/>
          <w:szCs w:val="28"/>
          <w:vertAlign w:val="superscript"/>
        </w:rPr>
        <w:t>1,3,</w:t>
      </w:r>
      <w:r>
        <w:rPr>
          <w:rFonts w:ascii="Times New Roman" w:hAnsi="Times New Roman" w:cs="Times New Roman"/>
          <w:sz w:val="28"/>
          <w:szCs w:val="28"/>
        </w:rPr>
        <w:t>*</w:t>
      </w:r>
    </w:p>
    <w:p>
      <w:pPr>
        <w:pStyle w:val="16"/>
        <w:spacing w:before="120" w:after="120" w:line="360" w:lineRule="auto"/>
        <w:ind w:firstLine="0" w:firstLineChars="0"/>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 xml:space="preserve"> </w:t>
      </w:r>
      <w:r>
        <w:rPr>
          <w:rFonts w:hint="eastAsia" w:ascii="Times New Roman" w:hAnsi="Times New Roman" w:cs="Times New Roman"/>
          <w:sz w:val="24"/>
        </w:rPr>
        <w:t>Medical Imaging Department of Ganzhou People</w:t>
      </w:r>
      <w:r>
        <w:rPr>
          <w:rFonts w:ascii="Times New Roman" w:hAnsi="Times New Roman" w:cs="Times New Roman"/>
          <w:sz w:val="24"/>
        </w:rPr>
        <w:t>’</w:t>
      </w:r>
      <w:r>
        <w:rPr>
          <w:rFonts w:hint="eastAsia" w:ascii="Times New Roman" w:hAnsi="Times New Roman" w:cs="Times New Roman"/>
          <w:sz w:val="24"/>
        </w:rPr>
        <w:t>s Hospital, Ganzhou,</w:t>
      </w:r>
      <w:r>
        <w:rPr>
          <w:rFonts w:ascii="Times New Roman" w:hAnsi="Times New Roman" w:cs="Times New Roman"/>
          <w:sz w:val="24"/>
        </w:rPr>
        <w:t xml:space="preserve"> </w:t>
      </w:r>
      <w:r>
        <w:rPr>
          <w:rFonts w:hint="eastAsia" w:ascii="Times New Roman" w:hAnsi="Times New Roman" w:cs="Times New Roman"/>
          <w:sz w:val="24"/>
        </w:rPr>
        <w:t>341000, China.</w:t>
      </w:r>
    </w:p>
    <w:p>
      <w:pPr>
        <w:pStyle w:val="16"/>
        <w:spacing w:before="120" w:after="120" w:line="360" w:lineRule="auto"/>
        <w:ind w:firstLine="0" w:firstLineChars="0"/>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 xml:space="preserve"> </w:t>
      </w:r>
      <w:r>
        <w:rPr>
          <w:rFonts w:hint="eastAsia" w:ascii="Times New Roman" w:hAnsi="Times New Roman" w:cs="Times New Roman"/>
          <w:sz w:val="24"/>
        </w:rPr>
        <w:t xml:space="preserve">Department of Radiology, Shanghai Eastern Hepatobiliary Surgery Hospital, Second Military Medical University, </w:t>
      </w:r>
      <w:r>
        <w:rPr>
          <w:rFonts w:ascii="Times New Roman" w:hAnsi="Times New Roman" w:cs="Times New Roman"/>
          <w:sz w:val="24"/>
        </w:rPr>
        <w:t>Shanghai 200438</w:t>
      </w:r>
      <w:r>
        <w:rPr>
          <w:rFonts w:hint="eastAsia" w:ascii="Times New Roman" w:hAnsi="Times New Roman" w:cs="Times New Roman"/>
          <w:sz w:val="24"/>
        </w:rPr>
        <w:t>, China.</w:t>
      </w:r>
    </w:p>
    <w:p>
      <w:pPr>
        <w:spacing w:line="480" w:lineRule="auto"/>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 xml:space="preserve"> </w:t>
      </w:r>
      <w:r>
        <w:rPr>
          <w:rFonts w:hint="eastAsia" w:ascii="Times New Roman" w:hAnsi="Times New Roman" w:cs="Times New Roman"/>
          <w:sz w:val="24"/>
        </w:rPr>
        <w:t>Department of Radiology, Nanfang Hospital, Southern Medical University, Guangzhou 510515, China.</w:t>
      </w:r>
    </w:p>
    <w:p>
      <w:pPr>
        <w:rPr>
          <w:rFonts w:ascii="Times New Roman" w:hAnsi="Times New Roman" w:cs="Times New Roman"/>
          <w:sz w:val="30"/>
          <w:szCs w:val="30"/>
        </w:rPr>
      </w:pPr>
    </w:p>
    <w:p>
      <w:pPr>
        <w:pStyle w:val="16"/>
        <w:spacing w:before="120" w:after="120" w:line="360" w:lineRule="auto"/>
        <w:ind w:firstLine="0" w:firstLineChars="0"/>
        <w:rPr>
          <w:rFonts w:ascii="Times New Roman" w:hAnsi="Times New Roman" w:cs="Times New Roman"/>
          <w:i/>
          <w:iCs/>
          <w:sz w:val="24"/>
        </w:rPr>
      </w:pPr>
      <w:r>
        <w:rPr>
          <w:rFonts w:hint="eastAsia" w:ascii="Times New Roman" w:hAnsi="Times New Roman" w:cs="Times New Roman"/>
          <w:i/>
          <w:iCs/>
          <w:sz w:val="24"/>
        </w:rPr>
        <w:t>#Zhong-Jian</w:t>
      </w:r>
      <w:r>
        <w:rPr>
          <w:rFonts w:ascii="Times New Roman" w:hAnsi="Times New Roman" w:cs="Times New Roman"/>
          <w:i/>
          <w:iCs/>
          <w:sz w:val="24"/>
        </w:rPr>
        <w:t xml:space="preserve"> </w:t>
      </w:r>
      <w:r>
        <w:rPr>
          <w:rFonts w:hint="eastAsia" w:ascii="Times New Roman" w:hAnsi="Times New Roman" w:cs="Times New Roman"/>
          <w:i/>
          <w:iCs/>
          <w:sz w:val="24"/>
        </w:rPr>
        <w:t>Liao and Lun</w:t>
      </w:r>
      <w:r>
        <w:rPr>
          <w:rFonts w:ascii="Times New Roman" w:hAnsi="Times New Roman" w:cs="Times New Roman"/>
          <w:i/>
          <w:iCs/>
          <w:sz w:val="24"/>
        </w:rPr>
        <w:t xml:space="preserve"> L</w:t>
      </w:r>
      <w:r>
        <w:rPr>
          <w:rFonts w:hint="eastAsia" w:ascii="Times New Roman" w:hAnsi="Times New Roman" w:cs="Times New Roman"/>
          <w:i/>
          <w:iCs/>
          <w:sz w:val="24"/>
        </w:rPr>
        <w:t>u,</w:t>
      </w:r>
      <w:r>
        <w:rPr>
          <w:rFonts w:ascii="Times New Roman" w:hAnsi="Times New Roman" w:cs="Times New Roman"/>
          <w:i/>
          <w:iCs/>
          <w:sz w:val="24"/>
        </w:rPr>
        <w:t xml:space="preserve"> </w:t>
      </w:r>
      <w:r>
        <w:rPr>
          <w:rFonts w:hint="eastAsia" w:ascii="Times New Roman" w:hAnsi="Times New Roman" w:cs="Times New Roman"/>
          <w:i/>
          <w:iCs/>
          <w:sz w:val="24"/>
        </w:rPr>
        <w:t>Yi-Ping</w:t>
      </w:r>
      <w:r>
        <w:rPr>
          <w:rFonts w:ascii="Times New Roman" w:hAnsi="Times New Roman" w:cs="Times New Roman"/>
          <w:i/>
          <w:iCs/>
          <w:sz w:val="24"/>
        </w:rPr>
        <w:t xml:space="preserve"> </w:t>
      </w:r>
      <w:r>
        <w:rPr>
          <w:rFonts w:hint="eastAsia" w:ascii="Times New Roman" w:hAnsi="Times New Roman" w:cs="Times New Roman"/>
          <w:i/>
          <w:iCs/>
          <w:sz w:val="24"/>
        </w:rPr>
        <w:t>Li</w:t>
      </w:r>
      <w:r>
        <w:rPr>
          <w:rFonts w:ascii="Times New Roman" w:hAnsi="Times New Roman" w:cs="Times New Roman"/>
          <w:i/>
          <w:iCs/>
          <w:sz w:val="24"/>
        </w:rPr>
        <w:t>u</w:t>
      </w:r>
      <w:r>
        <w:rPr>
          <w:rFonts w:hint="eastAsia" w:ascii="Times New Roman" w:hAnsi="Times New Roman" w:cs="Times New Roman"/>
          <w:i/>
          <w:iCs/>
          <w:sz w:val="24"/>
        </w:rPr>
        <w:t xml:space="preserve"> </w:t>
      </w:r>
      <w:r>
        <w:rPr>
          <w:rFonts w:ascii="Times New Roman" w:hAnsi="Times New Roman" w:cs="Times New Roman"/>
          <w:i/>
          <w:iCs/>
          <w:sz w:val="24"/>
        </w:rPr>
        <w:t>contributed equally to this paper</w:t>
      </w:r>
    </w:p>
    <w:p>
      <w:pPr>
        <w:spacing w:line="480" w:lineRule="auto"/>
        <w:ind w:left="2650" w:hanging="2650" w:hangingChars="1100"/>
        <w:jc w:val="left"/>
        <w:rPr>
          <w:rFonts w:ascii="Times New Roman" w:hAnsi="Times New Roman" w:cs="Times New Roman"/>
          <w:sz w:val="24"/>
        </w:rPr>
      </w:pPr>
      <w:r>
        <w:rPr>
          <w:rFonts w:hint="eastAsia" w:ascii="Times New Roman" w:hAnsi="Times New Roman" w:cs="Times New Roman"/>
          <w:b/>
          <w:bCs/>
          <w:sz w:val="24"/>
        </w:rPr>
        <w:t>*</w:t>
      </w:r>
      <w:r>
        <w:rPr>
          <w:rFonts w:ascii="Times New Roman" w:hAnsi="Times New Roman" w:cs="Times New Roman"/>
          <w:b/>
          <w:bCs/>
          <w:sz w:val="24"/>
        </w:rPr>
        <w:t>Corresponding author</w:t>
      </w:r>
      <w:r>
        <w:rPr>
          <w:rFonts w:hint="eastAsia" w:ascii="Times New Roman" w:hAnsi="Times New Roman" w:cs="Times New Roman"/>
          <w:sz w:val="24"/>
        </w:rPr>
        <w:t>:</w:t>
      </w:r>
      <w:r>
        <w:rPr>
          <w:rFonts w:ascii="Times New Roman" w:hAnsi="Times New Roman" w:cs="Times New Roman"/>
          <w:sz w:val="24"/>
        </w:rPr>
        <w:t xml:space="preserve"> </w:t>
      </w:r>
      <w:r>
        <w:rPr>
          <w:rFonts w:hint="eastAsia" w:ascii="Times New Roman" w:hAnsi="Times New Roman" w:cs="Times New Roman"/>
          <w:sz w:val="24"/>
          <w:lang w:val="en-US" w:eastAsia="zh-CN"/>
        </w:rPr>
        <w:t>1.</w:t>
      </w:r>
      <w:r>
        <w:rPr>
          <w:rFonts w:hint="eastAsia" w:ascii="Times New Roman" w:hAnsi="Times New Roman" w:cs="Times New Roman"/>
          <w:sz w:val="24"/>
        </w:rPr>
        <w:t>Ling</w:t>
      </w:r>
      <w:r>
        <w:rPr>
          <w:rFonts w:ascii="Times New Roman" w:hAnsi="Times New Roman" w:cs="Times New Roman"/>
          <w:sz w:val="24"/>
        </w:rPr>
        <w:t xml:space="preserve"> </w:t>
      </w:r>
      <w:r>
        <w:rPr>
          <w:rFonts w:hint="eastAsia" w:ascii="Times New Roman" w:hAnsi="Times New Roman" w:cs="Times New Roman"/>
          <w:sz w:val="24"/>
        </w:rPr>
        <w:t>Zh</w:t>
      </w:r>
      <w:r>
        <w:rPr>
          <w:rFonts w:ascii="Times New Roman" w:hAnsi="Times New Roman" w:cs="Times New Roman"/>
          <w:sz w:val="24"/>
        </w:rPr>
        <w:t xml:space="preserve">ang, </w:t>
      </w:r>
      <w:r>
        <w:rPr>
          <w:rFonts w:hint="eastAsia" w:ascii="Times New Roman" w:hAnsi="Times New Roman" w:cs="Times New Roman"/>
          <w:sz w:val="24"/>
        </w:rPr>
        <w:t xml:space="preserve">Email </w:t>
      </w:r>
      <w:r>
        <w:rPr>
          <w:rFonts w:ascii="Times New Roman" w:hAnsi="Times New Roman" w:cs="Times New Roman"/>
          <w:sz w:val="24"/>
        </w:rPr>
        <w:t>address</w:t>
      </w:r>
      <w:r>
        <w:rPr>
          <w:rFonts w:hint="eastAsia" w:ascii="Times New Roman" w:hAnsi="Times New Roman" w:cs="Times New Roman"/>
          <w:sz w:val="24"/>
        </w:rPr>
        <w:t>: 41733348@qq.com,</w:t>
      </w:r>
      <w:r>
        <w:rPr>
          <w:rFonts w:ascii="Times New Roman" w:hAnsi="Times New Roman" w:cs="Times New Roman"/>
          <w:sz w:val="24"/>
        </w:rPr>
        <w:t xml:space="preserve"> Tel: + 8620</w:t>
      </w:r>
      <w:r>
        <w:rPr>
          <w:rFonts w:hint="eastAsia" w:ascii="Times New Roman" w:hAnsi="Times New Roman" w:cs="Times New Roman"/>
          <w:sz w:val="24"/>
        </w:rPr>
        <w:t>62786561.</w:t>
      </w:r>
      <w:bookmarkStart w:id="4" w:name="_GoBack"/>
      <w:bookmarkEnd w:id="4"/>
    </w:p>
    <w:p>
      <w:pPr>
        <w:spacing w:line="360" w:lineRule="auto"/>
        <w:ind w:left="2640" w:hanging="2640" w:hangingChars="1100"/>
        <w:rPr>
          <w:rFonts w:ascii="Times New Roman" w:hAnsi="Times New Roman" w:cs="Times New Roman"/>
          <w:sz w:val="24"/>
        </w:rPr>
      </w:pPr>
      <w:r>
        <w:rPr>
          <w:rFonts w:hint="eastAsia" w:ascii="Times New Roman" w:hAnsi="Times New Roman" w:cs="Times New Roman"/>
          <w:sz w:val="24"/>
        </w:rPr>
        <w:t xml:space="preserve">                     </w:t>
      </w:r>
      <w:r>
        <w:rPr>
          <w:rFonts w:hint="eastAsia" w:ascii="Times New Roman" w:hAnsi="Times New Roman" w:cs="Times New Roman"/>
          <w:sz w:val="24"/>
          <w:lang w:val="en-US" w:eastAsia="zh-CN"/>
        </w:rPr>
        <w:t>2.</w:t>
      </w:r>
      <w:r>
        <w:rPr>
          <w:rFonts w:hint="eastAsia" w:ascii="Times New Roman" w:hAnsi="Times New Roman" w:cs="Times New Roman"/>
          <w:sz w:val="24"/>
        </w:rPr>
        <w:t xml:space="preserve"> Ning-yang Jia, Email adress:jianingyang6@163.com, Tel: 86-02181875211</w:t>
      </w:r>
    </w:p>
    <w:p>
      <w:pPr>
        <w:spacing w:line="480" w:lineRule="auto"/>
        <w:jc w:val="left"/>
        <w:rPr>
          <w:rFonts w:ascii="Times New Roman" w:hAnsi="Times New Roman" w:cs="Times New Roman"/>
          <w:sz w:val="24"/>
        </w:rPr>
      </w:pPr>
    </w:p>
    <w:p>
      <w:pPr>
        <w:spacing w:line="480" w:lineRule="auto"/>
        <w:jc w:val="left"/>
        <w:rPr>
          <w:rFonts w:ascii="Times New Roman" w:hAnsi="Times New Roman" w:cs="Times New Roman"/>
          <w:sz w:val="24"/>
        </w:rPr>
      </w:pPr>
      <w:r>
        <w:rPr>
          <w:rFonts w:hint="eastAsia" w:ascii="Times New Roman" w:hAnsi="Times New Roman" w:cs="Times New Roman"/>
          <w:sz w:val="24"/>
        </w:rPr>
        <w:t xml:space="preserve">     </w:t>
      </w:r>
    </w:p>
    <w:p>
      <w:pPr>
        <w:rPr>
          <w:rFonts w:ascii="Times New Roman" w:hAnsi="Times New Roman" w:cs="Times New Roman"/>
          <w:sz w:val="30"/>
          <w:szCs w:val="30"/>
        </w:rPr>
      </w:pPr>
    </w:p>
    <w:p>
      <w:pPr>
        <w:rPr>
          <w:rFonts w:ascii="Times New Roman" w:hAnsi="Times New Roman" w:cs="Times New Roman"/>
          <w:sz w:val="30"/>
          <w:szCs w:val="30"/>
        </w:rPr>
      </w:pPr>
    </w:p>
    <w:p>
      <w:pPr>
        <w:rPr>
          <w:rFonts w:ascii="Times New Roman" w:hAnsi="Times New Roman" w:cs="Times New Roman"/>
          <w:sz w:val="30"/>
          <w:szCs w:val="30"/>
        </w:rPr>
      </w:pPr>
    </w:p>
    <w:p>
      <w:pPr>
        <w:rPr>
          <w:rFonts w:ascii="Times New Roman" w:hAnsi="Times New Roman" w:cs="Times New Roman"/>
          <w:sz w:val="30"/>
          <w:szCs w:val="30"/>
        </w:rPr>
      </w:pPr>
    </w:p>
    <w:p>
      <w:pPr>
        <w:rPr>
          <w:rFonts w:ascii="Times New Roman" w:hAnsi="Times New Roman" w:cs="Times New Roman"/>
          <w:sz w:val="30"/>
          <w:szCs w:val="30"/>
        </w:rPr>
      </w:pPr>
    </w:p>
    <w:p>
      <w:pPr>
        <w:adjustRightInd w:val="0"/>
        <w:snapToGrid w:val="0"/>
        <w:spacing w:line="360" w:lineRule="auto"/>
        <w:rPr>
          <w:rFonts w:ascii="Times New Roman" w:hAnsi="Times New Roman" w:cs="Times New Roman"/>
          <w:b/>
          <w:sz w:val="28"/>
          <w:szCs w:val="28"/>
        </w:rPr>
      </w:pPr>
      <w:r>
        <w:rPr>
          <w:rFonts w:ascii="Times New Roman" w:hAnsi="Times New Roman" w:cs="Times New Roman"/>
          <w:b/>
          <w:sz w:val="28"/>
          <w:szCs w:val="28"/>
        </w:rPr>
        <w:t>Abstract</w:t>
      </w:r>
    </w:p>
    <w:p>
      <w:pPr>
        <w:spacing w:line="360" w:lineRule="auto"/>
        <w:rPr>
          <w:rFonts w:ascii="Times New Roman" w:hAnsi="Times New Roman" w:cs="Times New Roman"/>
          <w:sz w:val="28"/>
          <w:szCs w:val="28"/>
        </w:rPr>
      </w:pPr>
      <w:r>
        <w:rPr>
          <w:rFonts w:hint="eastAsia" w:ascii="Times New Roman" w:hAnsi="Times New Roman" w:cs="Times New Roman"/>
          <w:b/>
          <w:sz w:val="28"/>
          <w:szCs w:val="28"/>
        </w:rPr>
        <w:t>Background:</w:t>
      </w:r>
      <w:r>
        <w:rPr>
          <w:rFonts w:hint="eastAsia" w:ascii="Times New Roman" w:hAnsi="Times New Roman"/>
          <w:sz w:val="28"/>
          <w:szCs w:val="28"/>
        </w:rPr>
        <w:t xml:space="preserve"> </w:t>
      </w:r>
      <w:r>
        <w:rPr>
          <w:rFonts w:ascii="Times New Roman" w:hAnsi="Times New Roman" w:cs="Times New Roman"/>
          <w:sz w:val="28"/>
          <w:szCs w:val="28"/>
        </w:rPr>
        <w:t>To predict</w:t>
      </w:r>
      <w:r>
        <w:rPr>
          <w:rFonts w:hint="eastAsia" w:ascii="Times New Roman" w:hAnsi="Times New Roman" w:cs="Times New Roman"/>
          <w:sz w:val="28"/>
          <w:szCs w:val="28"/>
        </w:rPr>
        <w:t xml:space="preserve"> the</w:t>
      </w:r>
      <w:r>
        <w:rPr>
          <w:rFonts w:ascii="Times New Roman" w:hAnsi="Times New Roman"/>
          <w:sz w:val="28"/>
          <w:szCs w:val="28"/>
        </w:rPr>
        <w:t xml:space="preserve"> </w:t>
      </w:r>
      <w:r>
        <w:rPr>
          <w:rFonts w:ascii="Times New Roman" w:hAnsi="Times New Roman" w:cs="Times New Roman"/>
          <w:sz w:val="28"/>
          <w:szCs w:val="28"/>
        </w:rPr>
        <w:t xml:space="preserve">microvascular invasion (MVI) in patients with </w:t>
      </w:r>
      <w:r>
        <w:rPr>
          <w:rFonts w:hint="eastAsia" w:ascii="Times New Roman" w:hAnsi="Times New Roman" w:cs="Times New Roman"/>
          <w:sz w:val="28"/>
          <w:szCs w:val="28"/>
        </w:rPr>
        <w:t>cHCC-I</w:t>
      </w:r>
      <w:r>
        <w:rPr>
          <w:rFonts w:ascii="Times New Roman" w:hAnsi="Times New Roman" w:cs="Times New Roman"/>
          <w:sz w:val="28"/>
          <w:szCs w:val="28"/>
        </w:rPr>
        <w:t>CC</w:t>
      </w:r>
      <w:r>
        <w:rPr>
          <w:rFonts w:hint="eastAsia" w:ascii="Times New Roman" w:hAnsi="Times New Roman" w:cs="Times New Roman"/>
          <w:sz w:val="28"/>
          <w:szCs w:val="28"/>
        </w:rPr>
        <w:t>.</w:t>
      </w:r>
    </w:p>
    <w:p>
      <w:pPr>
        <w:spacing w:line="360" w:lineRule="auto"/>
        <w:rPr>
          <w:bCs/>
          <w:sz w:val="28"/>
          <w:szCs w:val="28"/>
        </w:rPr>
      </w:pPr>
      <w:r>
        <w:rPr>
          <w:rFonts w:hint="eastAsia" w:ascii="Times New Roman" w:hAnsi="Times New Roman" w:cs="Times New Roman"/>
          <w:b/>
          <w:sz w:val="28"/>
          <w:szCs w:val="28"/>
        </w:rPr>
        <w:t xml:space="preserve">Methods: </w:t>
      </w:r>
      <w:r>
        <w:rPr>
          <w:rFonts w:ascii="Times New Roman" w:hAnsi="Times New Roman" w:cs="Times New Roman"/>
          <w:sz w:val="28"/>
          <w:szCs w:val="28"/>
        </w:rPr>
        <w:t>A retrospective analysis was conducted on 1</w:t>
      </w:r>
      <w:r>
        <w:rPr>
          <w:rFonts w:hint="eastAsia" w:ascii="Times New Roman" w:hAnsi="Times New Roman" w:cs="Times New Roman"/>
          <w:sz w:val="28"/>
          <w:szCs w:val="28"/>
        </w:rPr>
        <w:t>19</w:t>
      </w:r>
      <w:r>
        <w:rPr>
          <w:rFonts w:ascii="Times New Roman" w:hAnsi="Times New Roman" w:cs="Times New Roman"/>
          <w:sz w:val="28"/>
          <w:szCs w:val="28"/>
        </w:rPr>
        <w:t xml:space="preserve"> patients who underwent </w:t>
      </w:r>
      <w:r>
        <w:rPr>
          <w:rFonts w:hint="eastAsia" w:ascii="Times New Roman" w:hAnsi="Times New Roman" w:cs="Times New Roman"/>
          <w:sz w:val="28"/>
          <w:szCs w:val="28"/>
        </w:rPr>
        <w:t>CT</w:t>
      </w:r>
      <w:r>
        <w:rPr>
          <w:rFonts w:ascii="Times New Roman" w:hAnsi="Times New Roman" w:cs="Times New Roman"/>
          <w:sz w:val="28"/>
          <w:szCs w:val="28"/>
        </w:rPr>
        <w:t xml:space="preserve"> enhancement scanning </w:t>
      </w:r>
      <w:r>
        <w:rPr>
          <w:rFonts w:hint="eastAsia" w:ascii="Times New Roman" w:hAnsi="Times New Roman" w:cs="Times New Roman"/>
          <w:sz w:val="28"/>
          <w:szCs w:val="28"/>
        </w:rPr>
        <w:t>(</w:t>
      </w:r>
      <w:r>
        <w:rPr>
          <w:rFonts w:ascii="Times New Roman" w:hAnsi="Times New Roman" w:cs="Times New Roman"/>
          <w:sz w:val="28"/>
          <w:szCs w:val="28"/>
        </w:rPr>
        <w:t xml:space="preserve">from September </w:t>
      </w:r>
      <w:r>
        <w:rPr>
          <w:rFonts w:hint="eastAsia" w:ascii="Times New Roman" w:hAnsi="Times New Roman" w:cs="Times New Roman"/>
          <w:sz w:val="28"/>
          <w:szCs w:val="28"/>
        </w:rPr>
        <w:t>2006</w:t>
      </w:r>
      <w:r>
        <w:rPr>
          <w:rFonts w:ascii="Times New Roman" w:hAnsi="Times New Roman" w:cs="Times New Roman"/>
          <w:sz w:val="28"/>
          <w:szCs w:val="28"/>
        </w:rPr>
        <w:t xml:space="preserve"> to August </w:t>
      </w:r>
      <w:r>
        <w:rPr>
          <w:rFonts w:hint="eastAsia" w:ascii="Times New Roman" w:hAnsi="Times New Roman" w:cs="Times New Roman"/>
          <w:sz w:val="28"/>
          <w:szCs w:val="28"/>
        </w:rPr>
        <w:t>2022)</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They were divided into MVI-positive and MVI-negative groups. </w:t>
      </w:r>
    </w:p>
    <w:p>
      <w:pPr>
        <w:jc w:val="left"/>
        <w:rPr>
          <w:rFonts w:ascii="Times New Roman" w:hAnsi="Times New Roman" w:cs="Times New Roman"/>
          <w:sz w:val="28"/>
          <w:szCs w:val="28"/>
        </w:rPr>
      </w:pPr>
      <w:r>
        <w:rPr>
          <w:rFonts w:ascii="Times New Roman" w:hAnsi="Times New Roman"/>
          <w:b/>
          <w:sz w:val="28"/>
          <w:szCs w:val="28"/>
        </w:rPr>
        <w:t>Results</w:t>
      </w: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cs="Times New Roman"/>
          <w:sz w:val="28"/>
          <w:szCs w:val="28"/>
        </w:rPr>
        <w:t>The proportion of patients with CEA elevation was higher in the MVI-positive group than in the MVI-negative group, with a statistically significant difference (P</w:t>
      </w:r>
      <w:r>
        <w:rPr>
          <w:rFonts w:hint="eastAsia" w:ascii="Times New Roman" w:hAnsi="Times New Roman" w:cs="Times New Roman"/>
          <w:sz w:val="28"/>
          <w:szCs w:val="28"/>
        </w:rPr>
        <w:t>=</w:t>
      </w:r>
      <w:r>
        <w:rPr>
          <w:rFonts w:ascii="Times New Roman" w:hAnsi="Times New Roman" w:cs="Times New Roman"/>
          <w:sz w:val="28"/>
          <w:szCs w:val="28"/>
        </w:rPr>
        <w:t>0.0</w:t>
      </w:r>
      <w:r>
        <w:rPr>
          <w:rFonts w:hint="eastAsia" w:ascii="Times New Roman" w:hAnsi="Times New Roman" w:cs="Times New Roman"/>
          <w:sz w:val="28"/>
          <w:szCs w:val="28"/>
        </w:rPr>
        <w:t>2</w:t>
      </w:r>
      <w:r>
        <w:rPr>
          <w:rFonts w:ascii="Times New Roman" w:hAnsi="Times New Roman" w:cs="Times New Roman"/>
          <w:sz w:val="28"/>
          <w:szCs w:val="28"/>
        </w:rPr>
        <w:t>). The MVI-positive group had a higher rate of peritumoral enhancement in the arterial phase (P=0.0</w:t>
      </w:r>
      <w:r>
        <w:rPr>
          <w:rFonts w:hint="eastAsia" w:ascii="Times New Roman" w:hAnsi="Times New Roman" w:cs="Times New Roman"/>
          <w:sz w:val="28"/>
          <w:szCs w:val="28"/>
        </w:rPr>
        <w:t>1</w:t>
      </w:r>
      <w:r>
        <w:rPr>
          <w:rFonts w:ascii="Times New Roman" w:hAnsi="Times New Roman" w:cs="Times New Roman"/>
          <w:sz w:val="28"/>
          <w:szCs w:val="28"/>
        </w:rPr>
        <w:t>) whereas the MVI-negative group had more oval and lobulated masses (P=0.04).</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According to the multivariate analysis, the increase in CEA (OR=10.15, 95% CI: 1.11, 92.48, p=0.04), </w:t>
      </w:r>
      <w:r>
        <w:rPr>
          <w:rFonts w:hint="eastAsia" w:ascii="Times New Roman" w:hAnsi="Times New Roman" w:cs="Times New Roman"/>
          <w:sz w:val="28"/>
          <w:szCs w:val="28"/>
        </w:rPr>
        <w:t>hepatic capsular</w:t>
      </w:r>
      <w:r>
        <w:rPr>
          <w:rFonts w:ascii="Times New Roman" w:hAnsi="Times New Roman" w:cs="Times New Roman"/>
          <w:sz w:val="28"/>
          <w:szCs w:val="28"/>
        </w:rPr>
        <w:t xml:space="preserve"> withdrawal (OR=4.55, 95% CI: 1.44, 14.34, p=0.01) and </w:t>
      </w:r>
      <w:r>
        <w:rPr>
          <w:rFonts w:ascii="Times New Roman" w:hAnsi="Times New Roman" w:eastAsia="宋体" w:cs="Times New Roman"/>
          <w:kern w:val="0"/>
          <w:sz w:val="28"/>
          <w:szCs w:val="28"/>
          <w:lang w:bidi="ar"/>
        </w:rPr>
        <w:t>peritumoral</w:t>
      </w:r>
      <w:r>
        <w:rPr>
          <w:rFonts w:ascii="Times New Roman" w:hAnsi="Times New Roman" w:cs="Times New Roman"/>
          <w:sz w:val="28"/>
          <w:szCs w:val="28"/>
        </w:rPr>
        <w:t xml:space="preserve"> enhancement (OR=6.34, 95% CI: 2.18, 18.40, p&lt;0.01) are independent risk factors for predicting MVI. When these three imaging signs are combined, the specificity of MVI prediction was 70.59% (series connection), and the sensitivity was 100% (parallel connection).</w:t>
      </w:r>
    </w:p>
    <w:p>
      <w:pPr>
        <w:jc w:val="left"/>
        <w:rPr>
          <w:rFonts w:ascii="Times New Roman" w:hAnsi="Times New Roman" w:cs="Times New Roman"/>
          <w:sz w:val="28"/>
          <w:szCs w:val="28"/>
        </w:rPr>
      </w:pPr>
      <w:r>
        <w:rPr>
          <w:rFonts w:ascii="Times New Roman" w:hAnsi="Times New Roman"/>
          <w:b/>
          <w:sz w:val="28"/>
          <w:szCs w:val="28"/>
        </w:rPr>
        <w:t>Conclusions</w:t>
      </w: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cs="Times New Roman"/>
          <w:sz w:val="28"/>
          <w:szCs w:val="28"/>
        </w:rPr>
        <w:t>Our multivariate analysis found that CEA elevation, liver capsule depression, and arterial phase peritumoral enhancement were independent risk factors for predicting MVI in cHCC-ICC.</w:t>
      </w:r>
    </w:p>
    <w:p>
      <w:pPr>
        <w:adjustRightInd w:val="0"/>
        <w:snapToGrid w:val="0"/>
        <w:spacing w:line="360" w:lineRule="auto"/>
        <w:rPr>
          <w:rFonts w:ascii="Times New Roman" w:hAnsi="Times New Roman"/>
          <w:sz w:val="28"/>
          <w:szCs w:val="28"/>
        </w:rPr>
      </w:pPr>
      <w:r>
        <w:rPr>
          <w:rFonts w:ascii="Times New Roman" w:hAnsi="Times New Roman"/>
          <w:b/>
          <w:sz w:val="28"/>
          <w:szCs w:val="28"/>
        </w:rPr>
        <w:t>Keywords</w:t>
      </w:r>
      <w:r>
        <w:rPr>
          <w:rFonts w:ascii="Times New Roman" w:hAnsi="Times New Roman"/>
          <w:sz w:val="28"/>
          <w:szCs w:val="28"/>
        </w:rPr>
        <w:t xml:space="preserve">: </w:t>
      </w:r>
      <w:r>
        <w:rPr>
          <w:rFonts w:ascii="Times New Roman" w:hAnsi="Times New Roman" w:cs="Times New Roman"/>
          <w:sz w:val="30"/>
          <w:szCs w:val="30"/>
        </w:rPr>
        <w:t>Combined hepatocellular intrahepatic cholangiocarcinoma</w:t>
      </w:r>
      <w:r>
        <w:rPr>
          <w:rFonts w:ascii="Times New Roman" w:hAnsi="Times New Roman"/>
          <w:sz w:val="28"/>
          <w:szCs w:val="28"/>
        </w:rPr>
        <w:t xml:space="preserve">; </w:t>
      </w:r>
      <w:r>
        <w:rPr>
          <w:rFonts w:ascii="Times New Roman" w:hAnsi="Times New Roman" w:cs="Times New Roman"/>
          <w:sz w:val="28"/>
          <w:szCs w:val="28"/>
        </w:rPr>
        <w:t>microvascular invasion; computerized tomography</w:t>
      </w:r>
    </w:p>
    <w:p>
      <w:pPr>
        <w:jc w:val="left"/>
        <w:rPr>
          <w:rFonts w:ascii="Times New Roman" w:hAnsi="Times New Roman" w:cs="Times New Roman"/>
          <w:sz w:val="30"/>
          <w:szCs w:val="30"/>
        </w:rPr>
      </w:pPr>
    </w:p>
    <w:p>
      <w:pPr>
        <w:adjustRightInd w:val="0"/>
        <w:snapToGrid w:val="0"/>
        <w:spacing w:line="360" w:lineRule="auto"/>
        <w:rPr>
          <w:rFonts w:ascii="Times New Roman" w:hAnsi="Times New Roman"/>
          <w:b/>
          <w:sz w:val="24"/>
        </w:rPr>
      </w:pPr>
      <w:r>
        <w:rPr>
          <w:rFonts w:ascii="Times New Roman" w:hAnsi="Times New Roman"/>
          <w:b/>
          <w:sz w:val="24"/>
        </w:rPr>
        <w:t>Key points</w:t>
      </w:r>
    </w:p>
    <w:p>
      <w:pPr>
        <w:numPr>
          <w:ilvl w:val="0"/>
          <w:numId w:val="1"/>
        </w:numPr>
        <w:jc w:val="left"/>
        <w:rPr>
          <w:rFonts w:ascii="Times New Roman" w:hAnsi="Times New Roman" w:cs="Times New Roman"/>
          <w:sz w:val="24"/>
        </w:rPr>
      </w:pPr>
      <w:r>
        <w:rPr>
          <w:rFonts w:ascii="Times New Roman" w:hAnsi="Times New Roman" w:cs="Times New Roman"/>
          <w:sz w:val="28"/>
          <w:szCs w:val="28"/>
        </w:rPr>
        <w:t>CEA elevation, liver capsule depression, and arterial phase peritumoral enhancement were independent risk factors for predicting MVI in cHCC-ICC.</w:t>
      </w:r>
    </w:p>
    <w:p>
      <w:pPr>
        <w:numPr>
          <w:ilvl w:val="0"/>
          <w:numId w:val="1"/>
        </w:numPr>
        <w:jc w:val="left"/>
        <w:rPr>
          <w:rFonts w:ascii="Times New Roman" w:hAnsi="Times New Roman" w:cs="Times New Roman"/>
          <w:sz w:val="28"/>
          <w:szCs w:val="28"/>
        </w:rPr>
      </w:pPr>
      <w:r>
        <w:rPr>
          <w:rFonts w:ascii="Times New Roman" w:hAnsi="Times New Roman" w:cs="Times New Roman"/>
          <w:sz w:val="28"/>
          <w:szCs w:val="28"/>
        </w:rPr>
        <w:t>When these three imaging signs are combined, the specificity of MVI prediction was 70.59% (series connection), and the sensitivity was 100% (parallel connection).</w:t>
      </w:r>
    </w:p>
    <w:p>
      <w:pPr>
        <w:spacing w:line="360" w:lineRule="auto"/>
        <w:rPr>
          <w:rFonts w:ascii="Times New Roman" w:hAnsi="Times New Roman" w:cs="Times New Roman"/>
          <w:sz w:val="24"/>
        </w:rPr>
      </w:pPr>
    </w:p>
    <w:p>
      <w:pPr>
        <w:jc w:val="left"/>
        <w:rPr>
          <w:rFonts w:ascii="Times New Roman" w:hAnsi="Times New Roman" w:cs="Times New Roman"/>
          <w:sz w:val="30"/>
          <w:szCs w:val="30"/>
        </w:rPr>
      </w:pPr>
    </w:p>
    <w:p>
      <w:pPr>
        <w:numPr>
          <w:ilvl w:val="0"/>
          <w:numId w:val="2"/>
        </w:numPr>
        <w:jc w:val="left"/>
        <w:rPr>
          <w:rFonts w:ascii="Times New Roman" w:hAnsi="Times New Roman" w:cs="Times New Roman"/>
          <w:b/>
          <w:bCs/>
          <w:sz w:val="28"/>
          <w:szCs w:val="28"/>
        </w:rPr>
      </w:pPr>
      <w:r>
        <w:rPr>
          <w:rFonts w:hint="eastAsia" w:ascii="Times New Roman" w:hAnsi="Times New Roman" w:cs="Times New Roman"/>
          <w:b/>
          <w:sz w:val="28"/>
          <w:szCs w:val="28"/>
        </w:rPr>
        <w:t>Background</w:t>
      </w:r>
    </w:p>
    <w:p>
      <w:pPr>
        <w:ind w:firstLine="600" w:firstLineChars="200"/>
        <w:jc w:val="left"/>
        <w:rPr>
          <w:rFonts w:ascii="Times New Roman" w:hAnsi="Times New Roman" w:cs="Times New Roman"/>
          <w:sz w:val="24"/>
        </w:rPr>
      </w:pPr>
      <w:r>
        <w:rPr>
          <w:rFonts w:ascii="Times New Roman" w:hAnsi="Times New Roman" w:cs="Times New Roman"/>
          <w:sz w:val="30"/>
          <w:szCs w:val="30"/>
        </w:rPr>
        <w:t>Combined hepatocellular intrahepatic cholangiocarcinoma (cHCC-ICC) is a rare subtype of primary liver cancer with an incidence of 0.4% - 14.2%</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NE.Ref.{9DB1CAC3-1CD5-40B2-840A-7D4C3FE09937}</w:instrText>
      </w:r>
      <w:r>
        <w:rPr>
          <w:rFonts w:ascii="Times New Roman" w:hAnsi="Times New Roman" w:cs="Times New Roman"/>
          <w:sz w:val="28"/>
          <w:szCs w:val="28"/>
        </w:rPr>
        <w:fldChar w:fldCharType="separate"/>
      </w:r>
      <w:r>
        <w:rPr>
          <w:color w:val="080000"/>
          <w:vertAlign w:val="superscript"/>
        </w:rPr>
        <w:t>[1]</w:t>
      </w:r>
      <w:r>
        <w:rPr>
          <w:rFonts w:ascii="Times New Roman" w:hAnsi="Times New Roman" w:cs="Times New Roman"/>
          <w:sz w:val="28"/>
          <w:szCs w:val="28"/>
        </w:rPr>
        <w:fldChar w:fldCharType="end"/>
      </w:r>
      <w:r>
        <w:rPr>
          <w:rFonts w:ascii="Times New Roman" w:hAnsi="Times New Roman" w:cs="Times New Roman"/>
          <w:sz w:val="28"/>
          <w:szCs w:val="28"/>
        </w:rPr>
        <w:t>. The tumor contains components of hepatocellular carcinoma and cholangiocarcinoma, which may originate from the same kind of liver progenitor cells and differentiate in different directions</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NE.Ref.{CCA94911-6467-4150-922B-35422F9554BD}</w:instrText>
      </w:r>
      <w:r>
        <w:rPr>
          <w:rFonts w:ascii="Times New Roman" w:hAnsi="Times New Roman" w:cs="Times New Roman"/>
          <w:sz w:val="28"/>
          <w:szCs w:val="28"/>
        </w:rPr>
        <w:fldChar w:fldCharType="separate"/>
      </w:r>
      <w:r>
        <w:rPr>
          <w:color w:val="080000"/>
          <w:vertAlign w:val="superscript"/>
        </w:rPr>
        <w:t>[2]</w:t>
      </w:r>
      <w:r>
        <w:rPr>
          <w:rFonts w:ascii="Times New Roman" w:hAnsi="Times New Roman" w:cs="Times New Roman"/>
          <w:sz w:val="28"/>
          <w:szCs w:val="28"/>
        </w:rPr>
        <w:fldChar w:fldCharType="end"/>
      </w:r>
      <w:r>
        <w:rPr>
          <w:rFonts w:ascii="Times New Roman" w:hAnsi="Times New Roman" w:cs="Times New Roman"/>
          <w:sz w:val="28"/>
          <w:szCs w:val="28"/>
        </w:rPr>
        <w:t>. However, some studies have shown that mature hepatocytes can dedifferentiate into progenitor cells under certain inducements, thus transforming into cHCC-ICC</w:t>
      </w:r>
      <w:r>
        <w:rPr>
          <w:rFonts w:ascii="Times New Roman" w:hAnsi="Times New Roman" w:cs="Times New Roman"/>
          <w:sz w:val="30"/>
          <w:szCs w:val="30"/>
        </w:rPr>
        <w:fldChar w:fldCharType="begin"/>
      </w:r>
      <w:r>
        <w:rPr>
          <w:rFonts w:hint="eastAsia" w:ascii="Times New Roman" w:hAnsi="Times New Roman" w:cs="Times New Roman"/>
          <w:sz w:val="30"/>
          <w:szCs w:val="30"/>
        </w:rPr>
        <w:instrText xml:space="preserve"> ADDIN NE.Ref.{BB7CD5A3-3442-4F88-AAC1-4996FDC87A87}</w:instrText>
      </w:r>
      <w:r>
        <w:rPr>
          <w:rFonts w:ascii="Times New Roman" w:hAnsi="Times New Roman" w:cs="Times New Roman"/>
          <w:sz w:val="30"/>
          <w:szCs w:val="30"/>
        </w:rPr>
        <w:fldChar w:fldCharType="separate"/>
      </w:r>
      <w:r>
        <w:rPr>
          <w:color w:val="080000"/>
          <w:vertAlign w:val="superscript"/>
        </w:rPr>
        <w:t>[3]</w:t>
      </w:r>
      <w:r>
        <w:rPr>
          <w:rFonts w:ascii="Times New Roman" w:hAnsi="Times New Roman" w:cs="Times New Roman"/>
          <w:sz w:val="30"/>
          <w:szCs w:val="30"/>
        </w:rPr>
        <w:fldChar w:fldCharType="end"/>
      </w:r>
      <w:r>
        <w:rPr>
          <w:rFonts w:ascii="Times New Roman" w:hAnsi="Times New Roman" w:cs="Times New Roman"/>
          <w:sz w:val="30"/>
          <w:szCs w:val="30"/>
        </w:rPr>
        <w:t xml:space="preserve">. </w:t>
      </w:r>
      <w:r>
        <w:rPr>
          <w:rFonts w:hint="eastAsia" w:ascii="Times New Roman" w:hAnsi="Times New Roman" w:cs="Times New Roman"/>
          <w:sz w:val="30"/>
          <w:szCs w:val="30"/>
        </w:rPr>
        <w:t>Prognostic factors affecting cHCC-ICC are similar to those affecting HCC, including tumor size, multiple lesions, portal vein invasion, microvascular invasion</w:t>
      </w:r>
      <w:r>
        <w:rPr>
          <w:rFonts w:hint="eastAsia" w:ascii="Times New Roman" w:hAnsi="Times New Roman" w:cstheme="minorBidi"/>
          <w:sz w:val="30"/>
          <w:szCs w:val="24"/>
          <w:vertAlign w:val="superscript"/>
        </w:rPr>
        <w:t>[4]</w:t>
      </w:r>
      <w:r>
        <w:rPr>
          <w:rFonts w:hint="eastAsia" w:ascii="Times New Roman" w:hAnsi="Times New Roman" w:cs="Times New Roman"/>
          <w:sz w:val="30"/>
          <w:szCs w:val="30"/>
        </w:rPr>
        <w:t>, stage of BCLC, and treatment options such as operation type, TARE, and efficacy of systemic immunotherapy</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NE.Ref.{E463FA77-3814-4D98-981C-E20273C5E71A}</w:instrText>
      </w:r>
      <w:r>
        <w:rPr>
          <w:rFonts w:ascii="Times New Roman" w:hAnsi="Times New Roman" w:cs="Times New Roman"/>
          <w:sz w:val="28"/>
          <w:szCs w:val="28"/>
        </w:rPr>
        <w:fldChar w:fldCharType="separate"/>
      </w:r>
      <w:r>
        <w:rPr>
          <w:color w:val="080000"/>
          <w:vertAlign w:val="superscript"/>
        </w:rPr>
        <w:t>[4-8]</w:t>
      </w:r>
      <w:r>
        <w:rPr>
          <w:rFonts w:ascii="Times New Roman" w:hAnsi="Times New Roman" w:cs="Times New Roman"/>
          <w:sz w:val="28"/>
          <w:szCs w:val="28"/>
        </w:rPr>
        <w:fldChar w:fldCharType="end"/>
      </w:r>
      <w:r>
        <w:rPr>
          <w:rFonts w:ascii="Times New Roman" w:hAnsi="Times New Roman" w:cs="Times New Roman"/>
          <w:sz w:val="28"/>
          <w:szCs w:val="28"/>
        </w:rPr>
        <w:t>. MVI is a part of the pathological results and is difficult to be identified by imaging inspection. The imaging signs that can prompt MVI have been analyzed and reported in numerous studies. It is hoped that MVI can be predicted before surgery to help clinicians develop reasonable and informative surgical plans. However, MVI studies mainly are focused on hepatocellular carcinoma (HCC), a more common subtype of liver cancer</w:t>
      </w:r>
      <w:r>
        <w:rPr>
          <w:rFonts w:ascii="Times New Roman" w:hAnsi="Times New Roman" w:cs="Times New Roman"/>
          <w:sz w:val="30"/>
          <w:szCs w:val="30"/>
        </w:rPr>
        <w:fldChar w:fldCharType="begin"/>
      </w:r>
      <w:r>
        <w:rPr>
          <w:rFonts w:hint="eastAsia" w:ascii="Times New Roman" w:hAnsi="Times New Roman" w:cs="Times New Roman"/>
          <w:sz w:val="30"/>
          <w:szCs w:val="30"/>
        </w:rPr>
        <w:instrText xml:space="preserve"> ADDIN NE.Ref.{94AF9D25-E34A-4371-99A4-12EB79012C0D}</w:instrText>
      </w:r>
      <w:r>
        <w:rPr>
          <w:rFonts w:ascii="Times New Roman" w:hAnsi="Times New Roman" w:cs="Times New Roman"/>
          <w:sz w:val="30"/>
          <w:szCs w:val="30"/>
        </w:rPr>
        <w:fldChar w:fldCharType="separate"/>
      </w:r>
      <w:r>
        <w:rPr>
          <w:color w:val="080000"/>
          <w:vertAlign w:val="superscript"/>
        </w:rPr>
        <w:t>[9-12]</w:t>
      </w:r>
      <w:r>
        <w:rPr>
          <w:rFonts w:ascii="Times New Roman" w:hAnsi="Times New Roman" w:cs="Times New Roman"/>
          <w:sz w:val="30"/>
          <w:szCs w:val="30"/>
        </w:rPr>
        <w:fldChar w:fldCharType="end"/>
      </w:r>
      <w:r>
        <w:rPr>
          <w:rFonts w:ascii="Times New Roman" w:hAnsi="Times New Roman" w:cs="Times New Roman"/>
          <w:sz w:val="30"/>
          <w:szCs w:val="30"/>
        </w:rPr>
        <w:t xml:space="preserve">. </w:t>
      </w:r>
      <w:r>
        <w:rPr>
          <w:rFonts w:ascii="Times New Roman" w:hAnsi="Times New Roman" w:cs="Times New Roman"/>
          <w:sz w:val="28"/>
          <w:szCs w:val="28"/>
        </w:rPr>
        <w:t xml:space="preserve">Only Wang et al. have reported MRI signs </w:t>
      </w:r>
      <w:r>
        <w:rPr>
          <w:rFonts w:hint="eastAsia" w:ascii="Times New Roman" w:hAnsi="Times New Roman" w:cs="Times New Roman"/>
          <w:sz w:val="28"/>
          <w:szCs w:val="28"/>
        </w:rPr>
        <w:t>for</w:t>
      </w:r>
      <w:r>
        <w:rPr>
          <w:rFonts w:ascii="Times New Roman" w:hAnsi="Times New Roman" w:cs="Times New Roman"/>
          <w:sz w:val="28"/>
          <w:szCs w:val="28"/>
        </w:rPr>
        <w:t xml:space="preserve"> predicting MVI in cHCC-ICC</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NE.Ref.{6F1C31FE-E333-46CA-9854-90FFA1E8130B}</w:instrText>
      </w:r>
      <w:r>
        <w:rPr>
          <w:rFonts w:ascii="Times New Roman" w:hAnsi="Times New Roman" w:cs="Times New Roman"/>
          <w:sz w:val="28"/>
          <w:szCs w:val="28"/>
        </w:rPr>
        <w:fldChar w:fldCharType="separate"/>
      </w:r>
      <w:r>
        <w:rPr>
          <w:color w:val="080000"/>
          <w:vertAlign w:val="superscript"/>
        </w:rPr>
        <w:t>[13, 14]</w:t>
      </w:r>
      <w:r>
        <w:rPr>
          <w:rFonts w:ascii="Times New Roman" w:hAnsi="Times New Roman" w:cs="Times New Roman"/>
          <w:sz w:val="28"/>
          <w:szCs w:val="28"/>
        </w:rPr>
        <w:fldChar w:fldCharType="end"/>
      </w:r>
      <w:r>
        <w:rPr>
          <w:rFonts w:ascii="Times New Roman" w:hAnsi="Times New Roman" w:cs="Times New Roman"/>
          <w:sz w:val="28"/>
          <w:szCs w:val="28"/>
        </w:rPr>
        <w:t>. No study has been found to predict MVI in cHCC-ICC with CT signs. Due to the complexity of the imaging signs of cHCC-ICC, we intended to make a preliminary exploration in this regard.</w:t>
      </w:r>
    </w:p>
    <w:p>
      <w:pPr>
        <w:jc w:val="left"/>
        <w:rPr>
          <w:rFonts w:ascii="Times New Roman" w:hAnsi="Times New Roman" w:cs="Times New Roman"/>
          <w:sz w:val="24"/>
        </w:rPr>
      </w:pPr>
    </w:p>
    <w:p>
      <w:pPr>
        <w:numPr>
          <w:ilvl w:val="0"/>
          <w:numId w:val="2"/>
        </w:numPr>
        <w:jc w:val="left"/>
        <w:rPr>
          <w:rFonts w:ascii="Times New Roman" w:hAnsi="Times New Roman" w:cs="Times New Roman"/>
          <w:b/>
          <w:bCs/>
          <w:sz w:val="28"/>
          <w:szCs w:val="28"/>
        </w:rPr>
      </w:pPr>
      <w:r>
        <w:rPr>
          <w:rFonts w:ascii="Times New Roman" w:hAnsi="Times New Roman" w:cs="Times New Roman"/>
          <w:b/>
          <w:bCs/>
          <w:sz w:val="28"/>
          <w:szCs w:val="28"/>
        </w:rPr>
        <w:t>Data and methods</w:t>
      </w:r>
    </w:p>
    <w:p>
      <w:pPr>
        <w:pStyle w:val="16"/>
        <w:numPr>
          <w:ilvl w:val="1"/>
          <w:numId w:val="2"/>
        </w:numPr>
        <w:ind w:firstLineChars="0"/>
        <w:jc w:val="left"/>
        <w:rPr>
          <w:rFonts w:ascii="Times New Roman" w:hAnsi="Times New Roman" w:cs="Times New Roman"/>
          <w:sz w:val="28"/>
          <w:szCs w:val="28"/>
        </w:rPr>
      </w:pPr>
      <w:r>
        <w:rPr>
          <w:rFonts w:ascii="Times New Roman" w:hAnsi="Times New Roman" w:cs="Times New Roman"/>
          <w:sz w:val="28"/>
          <w:szCs w:val="28"/>
        </w:rPr>
        <w:t xml:space="preserve">Clinical data </w:t>
      </w:r>
    </w:p>
    <w:p>
      <w:pPr>
        <w:jc w:val="left"/>
        <w:rPr>
          <w:rFonts w:ascii="Times New Roman" w:hAnsi="Times New Roman" w:cs="Times New Roman"/>
          <w:sz w:val="28"/>
          <w:szCs w:val="28"/>
        </w:rPr>
      </w:pPr>
      <w:r>
        <w:rPr>
          <w:rFonts w:ascii="Times New Roman" w:hAnsi="Times New Roman" w:cs="Times New Roman"/>
          <w:sz w:val="28"/>
          <w:szCs w:val="28"/>
        </w:rPr>
        <w:t>Data of 151 cases of cHCC-ICC from patients who had received dynamic enhanced CT scanning in three hospitals from September 2006 to August 2022 were retrospectively collected.</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Inclusion criteria: 1. Age 18</w:t>
      </w:r>
      <m:oMath>
        <m:r>
          <m:rPr>
            <m:sty m:val="p"/>
          </m:rPr>
          <w:rPr>
            <w:rFonts w:ascii="Cambria Math" w:hAnsi="Cambria Math" w:cs="Times New Roman"/>
            <w:sz w:val="28"/>
            <w:szCs w:val="28"/>
          </w:rPr>
          <m:t>−</m:t>
        </m:r>
      </m:oMath>
      <w:r>
        <w:rPr>
          <w:rFonts w:ascii="Times New Roman" w:hAnsi="Times New Roman" w:cs="Times New Roman"/>
          <w:sz w:val="28"/>
          <w:szCs w:val="28"/>
        </w:rPr>
        <w:t xml:space="preserve">80 years old; 2. CT indicates liver tumor </w:t>
      </w:r>
      <m:oMath>
        <m:r>
          <m:rPr>
            <m:sty m:val="p"/>
          </m:rPr>
          <w:rPr>
            <w:rFonts w:ascii="Cambria Math" w:hAnsi="Cambria Math" w:cs="Times New Roman"/>
            <w:sz w:val="28"/>
            <w:szCs w:val="28"/>
          </w:rPr>
          <m:t>≥</m:t>
        </m:r>
      </m:oMath>
      <w:r>
        <w:rPr>
          <w:rFonts w:hint="eastAsia" w:ascii="Times New Roman" w:hAnsi="Times New Roman" w:cs="Times New Roman"/>
          <w:sz w:val="28"/>
          <w:szCs w:val="28"/>
        </w:rPr>
        <w:t xml:space="preserve"> </w:t>
      </w:r>
      <w:r>
        <w:rPr>
          <w:rFonts w:ascii="Times New Roman" w:hAnsi="Times New Roman" w:cs="Times New Roman"/>
          <w:sz w:val="28"/>
          <w:szCs w:val="28"/>
        </w:rPr>
        <w:t>1 cm; 3. Completed the surgical resection of liver tumor, which had been confirmed as cHCC-ICC by postoperative pathology.</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 xml:space="preserve">Exclusion criteria: 1. Age </w:t>
      </w:r>
      <m:oMath>
        <m:r>
          <m:rPr>
            <m:sty m:val="p"/>
          </m:rPr>
          <w:rPr>
            <w:rFonts w:ascii="Cambria Math" w:hAnsi="Cambria Math" w:cs="Times New Roman"/>
            <w:sz w:val="28"/>
            <w:szCs w:val="28"/>
          </w:rPr>
          <m:t>＜</m:t>
        </m:r>
      </m:oMath>
      <w:r>
        <w:rPr>
          <w:rFonts w:ascii="Times New Roman" w:hAnsi="Times New Roman" w:cs="Times New Roman"/>
          <w:sz w:val="28"/>
          <w:szCs w:val="28"/>
        </w:rPr>
        <w:t>18 years old or over 80 years old; 2. Poor quality of CT scan image or the phase was incomplete; 3. Those who did not receive resection of the liver tumor but only underwent puncture; 4. Incomplete laboratory test data; 5. Those who had received other treatments before the operation.</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Data of levels of alpha-fetoprotein (AFP), carcinoembryonic antigen (CEA), carbohydrate antigen 199 (CA-199), alanine aminotransferase (ALT), aspartate aminotransferase (AST), PLT, total bilirubin (TBIL), and γ-glutamyl transpeptidase (GGT), as well as quantitative analysis results of hepatitis B virus were acquired.</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This was a retrospective study approved by the hospital ethics committee. All images and clinical data were acquired from the PACS system; thus, informed consent was exempted.</w:t>
      </w:r>
    </w:p>
    <w:p>
      <w:pPr>
        <w:jc w:val="left"/>
        <w:rPr>
          <w:rFonts w:ascii="Times New Roman" w:hAnsi="Times New Roman" w:cs="Times New Roman"/>
          <w:sz w:val="28"/>
          <w:szCs w:val="28"/>
        </w:rPr>
      </w:pPr>
      <w:r>
        <w:rPr>
          <w:rFonts w:ascii="Times New Roman" w:hAnsi="Times New Roman" w:cs="Times New Roman"/>
          <w:sz w:val="28"/>
          <w:szCs w:val="28"/>
        </w:rPr>
        <w:t>2.2 CT examination Equipment 1: Siemens 64 slice CT scanner, scanning parameters: tube voltage 120 kV, tube current automatic mA regulation technology, layer thickness 5 mm; Reconstruction parameters: pitch 1, reconstruction layer thickness 1 mm. The window width was 250 Hu, and the window level was 50 Hu. The tracking monitoring started 10 s after the contrast medium was injected. When the CT value of the monitoring layer reached the trigger threshold, the early arterial phase was acquired at 6 s delay and the late arterial phase was obtained at 8 s delay. The portal vein phase was captured 60 s after injection of the intravenous contrast medium, and the delayed image was obtained 120 s after injecting the contrast medium. The images were transmitted to PACS in DICOM format.</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Equipment 2: GE 64 slice CT scanner (Biograph m CT). Parameters: layer thickness 6 mm, voltage 120 kV, matrix 512×512. The hepatic artery phase was 20~30 s, the portal vein phase was 50~60 s, the delay phase was 180~200 s, the window width was 250~300 HU, and the window level was 40~80 HU.</w:t>
      </w:r>
    </w:p>
    <w:p>
      <w:pPr>
        <w:jc w:val="left"/>
        <w:rPr>
          <w:rFonts w:ascii="Times New Roman" w:hAnsi="Times New Roman" w:cs="Times New Roman"/>
          <w:sz w:val="28"/>
          <w:szCs w:val="28"/>
        </w:rPr>
      </w:pPr>
      <w:r>
        <w:rPr>
          <w:rFonts w:ascii="Times New Roman" w:hAnsi="Times New Roman" w:cs="Times New Roman"/>
          <w:sz w:val="28"/>
          <w:szCs w:val="28"/>
        </w:rPr>
        <w:t>2.3 Analysis of CT signs Two radiologists who have been engaged in abdominal imaging diagnosis for more than 15 years analyzed the signs of all cHCC-ICC cases in the PACS system, including whether there was atrophy of the liver lobe, depression of the liver capsule, dilation of the surrounding bile duct, size, edge, shape of the focus, the presence or absence of capsule and lipid inside, CT density, tumor thrombus in the portal vein, enhancement methods in each phase of enhanced scanning, whether there was a peritumoral enhancement in the arterial phase. The evaluators had no prior knowledge of patients’ clinical data. In case of doubt, consultation would be initiated to reach an agreement.</w:t>
      </w:r>
    </w:p>
    <w:p>
      <w:pPr>
        <w:jc w:val="left"/>
        <w:rPr>
          <w:rFonts w:ascii="Times New Roman" w:hAnsi="Times New Roman" w:cs="Times New Roman"/>
          <w:sz w:val="28"/>
          <w:szCs w:val="28"/>
        </w:rPr>
      </w:pPr>
      <w:r>
        <w:rPr>
          <w:rFonts w:ascii="Times New Roman" w:hAnsi="Times New Roman" w:cs="Times New Roman"/>
          <w:sz w:val="28"/>
          <w:szCs w:val="28"/>
        </w:rPr>
        <w:t>2.4 Pathological analysis Microvascular invasion (MVI) refers to the microscopic observation of cancer cell nests in the vascular lumen lined with endothelial cells, mainly portal vein or hepatic vein branches (including intrathecal vessels). Pathological grading method: M0: no MVI was found; M1 (low-risk group): ≤ 5 MVI, and it occurred in the liver tissue near the cancer; M2 (high-risk group): &gt;5 MVI, or MVI occurring in the liver tissue near the distant cancer. After reading the images, it was found that there were only a few M2 cases in this group, and thus M1 and M2 were combined into the MVI-positive group.</w:t>
      </w:r>
    </w:p>
    <w:p>
      <w:pPr>
        <w:jc w:val="left"/>
        <w:rPr>
          <w:rFonts w:ascii="Times New Roman" w:hAnsi="Times New Roman" w:cs="Times New Roman"/>
          <w:sz w:val="28"/>
          <w:szCs w:val="28"/>
        </w:rPr>
      </w:pPr>
      <w:r>
        <w:rPr>
          <w:rFonts w:ascii="Times New Roman" w:hAnsi="Times New Roman" w:cs="Times New Roman"/>
          <w:sz w:val="28"/>
          <w:szCs w:val="28"/>
        </w:rPr>
        <w:t>An experienced pathologist (who has 16-year experience in the pathological diagnosis of liver cancer) was asked to review the sections of all cases and evaluate whether cirrhosis was present. The relationship between CT findings and histopathology was jointly determined by radiologists and pathologists.</w:t>
      </w:r>
    </w:p>
    <w:p>
      <w:pPr>
        <w:jc w:val="left"/>
        <w:rPr>
          <w:rFonts w:ascii="Times New Roman" w:hAnsi="Times New Roman" w:cs="Times New Roman"/>
          <w:sz w:val="28"/>
          <w:szCs w:val="28"/>
        </w:rPr>
      </w:pPr>
      <w:r>
        <w:rPr>
          <w:rFonts w:ascii="Times New Roman" w:hAnsi="Times New Roman" w:cs="Times New Roman"/>
          <w:sz w:val="28"/>
          <w:szCs w:val="28"/>
        </w:rPr>
        <w:t>Specimens were fixed with 4% neutral buffered formaldehyde and embedded in conventional paraffin μM serial sections, routine HE staining and immunohistochemical staining. DAB (3,3'-diaminobenzidine) was used in immunohistochemical (IHC) staining. Hematoxylin was applied for re-staining, prior to which the slides were hydrated. Blue flower was dehydrated and sealed. Factor Ⅷ related antigen (F - Ⅷ Ag) was used to display the microvessels in the lesions.</w:t>
      </w:r>
    </w:p>
    <w:p>
      <w:pPr>
        <w:jc w:val="left"/>
        <w:rPr>
          <w:rFonts w:ascii="Times New Roman" w:hAnsi="Times New Roman" w:cs="Times New Roman"/>
          <w:sz w:val="24"/>
        </w:rPr>
      </w:pPr>
    </w:p>
    <w:p>
      <w:pPr>
        <w:numPr>
          <w:ilvl w:val="0"/>
          <w:numId w:val="2"/>
        </w:numPr>
        <w:jc w:val="left"/>
        <w:rPr>
          <w:rFonts w:ascii="Times New Roman" w:hAnsi="Times New Roman" w:cs="Times New Roman"/>
          <w:b/>
          <w:bCs/>
          <w:sz w:val="28"/>
          <w:szCs w:val="28"/>
        </w:rPr>
      </w:pPr>
      <w:r>
        <w:rPr>
          <w:rFonts w:ascii="Times New Roman" w:hAnsi="Times New Roman" w:cs="Times New Roman"/>
          <w:b/>
          <w:bCs/>
          <w:sz w:val="28"/>
          <w:szCs w:val="28"/>
        </w:rPr>
        <w:t>Results</w:t>
      </w:r>
    </w:p>
    <w:p>
      <w:pPr>
        <w:jc w:val="left"/>
        <w:rPr>
          <w:rFonts w:ascii="Times New Roman" w:hAnsi="Times New Roman" w:cs="Times New Roman"/>
          <w:sz w:val="28"/>
          <w:szCs w:val="28"/>
        </w:rPr>
      </w:pPr>
      <w:r>
        <w:rPr>
          <w:rFonts w:ascii="Times New Roman" w:hAnsi="Times New Roman" w:cs="Times New Roman"/>
          <w:sz w:val="28"/>
          <w:szCs w:val="28"/>
        </w:rPr>
        <w:t>3.1 Clinical characteristics</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See Table 1 for details. After screening, there were 119 cases of cHCC-ICC with complete CT plain scan and enhancement data and confirmed by surgery and pathology, which met the inclusion criteria, with a mean age of 52.41 ± 10.36, and a male-to-female ratio of 105:14. There was no significant difference between the MVI-positive group and negative group in age, sex, tumor size, lymph node metastasis, hepatitis B and cirrhosis (P&gt;0.05). Laboratory examination: The proportion of patients with CEA elevation was higher in the MVI-positive group than in the MVI-negative group, with a statistically significant difference (</w:t>
      </w:r>
      <w:r>
        <w:rPr>
          <w:rFonts w:ascii="Times New Roman" w:hAnsi="Times New Roman" w:cstheme="minorBidi"/>
          <w:i/>
          <w:sz w:val="28"/>
          <w:szCs w:val="24"/>
        </w:rPr>
        <w:t>P</w:t>
      </w:r>
      <w:r>
        <w:rPr>
          <w:rFonts w:ascii="Times New Roman" w:hAnsi="Times New Roman" w:cs="Times New Roman"/>
          <w:sz w:val="28"/>
          <w:szCs w:val="28"/>
        </w:rPr>
        <w:t xml:space="preserve"> &lt; 0.05). There was no significant difference in AFP, CA-199, ALT, AST, PLT, TBIL, or r-GT between the MVI-positive group and the MVI-negative group of cHCC-ICC (P&gt;0.05).</w:t>
      </w:r>
    </w:p>
    <w:p>
      <w:pPr>
        <w:jc w:val="left"/>
        <w:rPr>
          <w:rFonts w:ascii="Times New Roman" w:hAnsi="Times New Roman" w:cs="Times New Roman"/>
          <w:sz w:val="28"/>
          <w:szCs w:val="28"/>
        </w:rPr>
      </w:pPr>
      <w:r>
        <w:rPr>
          <w:rFonts w:ascii="Times New Roman" w:hAnsi="Times New Roman" w:cs="Times New Roman"/>
          <w:sz w:val="28"/>
          <w:szCs w:val="28"/>
        </w:rPr>
        <w:t>3.2 CT plain scan and dynamic enhanced scan characteristics</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 xml:space="preserve">See Table 1 for details. The MVI-positive group of 119 patients with cHCC-ICC was significantly different from the MVI-negative group in peripheral enhancement and tumor </w:t>
      </w:r>
      <w:r>
        <w:rPr>
          <w:rFonts w:hint="eastAsia" w:ascii="Times New Roman" w:hAnsi="Times New Roman" w:cs="Times New Roman"/>
          <w:sz w:val="28"/>
          <w:szCs w:val="28"/>
        </w:rPr>
        <w:t>shape</w:t>
      </w:r>
      <w:r>
        <w:rPr>
          <w:rFonts w:ascii="Times New Roman" w:hAnsi="Times New Roman" w:cs="Times New Roman"/>
          <w:sz w:val="28"/>
          <w:szCs w:val="28"/>
        </w:rPr>
        <w:t xml:space="preserve"> at the arterial phase (</w:t>
      </w:r>
      <w:r>
        <w:rPr>
          <w:rFonts w:ascii="Times New Roman" w:hAnsi="Times New Roman" w:cstheme="minorBidi"/>
          <w:i/>
          <w:sz w:val="28"/>
          <w:szCs w:val="24"/>
        </w:rPr>
        <w:t>P</w:t>
      </w:r>
      <m:oMath>
        <m:r>
          <m:rPr/>
          <w:rPr>
            <w:rFonts w:ascii="Cambria Math" w:hAnsi="Cambria Math" w:cs="Times New Roman"/>
            <w:sz w:val="28"/>
            <w:szCs w:val="28"/>
          </w:rPr>
          <m:t xml:space="preserve"> </m:t>
        </m:r>
        <m:r>
          <m:rPr>
            <m:sty m:val="p"/>
          </m:rPr>
          <w:rPr>
            <w:rFonts w:ascii="Cambria Math" w:hAnsi="Cambria Math" w:cs="Times New Roman"/>
            <w:sz w:val="28"/>
            <w:szCs w:val="28"/>
          </w:rPr>
          <m:t xml:space="preserve">＜ </m:t>
        </m:r>
      </m:oMath>
      <w:r>
        <w:rPr>
          <w:rFonts w:ascii="Times New Roman" w:hAnsi="Times New Roman" w:cs="Times New Roman"/>
          <w:sz w:val="28"/>
          <w:szCs w:val="28"/>
        </w:rPr>
        <w:t>0.05). MVI-positive group had a higher rate of peritumoral enhancement in the arterial phase whereas MVI-negative group had more oval and lobulated masses (P=0.04). No statistical differences were observed between the two groups in terms of imaging signs such as capsule, intravenous tumor thrombus, tumor density, margin, internal lipid composition, hepatic affinity, hepatic capsular regression, intravascular duct differentiation, schedule of reinforcement, and dynamic enhancement curve.</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 xml:space="preserve">Risk factor analysis: See Table 2 for details. According to the multivariate analysis, the increase in CEA (OR=10.15, 95% CI: 1.11, 92.48, p=0.04), </w:t>
      </w:r>
      <w:r>
        <w:rPr>
          <w:rFonts w:hint="eastAsia" w:ascii="Times New Roman" w:hAnsi="Times New Roman" w:cs="Times New Roman"/>
          <w:sz w:val="28"/>
          <w:szCs w:val="28"/>
        </w:rPr>
        <w:t>hepatic capsular</w:t>
      </w:r>
      <w:r>
        <w:rPr>
          <w:rFonts w:ascii="Times New Roman" w:hAnsi="Times New Roman" w:cs="Times New Roman"/>
          <w:sz w:val="28"/>
          <w:szCs w:val="28"/>
        </w:rPr>
        <w:t xml:space="preserve"> withdrawal (OR=4.55, 95% CI: 1.44, 14.34, p=0.01) and </w:t>
      </w:r>
      <w:r>
        <w:rPr>
          <w:rFonts w:ascii="Times New Roman" w:hAnsi="Times New Roman" w:eastAsia="宋体" w:cs="Times New Roman"/>
          <w:kern w:val="0"/>
          <w:sz w:val="28"/>
          <w:szCs w:val="28"/>
          <w:lang w:bidi="ar"/>
        </w:rPr>
        <w:t>peritumoral</w:t>
      </w:r>
      <w:r>
        <w:rPr>
          <w:rFonts w:ascii="Times New Roman" w:hAnsi="Times New Roman" w:cs="Times New Roman"/>
          <w:sz w:val="28"/>
          <w:szCs w:val="28"/>
        </w:rPr>
        <w:t xml:space="preserve"> enhancement (OR=6.34, 95% CI: 2.18, 18.40, p&lt;0.01) are independent risk factors for predicting MVI.</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 xml:space="preserve">The three imaging characteristics that have the value of predicting MVI - CEA elevation, sensitivity, and specificity, i.e., PPV and NPV of the </w:t>
      </w:r>
      <w:r>
        <w:rPr>
          <w:rFonts w:hint="eastAsia" w:ascii="Times New Roman" w:hAnsi="Times New Roman" w:cs="Times New Roman"/>
          <w:sz w:val="28"/>
          <w:szCs w:val="28"/>
        </w:rPr>
        <w:t>hepatic capsular</w:t>
      </w:r>
      <w:r>
        <w:rPr>
          <w:rFonts w:ascii="Times New Roman" w:hAnsi="Times New Roman" w:cs="Times New Roman"/>
          <w:sz w:val="28"/>
          <w:szCs w:val="28"/>
        </w:rPr>
        <w:t xml:space="preserve"> withdrawal and </w:t>
      </w:r>
      <w:r>
        <w:rPr>
          <w:rFonts w:ascii="Times New Roman" w:hAnsi="Times New Roman" w:cs="Times New Roman"/>
          <w:sz w:val="28"/>
          <w:szCs w:val="28"/>
          <w:lang w:bidi="ar"/>
        </w:rPr>
        <w:t>peritumoral</w:t>
      </w:r>
      <w:r>
        <w:rPr>
          <w:rFonts w:ascii="Times New Roman" w:hAnsi="Times New Roman" w:cs="Times New Roman"/>
          <w:sz w:val="28"/>
          <w:szCs w:val="28"/>
        </w:rPr>
        <w:t xml:space="preserve"> enhancement, as well as their combination to predict MVI are shown in Table 3. When these three imaging signs are combined, the specificity of MVI prediction was 70.59% (series connection), and the sensitivity was 100% (parallel connection).</w:t>
      </w:r>
    </w:p>
    <w:p>
      <w:pPr>
        <w:jc w:val="left"/>
        <w:rPr>
          <w:rFonts w:ascii="Times New Roman" w:hAnsi="Times New Roman" w:cs="Times New Roman"/>
          <w:sz w:val="28"/>
          <w:szCs w:val="28"/>
        </w:rPr>
      </w:pPr>
    </w:p>
    <w:p>
      <w:pPr>
        <w:numPr>
          <w:ilvl w:val="0"/>
          <w:numId w:val="2"/>
        </w:numPr>
        <w:jc w:val="left"/>
        <w:rPr>
          <w:rFonts w:ascii="Times New Roman" w:hAnsi="Times New Roman" w:cs="Times New Roman"/>
          <w:b/>
          <w:bCs/>
          <w:sz w:val="28"/>
          <w:szCs w:val="28"/>
        </w:rPr>
      </w:pPr>
      <w:r>
        <w:rPr>
          <w:rFonts w:ascii="Times New Roman" w:hAnsi="Times New Roman" w:cs="Times New Roman"/>
          <w:b/>
          <w:bCs/>
          <w:sz w:val="28"/>
          <w:szCs w:val="28"/>
        </w:rPr>
        <w:t>Discussion</w:t>
      </w:r>
    </w:p>
    <w:p>
      <w:pPr>
        <w:ind w:firstLine="560"/>
        <w:jc w:val="left"/>
        <w:rPr>
          <w:rFonts w:ascii="Times New Roman" w:hAnsi="Times New Roman" w:cs="Times New Roman"/>
          <w:sz w:val="28"/>
          <w:szCs w:val="28"/>
        </w:rPr>
      </w:pPr>
      <w:r>
        <w:rPr>
          <w:rFonts w:ascii="Times New Roman" w:hAnsi="Times New Roman" w:cs="Times New Roman"/>
          <w:sz w:val="28"/>
          <w:szCs w:val="28"/>
        </w:rPr>
        <w:t>Predicting MVI in patients with primary liver cancer has been a hot research topic in the past decade because it is closely related to postoperative recurrence and metastasis and affects disease-free survival and overall survival time of patients. High-risk factors related to MVI in HCC include tumor diameter, number, AFP level, arterial phase annular enhancement, arterial phase peritumoral enhancement, etc.</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NE.Ref.{520701B7-8EF9-4E23-AF69-60A3F508F4E8}</w:instrText>
      </w:r>
      <w:r>
        <w:rPr>
          <w:rFonts w:ascii="Times New Roman" w:hAnsi="Times New Roman" w:cs="Times New Roman"/>
          <w:sz w:val="28"/>
          <w:szCs w:val="28"/>
        </w:rPr>
        <w:fldChar w:fldCharType="separate"/>
      </w:r>
      <w:r>
        <w:rPr>
          <w:color w:val="080000"/>
          <w:vertAlign w:val="superscript"/>
        </w:rPr>
        <w:t>[14-16]</w:t>
      </w:r>
      <w:r>
        <w:rPr>
          <w:rFonts w:ascii="Times New Roman" w:hAnsi="Times New Roman" w:cs="Times New Roman"/>
          <w:sz w:val="28"/>
          <w:szCs w:val="28"/>
        </w:rPr>
        <w:fldChar w:fldCharType="end"/>
      </w:r>
      <w:r>
        <w:rPr>
          <w:rFonts w:ascii="Times New Roman" w:hAnsi="Times New Roman" w:cs="Times New Roman"/>
          <w:sz w:val="28"/>
          <w:szCs w:val="28"/>
        </w:rPr>
        <w:t xml:space="preserve"> Whether MVI plays a key role in the prognosis of patients with ICC is still unclear. Studies that are focused on MVI in ICC are rarely seen and only a few reports are comprehensive</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NE.Ref.{1AFA89F7-D7DC-4D7A-8477-59EC97E90722}</w:instrText>
      </w:r>
      <w:r>
        <w:rPr>
          <w:rFonts w:ascii="Times New Roman" w:hAnsi="Times New Roman" w:cs="Times New Roman"/>
          <w:sz w:val="28"/>
          <w:szCs w:val="28"/>
        </w:rPr>
        <w:fldChar w:fldCharType="separate"/>
      </w:r>
      <w:r>
        <w:rPr>
          <w:color w:val="080000"/>
          <w:vertAlign w:val="superscript"/>
        </w:rPr>
        <w:t>[17, 18]</w:t>
      </w:r>
      <w:r>
        <w:rPr>
          <w:rFonts w:ascii="Times New Roman" w:hAnsi="Times New Roman" w:cs="Times New Roman"/>
          <w:sz w:val="28"/>
          <w:szCs w:val="28"/>
        </w:rPr>
        <w:fldChar w:fldCharType="end"/>
      </w:r>
      <w:r>
        <w:rPr>
          <w:rFonts w:ascii="Times New Roman" w:hAnsi="Times New Roman" w:cs="Times New Roman"/>
          <w:sz w:val="28"/>
          <w:szCs w:val="28"/>
        </w:rPr>
        <w:t>. Age, γ-glutamyl transpeptidase, preoperative tumor number, larger tumor diameter, and intrahepatic bile duct dilatation may be independent risk factors for predicting MVI in ICC.</w:t>
      </w:r>
    </w:p>
    <w:p>
      <w:pPr>
        <w:ind w:firstLine="560"/>
        <w:jc w:val="left"/>
        <w:rPr>
          <w:rFonts w:ascii="Times New Roman" w:hAnsi="Times New Roman" w:cs="Times New Roman"/>
          <w:sz w:val="28"/>
          <w:szCs w:val="28"/>
        </w:rPr>
      </w:pPr>
      <w:r>
        <w:rPr>
          <w:rFonts w:ascii="Times New Roman" w:hAnsi="Times New Roman" w:cs="Times New Roman"/>
          <w:sz w:val="28"/>
          <w:szCs w:val="28"/>
        </w:rPr>
        <w:t>CHCC-ICC has the tumor tissue components of both HCC and ICC, so its imaging signs are complex and changeable. When HCC was the main component, the enhancement mode of enhanced scanning was similar to that of HCC, with obvious enhancement in the arterial phase and rapid clearance in the venous phase and delayed phase; With ICC as the main component, the arterial phase showed marginal enhancement, and the venous phase and delayed phase showed progressive centripetal enhancement</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NE.Ref.{EAB3D2E3-E600-4495-875B-E4BFC9EDF14D}</w:instrText>
      </w:r>
      <w:r>
        <w:rPr>
          <w:rFonts w:ascii="Times New Roman" w:hAnsi="Times New Roman" w:cs="Times New Roman"/>
          <w:sz w:val="28"/>
          <w:szCs w:val="28"/>
        </w:rPr>
        <w:fldChar w:fldCharType="separate"/>
      </w:r>
      <w:r>
        <w:rPr>
          <w:color w:val="080000"/>
          <w:vertAlign w:val="superscript"/>
        </w:rPr>
        <w:t>[19, 20]</w:t>
      </w:r>
      <w:r>
        <w:rPr>
          <w:rFonts w:ascii="Times New Roman" w:hAnsi="Times New Roman" w:cs="Times New Roman"/>
          <w:sz w:val="28"/>
          <w:szCs w:val="28"/>
        </w:rPr>
        <w:fldChar w:fldCharType="end"/>
      </w:r>
      <w:r>
        <w:rPr>
          <w:rFonts w:ascii="Times New Roman" w:hAnsi="Times New Roman" w:cs="Times New Roman"/>
          <w:sz w:val="28"/>
          <w:szCs w:val="28"/>
        </w:rPr>
        <w:t>. A few research reports on preoperative MVI prediction of cHCC-ICC</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NE.Ref.{FA084E2E-2FF4-499B-9D78-BB0F526B6BC5}</w:instrText>
      </w:r>
      <w:r>
        <w:rPr>
          <w:rFonts w:ascii="Times New Roman" w:hAnsi="Times New Roman" w:cs="Times New Roman"/>
          <w:sz w:val="28"/>
          <w:szCs w:val="28"/>
        </w:rPr>
        <w:fldChar w:fldCharType="separate"/>
      </w:r>
      <w:r>
        <w:rPr>
          <w:color w:val="080000"/>
          <w:vertAlign w:val="superscript"/>
        </w:rPr>
        <w:t>[13, 14]</w:t>
      </w:r>
      <w:r>
        <w:rPr>
          <w:rFonts w:ascii="Times New Roman" w:hAnsi="Times New Roman" w:cs="Times New Roman"/>
          <w:sz w:val="28"/>
          <w:szCs w:val="28"/>
        </w:rPr>
        <w:fldChar w:fldCharType="end"/>
      </w:r>
      <w:r>
        <w:rPr>
          <w:rFonts w:ascii="Times New Roman" w:hAnsi="Times New Roman" w:cs="Times New Roman"/>
          <w:sz w:val="28"/>
          <w:szCs w:val="28"/>
        </w:rPr>
        <w:t xml:space="preserve"> found that high AFP level (&gt;400 ng/mL), arterial phase peritumoral enhancement, multiple nodules, γ-glutamyl transpeptidase could be independent risk factors for predicting MVI. However, the risk factors reported in those studies are not completely the same. In addition, when there is fat deposition in the tumor, it is a protective factor for MVI, which is similar to other studies that predict MVI in HCC</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NE.Ref.{0370AF53-5F22-40EC-85AF-3D4BB2D15E4F}</w:instrText>
      </w:r>
      <w:r>
        <w:rPr>
          <w:rFonts w:ascii="Times New Roman" w:hAnsi="Times New Roman" w:cs="Times New Roman"/>
          <w:sz w:val="28"/>
          <w:szCs w:val="28"/>
        </w:rPr>
        <w:fldChar w:fldCharType="separate"/>
      </w:r>
      <w:r>
        <w:rPr>
          <w:color w:val="080000"/>
          <w:vertAlign w:val="superscript"/>
        </w:rPr>
        <w:t>[21, 22]</w:t>
      </w:r>
      <w:r>
        <w:rPr>
          <w:rFonts w:ascii="Times New Roman" w:hAnsi="Times New Roman" w:cs="Times New Roman"/>
          <w:sz w:val="28"/>
          <w:szCs w:val="28"/>
        </w:rPr>
        <w:fldChar w:fldCharType="end"/>
      </w:r>
      <w:r>
        <w:rPr>
          <w:rFonts w:ascii="Times New Roman" w:hAnsi="Times New Roman" w:cs="Times New Roman"/>
          <w:sz w:val="28"/>
          <w:szCs w:val="28"/>
        </w:rPr>
        <w:t>. The prognosis of HCC is better when there is fat in the tumor on MRI, with longer disease-free survival and total survival.</w:t>
      </w:r>
    </w:p>
    <w:p>
      <w:pPr>
        <w:ind w:firstLine="560"/>
        <w:jc w:val="left"/>
        <w:rPr>
          <w:rFonts w:ascii="Times New Roman" w:hAnsi="Times New Roman" w:cs="Times New Roman"/>
          <w:sz w:val="28"/>
          <w:szCs w:val="28"/>
        </w:rPr>
      </w:pPr>
      <w:r>
        <w:rPr>
          <w:rFonts w:ascii="Times New Roman" w:hAnsi="Times New Roman" w:cs="Times New Roman"/>
          <w:sz w:val="28"/>
          <w:szCs w:val="28"/>
        </w:rPr>
        <w:t>As we all know, CEA is a tumor marker for colorectal cancer and other adenocarcinomas, and has recently attracted much attention as a potential marker for ICC: Compared with moderately differentiated ICC, CEA increases are more often seen in poorly differentiated ICC, and the 1-year and 5-year survival of patients with CEA increases are shorter</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NE.Ref.{2E639C23-7457-4278-9E69-D13D9C7FC43F}</w:instrText>
      </w:r>
      <w:r>
        <w:rPr>
          <w:rFonts w:ascii="Times New Roman" w:hAnsi="Times New Roman" w:cs="Times New Roman"/>
          <w:sz w:val="28"/>
          <w:szCs w:val="28"/>
        </w:rPr>
        <w:fldChar w:fldCharType="separate"/>
      </w:r>
      <w:r>
        <w:rPr>
          <w:color w:val="080000"/>
          <w:vertAlign w:val="superscript"/>
        </w:rPr>
        <w:t>[23, 24]</w:t>
      </w:r>
      <w:r>
        <w:rPr>
          <w:rFonts w:ascii="Times New Roman" w:hAnsi="Times New Roman" w:cs="Times New Roman"/>
          <w:sz w:val="28"/>
          <w:szCs w:val="28"/>
        </w:rPr>
        <w:fldChar w:fldCharType="end"/>
      </w:r>
      <w:r>
        <w:rPr>
          <w:rFonts w:ascii="Times New Roman" w:hAnsi="Times New Roman" w:cs="Times New Roman"/>
          <w:sz w:val="28"/>
          <w:szCs w:val="28"/>
        </w:rPr>
        <w:t>. This suggests that it is a tumor marker of poor prognosis in ICC. Our data show that the increase of CEA is positively correlated with the positive MVI in cHCC-ICC, but whether there is a causal relationship between these two indicators is unknown. Hepatic capsular retraction refers to the localized depression of the smooth envelope of the liver, which was once considered to be related to liver malignancy. Many benign lesions and treatments can cause hepatic capsular retraction</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NE.Ref.{EADD38A0-C736-4616-A5A4-3B74D923D9EF}</w:instrText>
      </w:r>
      <w:r>
        <w:rPr>
          <w:rFonts w:ascii="Times New Roman" w:hAnsi="Times New Roman" w:cs="Times New Roman"/>
          <w:sz w:val="28"/>
          <w:szCs w:val="28"/>
        </w:rPr>
        <w:fldChar w:fldCharType="separate"/>
      </w:r>
      <w:r>
        <w:rPr>
          <w:color w:val="080000"/>
          <w:vertAlign w:val="superscript"/>
        </w:rPr>
        <w:t>[25]</w:t>
      </w:r>
      <w:r>
        <w:rPr>
          <w:rFonts w:ascii="Times New Roman" w:hAnsi="Times New Roman" w:cs="Times New Roman"/>
          <w:sz w:val="28"/>
          <w:szCs w:val="28"/>
        </w:rPr>
        <w:fldChar w:fldCharType="end"/>
      </w:r>
      <w:r>
        <w:rPr>
          <w:rFonts w:ascii="Times New Roman" w:hAnsi="Times New Roman" w:cs="Times New Roman"/>
          <w:sz w:val="28"/>
          <w:szCs w:val="28"/>
        </w:rPr>
        <w:t>. It may indicate the potential process of liver fibrosis or focal atrophy of liver parenchyma caused by vascular injury/chronic biliary inflammation and may explain the cHCC-ICC in the more aggressive MVI-positive group, which is more likely to lead to vascular and bile duct injury around the focus. Another reason may be that the proportion of our cases located in the periphery of the liver was too high. It has been supported by a large number of literature</w:t>
      </w:r>
      <w:r>
        <w:rPr>
          <w:rFonts w:ascii="Times New Roman" w:hAnsi="Times New Roman" w:cs="Times New Roman"/>
          <w:sz w:val="28"/>
          <w:szCs w:val="28"/>
        </w:rPr>
        <w:fldChar w:fldCharType="begin"/>
      </w:r>
      <w:r>
        <w:rPr>
          <w:rFonts w:hint="eastAsia" w:ascii="Times New Roman" w:hAnsi="Times New Roman" w:cs="Times New Roman"/>
          <w:sz w:val="28"/>
          <w:szCs w:val="28"/>
        </w:rPr>
        <w:instrText xml:space="preserve"> ADDIN NE.Ref.{2677B87F-C813-4EF8-976E-074C9FFB6B01}</w:instrText>
      </w:r>
      <w:r>
        <w:rPr>
          <w:rFonts w:ascii="Times New Roman" w:hAnsi="Times New Roman" w:cs="Times New Roman"/>
          <w:sz w:val="28"/>
          <w:szCs w:val="28"/>
        </w:rPr>
        <w:fldChar w:fldCharType="separate"/>
      </w:r>
      <w:r>
        <w:rPr>
          <w:color w:val="080000"/>
          <w:vertAlign w:val="superscript"/>
        </w:rPr>
        <w:t>[10, 26-28]</w:t>
      </w:r>
      <w:r>
        <w:rPr>
          <w:rFonts w:ascii="Times New Roman" w:hAnsi="Times New Roman" w:cs="Times New Roman"/>
          <w:sz w:val="28"/>
          <w:szCs w:val="28"/>
        </w:rPr>
        <w:fldChar w:fldCharType="end"/>
      </w:r>
      <w:r>
        <w:rPr>
          <w:rFonts w:ascii="Times New Roman" w:hAnsi="Times New Roman" w:cs="Times New Roman"/>
          <w:sz w:val="28"/>
          <w:szCs w:val="28"/>
        </w:rPr>
        <w:t xml:space="preserve"> that MVI in HCC can be predicted by the arterial phase peritumoral enhancement. It has also been confirmed that it can be used to predict the MVI in cHCC-ICC, a rare subtype of</w:t>
      </w:r>
      <w:r>
        <w:rPr>
          <w:rFonts w:ascii="Times New Roman" w:hAnsi="Times New Roman" w:cs="Times New Roman"/>
          <w:sz w:val="30"/>
          <w:szCs w:val="30"/>
        </w:rPr>
        <w:t xml:space="preserve"> primary liver cancer</w:t>
      </w:r>
      <w:r>
        <w:rPr>
          <w:rFonts w:ascii="Times New Roman" w:hAnsi="Times New Roman" w:cs="Times New Roman"/>
          <w:sz w:val="28"/>
          <w:szCs w:val="28"/>
        </w:rPr>
        <w:t>.</w:t>
      </w:r>
    </w:p>
    <w:p>
      <w:pPr>
        <w:ind w:firstLine="560"/>
        <w:jc w:val="left"/>
        <w:rPr>
          <w:rFonts w:ascii="Times New Roman" w:hAnsi="Times New Roman" w:cs="Times New Roman"/>
          <w:sz w:val="28"/>
          <w:szCs w:val="28"/>
        </w:rPr>
      </w:pPr>
      <w:r>
        <w:rPr>
          <w:rFonts w:hint="eastAsia" w:ascii="Times New Roman" w:hAnsi="Times New Roman" w:cs="Times New Roman"/>
          <w:sz w:val="28"/>
          <w:szCs w:val="28"/>
        </w:rPr>
        <w:t xml:space="preserve">Due to the rarity of this tumor, its clinicopathological features are still not well understood. The surgical resection plan, indication for liver transplantation, and the corresponding adjuvant treatment plan are still under exploration. </w:t>
      </w:r>
      <w:r>
        <w:rPr>
          <w:rFonts w:ascii="Times New Roman" w:hAnsi="Times New Roman" w:cs="Times New Roman"/>
          <w:sz w:val="28"/>
          <w:szCs w:val="28"/>
        </w:rPr>
        <w:t>M</w:t>
      </w:r>
      <w:r>
        <w:rPr>
          <w:rFonts w:hint="eastAsia" w:ascii="Times New Roman" w:hAnsi="Times New Roman" w:cs="Times New Roman"/>
          <w:sz w:val="28"/>
          <w:szCs w:val="28"/>
        </w:rPr>
        <w:t xml:space="preserve">ore clinical and imaging studies on cHCC-ICC </w:t>
      </w:r>
      <w:r>
        <w:rPr>
          <w:rFonts w:ascii="Times New Roman" w:hAnsi="Times New Roman" w:cs="Times New Roman"/>
          <w:sz w:val="28"/>
          <w:szCs w:val="28"/>
        </w:rPr>
        <w:t xml:space="preserve">will be conducted </w:t>
      </w:r>
      <w:r>
        <w:rPr>
          <w:rFonts w:hint="eastAsia" w:ascii="Times New Roman" w:hAnsi="Times New Roman" w:cs="Times New Roman"/>
          <w:sz w:val="28"/>
          <w:szCs w:val="28"/>
        </w:rPr>
        <w:t>in the future</w:t>
      </w:r>
      <w:r>
        <w:rPr>
          <w:rFonts w:ascii="Times New Roman" w:hAnsi="Times New Roman" w:cs="Times New Roman"/>
          <w:sz w:val="28"/>
          <w:szCs w:val="28"/>
        </w:rPr>
        <w:t>.</w:t>
      </w:r>
      <w:r>
        <w:rPr>
          <w:rFonts w:hint="eastAsia" w:ascii="Times New Roman" w:hAnsi="Times New Roman" w:cs="Times New Roman"/>
          <w:sz w:val="28"/>
          <w:szCs w:val="28"/>
        </w:rPr>
        <w:t xml:space="preserve"> </w:t>
      </w:r>
      <w:r>
        <w:rPr>
          <w:rFonts w:ascii="Times New Roman" w:hAnsi="Times New Roman" w:cs="Times New Roman"/>
          <w:sz w:val="28"/>
          <w:szCs w:val="28"/>
        </w:rPr>
        <w:t>W</w:t>
      </w:r>
      <w:r>
        <w:rPr>
          <w:rFonts w:hint="eastAsia" w:ascii="Times New Roman" w:hAnsi="Times New Roman" w:cs="Times New Roman"/>
          <w:sz w:val="28"/>
          <w:szCs w:val="28"/>
        </w:rPr>
        <w:t>e can do a better job in using CT, MRI</w:t>
      </w:r>
      <w:r>
        <w:rPr>
          <w:rFonts w:ascii="Times New Roman" w:hAnsi="Times New Roman" w:cs="Times New Roman"/>
          <w:sz w:val="28"/>
          <w:szCs w:val="28"/>
        </w:rPr>
        <w:t>,</w:t>
      </w:r>
      <w:r>
        <w:rPr>
          <w:rFonts w:hint="eastAsia" w:ascii="Times New Roman" w:hAnsi="Times New Roman" w:cs="Times New Roman"/>
          <w:sz w:val="28"/>
          <w:szCs w:val="28"/>
        </w:rPr>
        <w:t xml:space="preserve"> and other imaging techniques to predict the efficacy of various treatment regimens and </w:t>
      </w:r>
      <w:r>
        <w:rPr>
          <w:rFonts w:ascii="Times New Roman" w:hAnsi="Times New Roman" w:cs="Times New Roman"/>
          <w:sz w:val="28"/>
          <w:szCs w:val="28"/>
        </w:rPr>
        <w:t>forecast</w:t>
      </w:r>
      <w:r>
        <w:rPr>
          <w:rFonts w:hint="eastAsia" w:ascii="Times New Roman" w:hAnsi="Times New Roman" w:cs="Times New Roman"/>
          <w:sz w:val="28"/>
          <w:szCs w:val="28"/>
        </w:rPr>
        <w:t xml:space="preserve"> </w:t>
      </w:r>
      <w:r>
        <w:rPr>
          <w:rFonts w:ascii="Times New Roman" w:hAnsi="Times New Roman" w:cs="Times New Roman"/>
          <w:sz w:val="28"/>
          <w:szCs w:val="28"/>
        </w:rPr>
        <w:t>the</w:t>
      </w:r>
      <w:r>
        <w:rPr>
          <w:rFonts w:hint="eastAsia" w:ascii="Times New Roman" w:hAnsi="Times New Roman" w:cs="Times New Roman"/>
          <w:sz w:val="28"/>
          <w:szCs w:val="28"/>
        </w:rPr>
        <w:t xml:space="preserve"> disease-free survival and overall survival</w:t>
      </w:r>
      <w:r>
        <w:rPr>
          <w:rFonts w:ascii="Times New Roman" w:hAnsi="Times New Roman" w:cs="Times New Roman"/>
          <w:sz w:val="28"/>
          <w:szCs w:val="28"/>
        </w:rPr>
        <w:t xml:space="preserve"> of patients with this disease</w:t>
      </w:r>
      <w:r>
        <w:rPr>
          <w:rFonts w:hint="eastAsia" w:ascii="Times New Roman" w:hAnsi="Times New Roman" w:cs="Times New Roman"/>
          <w:sz w:val="28"/>
          <w:szCs w:val="28"/>
        </w:rPr>
        <w:t>.</w:t>
      </w:r>
    </w:p>
    <w:p>
      <w:pPr>
        <w:ind w:firstLine="560"/>
        <w:jc w:val="left"/>
        <w:rPr>
          <w:rFonts w:ascii="Times New Roman" w:hAnsi="Times New Roman" w:cs="Times New Roman"/>
          <w:sz w:val="28"/>
          <w:szCs w:val="28"/>
        </w:rPr>
      </w:pPr>
      <w:r>
        <w:rPr>
          <w:rFonts w:ascii="Times New Roman" w:hAnsi="Times New Roman" w:cs="Times New Roman"/>
          <w:sz w:val="28"/>
          <w:szCs w:val="28"/>
        </w:rPr>
        <w:t xml:space="preserve">Limitations: </w:t>
      </w:r>
      <w:r>
        <w:rPr>
          <w:rFonts w:hint="eastAsia" w:ascii="Times New Roman" w:hAnsi="Times New Roman" w:cs="Times New Roman"/>
          <w:sz w:val="28"/>
          <w:szCs w:val="28"/>
        </w:rPr>
        <w:t>Our cases were from three hospitals and the CT machines used for scanning were different from the scanning parameters, which may lead to inconsistent interpretation of some image signs. In addition, we did not extract the image omics features in this study but used manual film reading, which would have certain limitations and subjectivity. In the next step, we will add the image omics features to predict MVI before surgery and increase the sample size to make the prediction model more accurate. Besides, o</w:t>
      </w:r>
      <w:r>
        <w:rPr>
          <w:rFonts w:ascii="Times New Roman" w:hAnsi="Times New Roman" w:cs="Times New Roman"/>
          <w:sz w:val="28"/>
          <w:szCs w:val="28"/>
        </w:rPr>
        <w:t xml:space="preserve">ur research used CT as an imaging tool, whose effect of observing lipid components with small structures in the tumor is not as good as MRI. </w:t>
      </w:r>
      <w:r>
        <w:rPr>
          <w:rFonts w:hint="eastAsia" w:ascii="Times New Roman" w:hAnsi="Times New Roman" w:cs="Times New Roman"/>
          <w:sz w:val="28"/>
          <w:szCs w:val="28"/>
        </w:rPr>
        <w:t xml:space="preserve">We will collect more cases of cHCC-ICC undergoing MRI examination for </w:t>
      </w:r>
      <w:r>
        <w:rPr>
          <w:rFonts w:ascii="Times New Roman" w:hAnsi="Times New Roman" w:cs="Times New Roman"/>
          <w:sz w:val="28"/>
          <w:szCs w:val="28"/>
        </w:rPr>
        <w:t xml:space="preserve">an </w:t>
      </w:r>
      <w:r>
        <w:rPr>
          <w:rFonts w:hint="eastAsia" w:ascii="Times New Roman" w:hAnsi="Times New Roman" w:cs="Times New Roman"/>
          <w:sz w:val="28"/>
          <w:szCs w:val="28"/>
        </w:rPr>
        <w:t>accurate preoperative diagnosis and predict its therapeutic efficacy and survival.</w:t>
      </w:r>
    </w:p>
    <w:p>
      <w:pPr>
        <w:numPr>
          <w:ilvl w:val="0"/>
          <w:numId w:val="2"/>
        </w:numPr>
        <w:jc w:val="left"/>
        <w:rPr>
          <w:rFonts w:ascii="Times New Roman" w:hAnsi="Times New Roman" w:cs="Times New Roman"/>
          <w:b/>
          <w:bCs/>
          <w:sz w:val="24"/>
        </w:rPr>
      </w:pPr>
      <w:r>
        <w:rPr>
          <w:rFonts w:hint="eastAsia" w:ascii="Times New Roman" w:hAnsi="Times New Roman" w:cs="Times New Roman"/>
          <w:b/>
          <w:bCs/>
          <w:sz w:val="28"/>
          <w:szCs w:val="28"/>
        </w:rPr>
        <w:t>C</w:t>
      </w:r>
      <w:r>
        <w:rPr>
          <w:rFonts w:ascii="Times New Roman" w:hAnsi="Times New Roman" w:cs="Times New Roman"/>
          <w:b/>
          <w:bCs/>
          <w:sz w:val="28"/>
          <w:szCs w:val="28"/>
        </w:rPr>
        <w:t>onclusion</w:t>
      </w:r>
    </w:p>
    <w:p>
      <w:pPr>
        <w:ind w:firstLine="560" w:firstLineChars="200"/>
        <w:jc w:val="left"/>
        <w:rPr>
          <w:rFonts w:ascii="Times New Roman" w:hAnsi="Times New Roman" w:cs="Times New Roman"/>
          <w:sz w:val="24"/>
        </w:rPr>
      </w:pPr>
      <w:r>
        <w:rPr>
          <w:rFonts w:hint="eastAsia" w:ascii="Times New Roman" w:hAnsi="Times New Roman" w:cs="Times New Roman"/>
          <w:sz w:val="28"/>
          <w:szCs w:val="28"/>
        </w:rPr>
        <w:t>O</w:t>
      </w:r>
      <w:r>
        <w:rPr>
          <w:rFonts w:ascii="Times New Roman" w:hAnsi="Times New Roman" w:cs="Times New Roman"/>
          <w:sz w:val="28"/>
          <w:szCs w:val="28"/>
        </w:rPr>
        <w:t>ur multivariate analysis found that CEA elevation, liver capsule depression, and arterial phase peritumoral enhancement were independent risk factors for predicting MVI in cHCC-ICC.</w:t>
      </w:r>
    </w:p>
    <w:p>
      <w:pPr>
        <w:jc w:val="center"/>
        <w:rPr>
          <w:rFonts w:ascii="Times New Roman" w:hAnsi="Times New Roman" w:cs="Times New Roman"/>
          <w:sz w:val="24"/>
        </w:rPr>
      </w:pPr>
    </w:p>
    <w:p>
      <w:pPr>
        <w:jc w:val="left"/>
        <w:rPr>
          <w:rFonts w:ascii="Times New Roman" w:hAnsi="Times New Roman" w:cs="Times New Roman"/>
          <w:sz w:val="24"/>
        </w:rPr>
      </w:pPr>
    </w:p>
    <w:p>
      <w:pPr>
        <w:widowControl/>
        <w:spacing w:after="150" w:line="210" w:lineRule="atLeast"/>
        <w:ind w:left="161" w:leftChars="-57" w:hanging="281" w:hangingChars="100"/>
        <w:rPr>
          <w:rFonts w:ascii="Times New Roman" w:hAnsi="Times New Roman"/>
          <w:sz w:val="28"/>
          <w:szCs w:val="28"/>
        </w:rPr>
      </w:pPr>
      <w:r>
        <w:rPr>
          <w:rFonts w:ascii="Times New Roman" w:hAnsi="Times New Roman"/>
          <w:b/>
          <w:bCs/>
          <w:sz w:val="28"/>
          <w:szCs w:val="28"/>
        </w:rPr>
        <w:t>Abbreviations</w:t>
      </w:r>
    </w:p>
    <w:p>
      <w:pPr>
        <w:widowControl/>
        <w:spacing w:after="150" w:line="210" w:lineRule="atLeast"/>
        <w:ind w:left="160" w:leftChars="-57" w:hanging="280" w:hangingChars="100"/>
        <w:rPr>
          <w:rFonts w:ascii="Times New Roman" w:hAnsi="Times New Roman" w:cs="Times New Roman"/>
          <w:sz w:val="28"/>
          <w:szCs w:val="28"/>
        </w:rPr>
      </w:pPr>
      <w:r>
        <w:rPr>
          <w:rFonts w:hint="eastAsia" w:ascii="Times New Roman" w:hAnsi="Times New Roman"/>
          <w:sz w:val="28"/>
          <w:szCs w:val="28"/>
        </w:rPr>
        <w:t>c</w:t>
      </w:r>
      <w:r>
        <w:rPr>
          <w:rFonts w:ascii="Times New Roman" w:hAnsi="Times New Roman"/>
          <w:sz w:val="28"/>
          <w:szCs w:val="28"/>
        </w:rPr>
        <w:t>HCC</w:t>
      </w:r>
      <w:r>
        <w:rPr>
          <w:rFonts w:hint="eastAsia" w:ascii="Times New Roman" w:hAnsi="Times New Roman"/>
          <w:sz w:val="28"/>
          <w:szCs w:val="28"/>
        </w:rPr>
        <w:t>-ICC</w:t>
      </w:r>
      <w:r>
        <w:rPr>
          <w:rFonts w:ascii="Times New Roman" w:hAnsi="Times New Roman"/>
          <w:sz w:val="28"/>
          <w:szCs w:val="28"/>
        </w:rPr>
        <w:t xml:space="preserve">: </w:t>
      </w:r>
      <w:r>
        <w:rPr>
          <w:rFonts w:ascii="Times New Roman" w:hAnsi="Times New Roman" w:cs="Times New Roman"/>
          <w:sz w:val="28"/>
          <w:szCs w:val="28"/>
        </w:rPr>
        <w:t>Combined hepatocellular intrahepatic cholangiocarcinoma</w:t>
      </w:r>
    </w:p>
    <w:p>
      <w:pPr>
        <w:widowControl/>
        <w:spacing w:after="150" w:line="210" w:lineRule="atLeast"/>
        <w:ind w:left="160" w:leftChars="-57" w:hanging="280" w:hangingChars="100"/>
        <w:rPr>
          <w:rFonts w:ascii="Times New Roman" w:hAnsi="Times New Roman"/>
          <w:sz w:val="28"/>
          <w:szCs w:val="28"/>
        </w:rPr>
      </w:pPr>
      <w:r>
        <w:rPr>
          <w:rFonts w:ascii="Times New Roman" w:hAnsi="Times New Roman"/>
          <w:sz w:val="28"/>
          <w:szCs w:val="28"/>
        </w:rPr>
        <w:t>MVI:</w:t>
      </w:r>
      <w:r>
        <w:rPr>
          <w:rFonts w:ascii="Times New Roman" w:hAnsi="Times New Roman"/>
          <w:color w:val="000000"/>
          <w:sz w:val="28"/>
          <w:szCs w:val="28"/>
        </w:rPr>
        <w:t xml:space="preserve"> </w:t>
      </w:r>
      <w:r>
        <w:rPr>
          <w:rFonts w:ascii="Times New Roman" w:hAnsi="Times New Roman"/>
          <w:sz w:val="28"/>
          <w:szCs w:val="28"/>
        </w:rPr>
        <w:t xml:space="preserve">microvascular invasion   </w:t>
      </w:r>
      <w:r>
        <w:rPr>
          <w:rFonts w:hint="eastAsia" w:ascii="Times New Roman" w:hAnsi="Times New Roman"/>
          <w:sz w:val="28"/>
          <w:szCs w:val="28"/>
        </w:rPr>
        <w:t>CEA</w:t>
      </w:r>
      <w:r>
        <w:rPr>
          <w:rFonts w:ascii="Times New Roman" w:hAnsi="Times New Roman"/>
          <w:sz w:val="28"/>
          <w:szCs w:val="28"/>
        </w:rPr>
        <w:t xml:space="preserve">: </w:t>
      </w:r>
      <w:r>
        <w:rPr>
          <w:rFonts w:hint="eastAsia" w:ascii="Times New Roman" w:hAnsi="Times New Roman"/>
          <w:sz w:val="28"/>
          <w:szCs w:val="28"/>
        </w:rPr>
        <w:t>Carcinoembryonic antigen</w:t>
      </w:r>
      <w:r>
        <w:rPr>
          <w:rFonts w:ascii="Times New Roman" w:hAnsi="Times New Roman"/>
          <w:sz w:val="28"/>
          <w:szCs w:val="28"/>
        </w:rPr>
        <w:t xml:space="preserve">           </w:t>
      </w:r>
    </w:p>
    <w:p>
      <w:pPr>
        <w:widowControl/>
        <w:spacing w:after="150" w:line="210" w:lineRule="atLeast"/>
        <w:ind w:left="160" w:leftChars="-57" w:hanging="280" w:hangingChars="100"/>
        <w:rPr>
          <w:rFonts w:ascii="Times New Roman" w:hAnsi="Times New Roman" w:cs="Times New Roman"/>
          <w:sz w:val="28"/>
          <w:szCs w:val="28"/>
        </w:rPr>
      </w:pPr>
      <w:r>
        <w:rPr>
          <w:rStyle w:val="11"/>
          <w:rFonts w:ascii="Times New Roman" w:hAnsi="Times New Roman" w:eastAsia="幼圆"/>
          <w:b w:val="0"/>
          <w:sz w:val="28"/>
          <w:szCs w:val="28"/>
        </w:rPr>
        <w:t>AFP: alpha-fetoprotein</w:t>
      </w:r>
      <w:r>
        <w:rPr>
          <w:rStyle w:val="11"/>
          <w:rFonts w:hint="eastAsia" w:ascii="Times New Roman" w:hAnsi="Times New Roman" w:eastAsia="幼圆"/>
          <w:b w:val="0"/>
          <w:sz w:val="28"/>
          <w:szCs w:val="28"/>
        </w:rPr>
        <w:t xml:space="preserve">        </w:t>
      </w:r>
      <w:r>
        <w:rPr>
          <w:rFonts w:ascii="Times New Roman" w:hAnsi="Times New Roman"/>
          <w:sz w:val="28"/>
          <w:szCs w:val="28"/>
        </w:rPr>
        <w:t xml:space="preserve">DCE: dynamic contrast enhanced  </w:t>
      </w:r>
    </w:p>
    <w:p>
      <w:pPr>
        <w:pStyle w:val="2"/>
        <w:spacing w:before="0" w:beforeAutospacing="0" w:after="240" w:afterAutospacing="0" w:line="480" w:lineRule="auto"/>
        <w:jc w:val="both"/>
        <w:rPr>
          <w:rFonts w:hint="default" w:ascii="Times New Roman" w:hAnsi="Times New Roman" w:eastAsia="Lora"/>
          <w:color w:val="333333"/>
          <w:sz w:val="28"/>
          <w:szCs w:val="28"/>
        </w:rPr>
      </w:pPr>
    </w:p>
    <w:p>
      <w:pPr>
        <w:pStyle w:val="2"/>
        <w:spacing w:before="0" w:beforeAutospacing="0" w:after="240" w:afterAutospacing="0" w:line="480" w:lineRule="auto"/>
        <w:jc w:val="both"/>
        <w:rPr>
          <w:rFonts w:hint="default" w:ascii="Times New Roman" w:hAnsi="Times New Roman" w:eastAsia="Lora"/>
          <w:color w:val="333333"/>
          <w:sz w:val="28"/>
          <w:szCs w:val="28"/>
        </w:rPr>
      </w:pPr>
      <w:r>
        <w:rPr>
          <w:rFonts w:hint="default" w:ascii="Times New Roman" w:hAnsi="Times New Roman" w:eastAsia="Lora"/>
          <w:color w:val="333333"/>
          <w:sz w:val="28"/>
          <w:szCs w:val="28"/>
        </w:rPr>
        <w:t>Declarations</w:t>
      </w:r>
    </w:p>
    <w:p>
      <w:pPr>
        <w:widowControl/>
        <w:spacing w:line="360" w:lineRule="auto"/>
        <w:jc w:val="left"/>
      </w:pPr>
      <w:r>
        <w:rPr>
          <w:rFonts w:ascii="Times New Roman" w:hAnsi="Times New Roman" w:eastAsia="宋体" w:cs="Times New Roman"/>
          <w:b/>
          <w:color w:val="000000"/>
          <w:kern w:val="0"/>
          <w:sz w:val="28"/>
          <w:szCs w:val="28"/>
          <w:lang w:bidi="ar"/>
        </w:rPr>
        <w:t xml:space="preserve">Ethics approval and consent to participation </w:t>
      </w:r>
    </w:p>
    <w:p>
      <w:pPr>
        <w:ind w:firstLine="560" w:firstLineChars="200"/>
        <w:jc w:val="left"/>
        <w:rPr>
          <w:rFonts w:ascii="Times New Roman" w:hAnsi="Times New Roman" w:cs="Times New Roman"/>
          <w:sz w:val="28"/>
          <w:szCs w:val="28"/>
        </w:rPr>
      </w:pPr>
      <w:r>
        <w:rPr>
          <w:rFonts w:ascii="Times New Roman" w:hAnsi="Times New Roman" w:cs="Times New Roman"/>
          <w:sz w:val="28"/>
          <w:szCs w:val="28"/>
        </w:rPr>
        <w:t>The retrospective study was approved by the ethics committee</w:t>
      </w:r>
      <w:r>
        <w:rPr>
          <w:rFonts w:hint="eastAsia" w:ascii="Times New Roman" w:hAnsi="Times New Roman" w:cs="Times New Roman"/>
          <w:sz w:val="28"/>
          <w:szCs w:val="28"/>
        </w:rPr>
        <w:t xml:space="preserve"> of Ganzhou People</w:t>
      </w:r>
      <w:r>
        <w:rPr>
          <w:rFonts w:ascii="Times New Roman" w:hAnsi="Times New Roman" w:cs="Times New Roman"/>
          <w:sz w:val="28"/>
          <w:szCs w:val="28"/>
        </w:rPr>
        <w:t>’</w:t>
      </w:r>
      <w:r>
        <w:rPr>
          <w:rFonts w:hint="eastAsia" w:ascii="Times New Roman" w:hAnsi="Times New Roman" w:cs="Times New Roman"/>
          <w:sz w:val="28"/>
          <w:szCs w:val="28"/>
        </w:rPr>
        <w:t>s Hospital,</w:t>
      </w:r>
      <w:r>
        <w:rPr>
          <w:rFonts w:ascii="Times New Roman" w:hAnsi="Times New Roman" w:cs="Times New Roman"/>
          <w:sz w:val="28"/>
          <w:szCs w:val="28"/>
        </w:rPr>
        <w:t xml:space="preserve"> and the requirement for signed informed consent was waived</w:t>
      </w:r>
      <w:r>
        <w:rPr>
          <w:rFonts w:hint="eastAsia" w:ascii="Times New Roman" w:hAnsi="Times New Roman" w:cs="Times New Roman"/>
          <w:sz w:val="28"/>
          <w:szCs w:val="28"/>
        </w:rPr>
        <w:t>. We confirm that all methods were performed in accordance with the relevant guidelines.</w:t>
      </w:r>
    </w:p>
    <w:p>
      <w:pPr>
        <w:jc w:val="left"/>
        <w:rPr>
          <w:rFonts w:ascii="Times New Roman" w:hAnsi="Times New Roman" w:cs="Times New Roman"/>
          <w:sz w:val="28"/>
          <w:szCs w:val="28"/>
        </w:rPr>
      </w:pPr>
    </w:p>
    <w:p>
      <w:pPr>
        <w:pStyle w:val="7"/>
        <w:spacing w:beforeAutospacing="0" w:afterAutospacing="0" w:line="360" w:lineRule="auto"/>
        <w:rPr>
          <w:rFonts w:ascii="Times New Roman" w:hAnsi="Times New Roman"/>
          <w:b/>
          <w:color w:val="000000"/>
        </w:rPr>
      </w:pPr>
      <w:r>
        <w:rPr>
          <w:rFonts w:ascii="Times New Roman" w:hAnsi="Times New Roman"/>
          <w:b/>
          <w:iCs/>
          <w:sz w:val="28"/>
          <w:szCs w:val="28"/>
        </w:rPr>
        <w:t xml:space="preserve">Consent </w:t>
      </w:r>
      <w:r>
        <w:rPr>
          <w:rFonts w:hint="eastAsia" w:ascii="Times New Roman" w:hAnsi="Times New Roman"/>
          <w:b/>
          <w:iCs/>
          <w:sz w:val="28"/>
          <w:szCs w:val="28"/>
        </w:rPr>
        <w:t>for</w:t>
      </w:r>
      <w:r>
        <w:rPr>
          <w:rFonts w:ascii="Times New Roman" w:hAnsi="Times New Roman"/>
          <w:b/>
          <w:iCs/>
          <w:sz w:val="28"/>
          <w:szCs w:val="28"/>
        </w:rPr>
        <w:t xml:space="preserve"> publishing</w:t>
      </w:r>
    </w:p>
    <w:p>
      <w:pPr>
        <w:pStyle w:val="7"/>
        <w:spacing w:beforeAutospacing="0" w:afterAutospacing="0" w:line="360" w:lineRule="auto"/>
        <w:rPr>
          <w:rFonts w:ascii="Times New Roman" w:hAnsi="Times New Roman"/>
          <w:kern w:val="2"/>
          <w:sz w:val="28"/>
          <w:szCs w:val="28"/>
        </w:rPr>
      </w:pPr>
      <w:r>
        <w:rPr>
          <w:rFonts w:ascii="Times New Roman" w:hAnsi="Times New Roman"/>
          <w:kern w:val="2"/>
          <w:sz w:val="28"/>
          <w:szCs w:val="28"/>
        </w:rPr>
        <w:t>Not applicable.</w:t>
      </w:r>
    </w:p>
    <w:p>
      <w:pPr>
        <w:pStyle w:val="7"/>
        <w:spacing w:beforeAutospacing="0" w:afterAutospacing="0" w:line="360" w:lineRule="auto"/>
        <w:rPr>
          <w:rFonts w:ascii="Times New Roman" w:hAnsi="Times New Roman"/>
          <w:color w:val="000000"/>
        </w:rPr>
      </w:pPr>
    </w:p>
    <w:p>
      <w:pPr>
        <w:spacing w:line="360" w:lineRule="auto"/>
        <w:contextualSpacing/>
        <w:outlineLvl w:val="0"/>
        <w:rPr>
          <w:rFonts w:ascii="Times New Roman" w:hAnsi="Times New Roman" w:cs="Times New Roman"/>
          <w:b/>
          <w:iCs/>
          <w:kern w:val="0"/>
          <w:sz w:val="28"/>
          <w:szCs w:val="28"/>
        </w:rPr>
      </w:pPr>
      <w:r>
        <w:rPr>
          <w:rFonts w:ascii="Times New Roman" w:hAnsi="Times New Roman" w:cs="Times New Roman"/>
          <w:b/>
          <w:iCs/>
          <w:kern w:val="0"/>
          <w:sz w:val="28"/>
          <w:szCs w:val="28"/>
        </w:rPr>
        <w:t>Availability of data and materials</w:t>
      </w:r>
    </w:p>
    <w:p>
      <w:pPr>
        <w:pStyle w:val="7"/>
        <w:spacing w:beforeAutospacing="0" w:afterAutospacing="0" w:line="360" w:lineRule="auto"/>
        <w:rPr>
          <w:rFonts w:ascii="Times New Roman" w:hAnsi="Times New Roman"/>
          <w:kern w:val="2"/>
          <w:sz w:val="28"/>
          <w:szCs w:val="28"/>
        </w:rPr>
      </w:pPr>
      <w:r>
        <w:rPr>
          <w:rFonts w:ascii="Times New Roman" w:hAnsi="Times New Roman"/>
          <w:kern w:val="2"/>
          <w:sz w:val="28"/>
          <w:szCs w:val="28"/>
        </w:rPr>
        <w:t>Data to replicate findings are in the Figures and Tables of the main paper. Due to patient privacy protection, any additional materials of the study are only available upon individual request directed to the corresponding author.</w:t>
      </w:r>
    </w:p>
    <w:p>
      <w:pPr>
        <w:pStyle w:val="7"/>
        <w:spacing w:beforeAutospacing="0" w:afterAutospacing="0" w:line="360" w:lineRule="auto"/>
        <w:rPr>
          <w:rFonts w:ascii="Times New Roman" w:hAnsi="Times New Roman"/>
          <w:kern w:val="2"/>
          <w:sz w:val="28"/>
          <w:szCs w:val="28"/>
        </w:rPr>
      </w:pPr>
    </w:p>
    <w:p>
      <w:pPr>
        <w:pStyle w:val="7"/>
        <w:spacing w:beforeAutospacing="0" w:afterAutospacing="0" w:line="360" w:lineRule="auto"/>
        <w:rPr>
          <w:rFonts w:ascii="Times New Roman" w:hAnsi="Times New Roman"/>
          <w:b/>
          <w:color w:val="000000"/>
        </w:rPr>
      </w:pPr>
      <w:r>
        <w:rPr>
          <w:rFonts w:ascii="Times New Roman" w:hAnsi="Times New Roman"/>
          <w:b/>
          <w:iCs/>
          <w:sz w:val="28"/>
          <w:szCs w:val="28"/>
        </w:rPr>
        <w:t>Competing interests</w:t>
      </w:r>
    </w:p>
    <w:p>
      <w:pPr>
        <w:pStyle w:val="7"/>
        <w:spacing w:beforeAutospacing="0" w:afterAutospacing="0" w:line="360" w:lineRule="auto"/>
        <w:rPr>
          <w:rFonts w:ascii="Times New Roman" w:hAnsi="Times New Roman"/>
          <w:kern w:val="2"/>
          <w:sz w:val="28"/>
          <w:szCs w:val="28"/>
        </w:rPr>
      </w:pPr>
      <w:r>
        <w:rPr>
          <w:rFonts w:ascii="Times New Roman" w:hAnsi="Times New Roman"/>
          <w:kern w:val="2"/>
          <w:sz w:val="28"/>
          <w:szCs w:val="28"/>
        </w:rPr>
        <w:t xml:space="preserve">The authors declare that </w:t>
      </w:r>
      <w:r>
        <w:rPr>
          <w:rFonts w:hint="eastAsia" w:ascii="Times New Roman" w:hAnsi="Times New Roman"/>
          <w:kern w:val="2"/>
          <w:sz w:val="28"/>
          <w:szCs w:val="28"/>
        </w:rPr>
        <w:t xml:space="preserve">there is no conflict of interest regarding </w:t>
      </w:r>
      <w:r>
        <w:rPr>
          <w:rFonts w:ascii="Times New Roman" w:hAnsi="Times New Roman"/>
          <w:kern w:val="2"/>
          <w:sz w:val="28"/>
          <w:szCs w:val="28"/>
        </w:rPr>
        <w:t>the</w:t>
      </w:r>
      <w:r>
        <w:rPr>
          <w:rFonts w:hint="eastAsia" w:ascii="Times New Roman" w:hAnsi="Times New Roman"/>
          <w:kern w:val="2"/>
          <w:sz w:val="28"/>
          <w:szCs w:val="28"/>
        </w:rPr>
        <w:t xml:space="preserve"> publication of this paper.</w:t>
      </w:r>
    </w:p>
    <w:p>
      <w:pPr>
        <w:pStyle w:val="7"/>
        <w:spacing w:beforeAutospacing="0" w:afterAutospacing="0" w:line="360" w:lineRule="auto"/>
        <w:rPr>
          <w:rFonts w:ascii="Times New Roman" w:hAnsi="Times New Roman"/>
          <w:kern w:val="2"/>
          <w:sz w:val="28"/>
          <w:szCs w:val="28"/>
        </w:rPr>
      </w:pPr>
    </w:p>
    <w:p>
      <w:pPr>
        <w:widowControl/>
        <w:spacing w:line="360" w:lineRule="auto"/>
        <w:jc w:val="left"/>
        <w:rPr>
          <w:rFonts w:ascii="Times New Roman" w:hAnsi="Times New Roman" w:eastAsia="宋体" w:cs="Times New Roman"/>
          <w:b/>
          <w:color w:val="000000"/>
          <w:kern w:val="0"/>
          <w:sz w:val="28"/>
          <w:szCs w:val="28"/>
          <w:lang w:bidi="ar"/>
        </w:rPr>
      </w:pPr>
      <w:r>
        <w:rPr>
          <w:rFonts w:ascii="Times New Roman" w:hAnsi="Times New Roman" w:eastAsia="宋体" w:cs="Times New Roman"/>
          <w:b/>
          <w:color w:val="000000"/>
          <w:kern w:val="0"/>
          <w:sz w:val="28"/>
          <w:szCs w:val="28"/>
          <w:lang w:bidi="ar"/>
        </w:rPr>
        <w:t>Funding</w:t>
      </w:r>
    </w:p>
    <w:p>
      <w:pPr>
        <w:widowControl/>
        <w:spacing w:line="480" w:lineRule="auto"/>
        <w:jc w:val="left"/>
        <w:rPr>
          <w:rFonts w:ascii="Times New Roman" w:hAnsi="Times New Roman" w:cs="Times New Roman"/>
          <w:sz w:val="28"/>
          <w:szCs w:val="28"/>
        </w:rPr>
      </w:pPr>
      <w:r>
        <w:rPr>
          <w:rFonts w:ascii="Times New Roman" w:hAnsi="Times New Roman" w:cs="Times New Roman"/>
          <w:sz w:val="28"/>
          <w:szCs w:val="28"/>
        </w:rPr>
        <w:t>This work was supported by the Natural Science Foundation of Guangdong Province (2018A030313951),</w:t>
      </w:r>
      <w:r>
        <w:rPr>
          <w:rFonts w:hint="eastAsia" w:ascii="Times New Roman" w:hAnsi="Times New Roman" w:cs="Times New Roman"/>
          <w:sz w:val="28"/>
          <w:szCs w:val="28"/>
        </w:rPr>
        <w:t xml:space="preserve"> </w:t>
      </w:r>
      <w:r>
        <w:rPr>
          <w:rFonts w:ascii="Times New Roman" w:hAnsi="Times New Roman" w:cs="Times New Roman"/>
          <w:sz w:val="28"/>
          <w:szCs w:val="28"/>
        </w:rPr>
        <w:t>the science and technology plan project</w:t>
      </w:r>
      <w:r>
        <w:rPr>
          <w:rFonts w:hint="eastAsia" w:ascii="Times New Roman" w:hAnsi="Times New Roman" w:cs="Times New Roman"/>
          <w:sz w:val="28"/>
          <w:szCs w:val="28"/>
        </w:rPr>
        <w:t xml:space="preserve"> of Ganzhou </w:t>
      </w:r>
      <w:r>
        <w:rPr>
          <w:rFonts w:ascii="Times New Roman" w:hAnsi="Times New Roman" w:cs="Times New Roman"/>
          <w:sz w:val="28"/>
          <w:szCs w:val="28"/>
        </w:rPr>
        <w:t>(</w:t>
      </w:r>
      <w:r>
        <w:rPr>
          <w:rFonts w:hint="eastAsia" w:ascii="Times New Roman" w:hAnsi="Times New Roman" w:cs="Times New Roman"/>
          <w:sz w:val="28"/>
          <w:szCs w:val="28"/>
        </w:rPr>
        <w:t xml:space="preserve">2022--RC1339, </w:t>
      </w:r>
      <w:r>
        <w:rPr>
          <w:rFonts w:ascii="Times New Roman" w:hAnsi="Times New Roman" w:cs="Times New Roman"/>
          <w:sz w:val="28"/>
          <w:szCs w:val="28"/>
        </w:rPr>
        <w:t>2022--RC1349)</w:t>
      </w:r>
      <w:r>
        <w:rPr>
          <w:rFonts w:hint="eastAsia" w:ascii="Times New Roman" w:hAnsi="Times New Roman" w:cs="Times New Roman"/>
          <w:sz w:val="28"/>
          <w:szCs w:val="28"/>
        </w:rPr>
        <w:t>.</w:t>
      </w:r>
    </w:p>
    <w:p>
      <w:pPr>
        <w:pStyle w:val="7"/>
        <w:spacing w:beforeAutospacing="0" w:afterAutospacing="0" w:line="360" w:lineRule="auto"/>
        <w:rPr>
          <w:rFonts w:ascii="Times New Roman" w:hAnsi="Times New Roman"/>
          <w:kern w:val="2"/>
          <w:sz w:val="28"/>
          <w:szCs w:val="28"/>
        </w:rPr>
      </w:pPr>
    </w:p>
    <w:p>
      <w:pPr>
        <w:pStyle w:val="7"/>
        <w:spacing w:beforeAutospacing="0" w:afterAutospacing="0" w:line="360" w:lineRule="auto"/>
        <w:rPr>
          <w:rFonts w:ascii="Times New Roman" w:hAnsi="Times New Roman"/>
          <w:b/>
          <w:color w:val="000000"/>
        </w:rPr>
      </w:pPr>
      <w:r>
        <w:rPr>
          <w:rFonts w:ascii="Times New Roman" w:hAnsi="Times New Roman"/>
          <w:b/>
          <w:iCs/>
          <w:sz w:val="28"/>
          <w:szCs w:val="28"/>
        </w:rPr>
        <w:t>Author’s contributions</w:t>
      </w:r>
    </w:p>
    <w:p>
      <w:pPr>
        <w:pStyle w:val="7"/>
        <w:spacing w:beforeAutospacing="0" w:afterAutospacing="0" w:line="360" w:lineRule="auto"/>
        <w:rPr>
          <w:rFonts w:ascii="Times New Roman" w:hAnsi="Times New Roman"/>
          <w:kern w:val="2"/>
          <w:sz w:val="28"/>
          <w:szCs w:val="28"/>
        </w:rPr>
      </w:pPr>
      <w:r>
        <w:rPr>
          <w:rFonts w:hint="eastAsia" w:ascii="Times New Roman" w:hAnsi="Times New Roman"/>
          <w:kern w:val="2"/>
          <w:sz w:val="28"/>
          <w:szCs w:val="28"/>
        </w:rPr>
        <w:t>ZJL, LL,</w:t>
      </w:r>
      <w:r>
        <w:rPr>
          <w:rFonts w:ascii="Times New Roman" w:hAnsi="Times New Roman"/>
          <w:kern w:val="2"/>
          <w:sz w:val="28"/>
          <w:szCs w:val="28"/>
        </w:rPr>
        <w:t xml:space="preserve"> and </w:t>
      </w:r>
      <w:r>
        <w:rPr>
          <w:rFonts w:hint="eastAsia" w:ascii="Times New Roman" w:hAnsi="Times New Roman"/>
          <w:kern w:val="2"/>
          <w:sz w:val="28"/>
          <w:szCs w:val="28"/>
        </w:rPr>
        <w:t>YPL</w:t>
      </w:r>
      <w:r>
        <w:rPr>
          <w:rFonts w:ascii="Times New Roman" w:hAnsi="Times New Roman"/>
          <w:kern w:val="2"/>
          <w:sz w:val="28"/>
          <w:szCs w:val="28"/>
        </w:rPr>
        <w:t xml:space="preserve"> participated in the study design, evaluated the results, and wrote the first and revised manuscript. </w:t>
      </w:r>
      <w:r>
        <w:rPr>
          <w:rFonts w:hint="eastAsia" w:ascii="Times New Roman" w:hAnsi="Times New Roman"/>
          <w:kern w:val="2"/>
          <w:sz w:val="28"/>
          <w:szCs w:val="28"/>
        </w:rPr>
        <w:t xml:space="preserve">CGF and YPL </w:t>
      </w:r>
      <w:r>
        <w:rPr>
          <w:rFonts w:ascii="Times New Roman" w:hAnsi="Times New Roman"/>
          <w:kern w:val="2"/>
          <w:sz w:val="28"/>
          <w:szCs w:val="28"/>
        </w:rPr>
        <w:t>participated in the study design and provided the</w:t>
      </w:r>
      <w:r>
        <w:rPr>
          <w:rFonts w:hint="eastAsia" w:ascii="Times New Roman" w:hAnsi="Times New Roman"/>
          <w:kern w:val="2"/>
          <w:sz w:val="28"/>
          <w:szCs w:val="28"/>
        </w:rPr>
        <w:t xml:space="preserve"> contrast medium</w:t>
      </w:r>
      <w:r>
        <w:rPr>
          <w:rFonts w:ascii="Times New Roman" w:hAnsi="Times New Roman"/>
          <w:kern w:val="2"/>
          <w:sz w:val="28"/>
          <w:szCs w:val="28"/>
        </w:rPr>
        <w:t xml:space="preserve">. </w:t>
      </w:r>
      <w:r>
        <w:rPr>
          <w:rFonts w:hint="eastAsia" w:ascii="Times New Roman" w:hAnsi="Times New Roman"/>
          <w:kern w:val="2"/>
          <w:sz w:val="28"/>
          <w:szCs w:val="28"/>
        </w:rPr>
        <w:t>LZ, GGQ</w:t>
      </w:r>
      <w:r>
        <w:rPr>
          <w:rFonts w:ascii="Times New Roman" w:hAnsi="Times New Roman"/>
          <w:kern w:val="2"/>
          <w:sz w:val="28"/>
          <w:szCs w:val="28"/>
        </w:rPr>
        <w:t>,</w:t>
      </w:r>
      <w:r>
        <w:rPr>
          <w:rFonts w:hint="eastAsia" w:ascii="Times New Roman" w:hAnsi="Times New Roman"/>
          <w:kern w:val="2"/>
          <w:sz w:val="28"/>
          <w:szCs w:val="28"/>
        </w:rPr>
        <w:t xml:space="preserve"> and NYJ ca</w:t>
      </w:r>
      <w:r>
        <w:rPr>
          <w:rFonts w:ascii="Times New Roman" w:hAnsi="Times New Roman"/>
          <w:kern w:val="2"/>
          <w:sz w:val="28"/>
          <w:szCs w:val="28"/>
        </w:rPr>
        <w:t>rried out the image analysis and revised manuscripts.</w:t>
      </w:r>
      <w:r>
        <w:rPr>
          <w:rFonts w:hint="eastAsia" w:ascii="Times New Roman" w:hAnsi="Times New Roman"/>
          <w:kern w:val="2"/>
          <w:sz w:val="28"/>
          <w:szCs w:val="28"/>
        </w:rPr>
        <w:t xml:space="preserve"> LZ par</w:t>
      </w:r>
      <w:r>
        <w:rPr>
          <w:rFonts w:ascii="Times New Roman" w:hAnsi="Times New Roman"/>
          <w:kern w:val="2"/>
          <w:sz w:val="28"/>
          <w:szCs w:val="28"/>
        </w:rPr>
        <w:t>ticipated in the design of the study and redesigned the data analysis. All authors read and approved the final manuscript.</w:t>
      </w:r>
    </w:p>
    <w:p>
      <w:pPr>
        <w:pStyle w:val="7"/>
        <w:spacing w:beforeAutospacing="0" w:afterAutospacing="0" w:line="360" w:lineRule="auto"/>
        <w:rPr>
          <w:rFonts w:ascii="Times New Roman" w:hAnsi="Times New Roman"/>
          <w:kern w:val="2"/>
          <w:sz w:val="28"/>
          <w:szCs w:val="28"/>
        </w:rPr>
      </w:pPr>
    </w:p>
    <w:p>
      <w:pPr>
        <w:widowControl/>
        <w:spacing w:line="360" w:lineRule="auto"/>
        <w:jc w:val="left"/>
      </w:pPr>
      <w:r>
        <w:rPr>
          <w:rFonts w:ascii="Times New Roman" w:hAnsi="Times New Roman" w:eastAsia="宋体" w:cs="Times New Roman"/>
          <w:b/>
          <w:color w:val="000000"/>
          <w:kern w:val="0"/>
          <w:sz w:val="28"/>
          <w:szCs w:val="28"/>
          <w:lang w:bidi="ar"/>
        </w:rPr>
        <w:t>Acknowledgments</w:t>
      </w:r>
      <w:r>
        <w:rPr>
          <w:rFonts w:ascii="CourierNewPSMT" w:hAnsi="CourierNewPSMT" w:eastAsia="CourierNewPSMT" w:cs="CourierNewPSMT"/>
          <w:color w:val="000000"/>
          <w:kern w:val="0"/>
          <w:sz w:val="20"/>
          <w:szCs w:val="20"/>
          <w:lang w:bidi="ar"/>
        </w:rPr>
        <w:t xml:space="preserve"> </w:t>
      </w:r>
    </w:p>
    <w:p>
      <w:pPr>
        <w:pStyle w:val="3"/>
        <w:spacing w:after="240" w:line="21" w:lineRule="atLeast"/>
        <w:rPr>
          <w:rFonts w:ascii="Times New Roman" w:hAnsi="Times New Roman" w:cs="Times New Roman"/>
          <w:sz w:val="24"/>
        </w:rPr>
      </w:pPr>
      <w:r>
        <w:rPr>
          <w:rFonts w:hint="default" w:ascii="Times New Roman" w:hAnsi="Times New Roman" w:eastAsiaTheme="minorEastAsia"/>
          <w:b w:val="0"/>
          <w:kern w:val="2"/>
          <w:sz w:val="28"/>
          <w:szCs w:val="28"/>
        </w:rPr>
        <w:t xml:space="preserve">We would like to thank the whole </w:t>
      </w:r>
      <w:r>
        <w:rPr>
          <w:rFonts w:ascii="Times New Roman" w:hAnsi="Times New Roman" w:eastAsiaTheme="minorEastAsia"/>
          <w:b w:val="0"/>
          <w:kern w:val="2"/>
          <w:sz w:val="28"/>
          <w:szCs w:val="28"/>
        </w:rPr>
        <w:t>study</w:t>
      </w:r>
      <w:r>
        <w:rPr>
          <w:rFonts w:hint="default" w:ascii="Times New Roman" w:hAnsi="Times New Roman" w:eastAsiaTheme="minorEastAsia"/>
          <w:b w:val="0"/>
          <w:kern w:val="2"/>
          <w:sz w:val="28"/>
          <w:szCs w:val="28"/>
        </w:rPr>
        <w:t xml:space="preserve"> team at </w:t>
      </w:r>
      <w:r>
        <w:rPr>
          <w:rFonts w:ascii="Times New Roman" w:hAnsi="Times New Roman" w:eastAsiaTheme="minorEastAsia"/>
          <w:b w:val="0"/>
          <w:kern w:val="2"/>
          <w:sz w:val="28"/>
          <w:szCs w:val="28"/>
        </w:rPr>
        <w:t>our</w:t>
      </w:r>
      <w:r>
        <w:rPr>
          <w:rFonts w:hint="default" w:ascii="Times New Roman" w:hAnsi="Times New Roman" w:eastAsiaTheme="minorEastAsia"/>
          <w:b w:val="0"/>
          <w:kern w:val="2"/>
          <w:sz w:val="28"/>
          <w:szCs w:val="28"/>
        </w:rPr>
        <w:t xml:space="preserve"> Hospital</w:t>
      </w:r>
      <w:r>
        <w:rPr>
          <w:rFonts w:ascii="Times New Roman" w:hAnsi="Times New Roman" w:eastAsiaTheme="minorEastAsia"/>
          <w:b w:val="0"/>
          <w:kern w:val="2"/>
          <w:sz w:val="28"/>
          <w:szCs w:val="28"/>
        </w:rPr>
        <w:t>s</w:t>
      </w:r>
      <w:r>
        <w:rPr>
          <w:rFonts w:hint="default" w:ascii="Times New Roman" w:hAnsi="Times New Roman" w:eastAsiaTheme="minorEastAsia"/>
          <w:b w:val="0"/>
          <w:kern w:val="2"/>
          <w:sz w:val="28"/>
          <w:szCs w:val="28"/>
        </w:rPr>
        <w:t>, for continuous support.</w:t>
      </w:r>
    </w:p>
    <w:p>
      <w:pPr>
        <w:jc w:val="left"/>
        <w:rPr>
          <w:rFonts w:ascii="Times New Roman" w:hAnsi="Times New Roman" w:cs="Times New Roman"/>
          <w:sz w:val="24"/>
        </w:rPr>
      </w:pPr>
    </w:p>
    <w:p>
      <w:pPr>
        <w:spacing w:line="360" w:lineRule="auto"/>
        <w:rPr>
          <w:rFonts w:ascii="Times New Roman" w:hAnsi="Times New Roman" w:cs="Times New Roman"/>
          <w:sz w:val="24"/>
        </w:rPr>
      </w:pPr>
    </w:p>
    <w:p>
      <w:pPr>
        <w:spacing w:line="360" w:lineRule="auto"/>
        <w:rPr>
          <w:rFonts w:ascii="Times New Roman" w:hAnsi="Times New Roman" w:cs="Times New Roman"/>
          <w:sz w:val="24"/>
        </w:rPr>
      </w:pPr>
    </w:p>
    <w:p>
      <w:pPr>
        <w:jc w:val="left"/>
        <w:rPr>
          <w:rFonts w:ascii="Times New Roman" w:hAnsi="Times New Roman" w:cs="Times New Roman"/>
          <w:sz w:val="28"/>
          <w:szCs w:val="28"/>
        </w:rPr>
      </w:pPr>
      <w:r>
        <w:rPr>
          <w:rFonts w:ascii="Times New Roman" w:hAnsi="Times New Roman" w:cs="Times New Roman"/>
          <w:sz w:val="28"/>
          <w:szCs w:val="28"/>
        </w:rPr>
        <w:t>Figure legends:</w:t>
      </w:r>
    </w:p>
    <w:p>
      <w:pPr>
        <w:spacing w:line="360" w:lineRule="auto"/>
        <w:rPr>
          <w:rFonts w:ascii="Times New Roman" w:hAnsi="Times New Roman" w:cs="Times New Roman"/>
          <w:bCs/>
          <w:color w:val="000000"/>
          <w:sz w:val="24"/>
          <w:lang w:bidi="ar"/>
        </w:rPr>
      </w:pPr>
      <w:r>
        <w:rPr>
          <w:rFonts w:ascii="Times New Roman" w:hAnsi="Times New Roman" w:eastAsia="宋体" w:cs="Times New Roman"/>
          <w:sz w:val="24"/>
        </w:rPr>
        <w:t>Fig. 1 c</w:t>
      </w:r>
      <w:r>
        <w:rPr>
          <w:rFonts w:ascii="Times New Roman" w:hAnsi="Times New Roman" w:eastAsia="Times-Roman" w:cs="Times New Roman"/>
          <w:sz w:val="24"/>
        </w:rPr>
        <w:t>HCC</w:t>
      </w:r>
      <w:r>
        <w:rPr>
          <w:rFonts w:ascii="Times New Roman" w:hAnsi="Times New Roman" w:eastAsia="宋体" w:cs="Times New Roman"/>
          <w:sz w:val="24"/>
        </w:rPr>
        <w:t>-ICC</w:t>
      </w:r>
      <w:r>
        <w:rPr>
          <w:rFonts w:ascii="Times New Roman" w:hAnsi="Times New Roman" w:eastAsia="Times-Roman" w:cs="Times New Roman"/>
          <w:sz w:val="24"/>
        </w:rPr>
        <w:t xml:space="preserve"> </w:t>
      </w:r>
      <w:r>
        <w:rPr>
          <w:rFonts w:ascii="Times New Roman" w:hAnsi="Times New Roman" w:cs="Times New Roman"/>
          <w:color w:val="000000"/>
          <w:sz w:val="24"/>
          <w:lang w:bidi="ar"/>
        </w:rPr>
        <w:t>presenting</w:t>
      </w:r>
      <w:r>
        <w:rPr>
          <w:rFonts w:ascii="Times New Roman" w:hAnsi="Times New Roman" w:eastAsia="Times-Roman" w:cs="Times New Roman"/>
          <w:sz w:val="24"/>
        </w:rPr>
        <w:t xml:space="preserve"> with MVI in a </w:t>
      </w:r>
      <w:r>
        <w:rPr>
          <w:rFonts w:ascii="Times New Roman" w:hAnsi="Times New Roman" w:eastAsia="宋体" w:cs="Times New Roman"/>
          <w:sz w:val="24"/>
        </w:rPr>
        <w:t>48</w:t>
      </w:r>
      <w:r>
        <w:rPr>
          <w:rFonts w:ascii="Times New Roman" w:hAnsi="Times New Roman" w:eastAsia="Times-Roman" w:cs="Times New Roman"/>
          <w:sz w:val="24"/>
        </w:rPr>
        <w:t>-year-old man. (A)</w:t>
      </w:r>
      <w:r>
        <w:rPr>
          <w:rFonts w:ascii="Times New Roman" w:hAnsi="Times New Roman" w:cs="Times New Roman"/>
          <w:sz w:val="24"/>
        </w:rPr>
        <w:t xml:space="preserve"> A plain CT scan showed an irregular low-density mass; (B-D) </w:t>
      </w:r>
      <w:r>
        <w:rPr>
          <w:rFonts w:ascii="Times New Roman" w:hAnsi="Times New Roman" w:cs="Times New Roman"/>
          <w:color w:val="000000"/>
          <w:sz w:val="24"/>
          <w:lang w:bidi="ar"/>
        </w:rPr>
        <w:t>Early enhancement of the mass was observed during the arterial phase of CT enhancement, followed by rapid clearance of the contrast agent from the mass. Hepatic capsule retraction (green arrow) and peritumoral enhancement (red arrow) were observed.</w:t>
      </w:r>
    </w:p>
    <w:p>
      <w:pPr>
        <w:spacing w:line="360" w:lineRule="auto"/>
        <w:rPr>
          <w:rFonts w:ascii="Times New Roman" w:hAnsi="Times New Roman" w:cs="Times New Roman"/>
          <w:sz w:val="24"/>
        </w:rPr>
      </w:pPr>
    </w:p>
    <w:p>
      <w:pPr>
        <w:jc w:val="left"/>
        <w:rPr>
          <w:sz w:val="24"/>
        </w:rPr>
      </w:pPr>
      <w:r>
        <w:rPr>
          <w:rFonts w:ascii="Times New Roman" w:hAnsi="Times New Roman" w:cs="Times New Roman"/>
          <w:sz w:val="24"/>
        </w:rPr>
        <w:t>Fig. 2 cHCC-ICC presenting with MVI in a 53-year-old woman. (A) A plain CT scan revealed a large low-density mass in the right lobe of the liver, capsule retraction can be seen around the mass (green arrow). (B-D) The arterial phase of the enhanced CT scan showed significantly uneven enhancement and peritumoral enhancement (red arrow).</w:t>
      </w:r>
      <w:r>
        <w:rPr>
          <w:rFonts w:ascii="Times New Roman" w:hAnsi="Times New Roman" w:cs="Times New Roman"/>
          <w:sz w:val="24"/>
        </w:rPr>
        <w:fldChar w:fldCharType="begin"/>
      </w:r>
      <w:r>
        <w:rPr>
          <w:rFonts w:hint="eastAsia" w:ascii="Times New Roman" w:hAnsi="Times New Roman" w:cs="Times New Roman"/>
          <w:sz w:val="24"/>
        </w:rPr>
        <w:instrText xml:space="preserve"> ADDIN NE.Rep</w:instrText>
      </w:r>
      <w:r>
        <w:rPr>
          <w:rFonts w:ascii="Times New Roman" w:hAnsi="Times New Roman" w:cs="Times New Roman"/>
          <w:sz w:val="24"/>
        </w:rPr>
        <w:fldChar w:fldCharType="separate"/>
      </w:r>
    </w:p>
    <w:p>
      <w:pPr>
        <w:jc w:val="left"/>
        <w:rPr>
          <w:sz w:val="24"/>
        </w:rPr>
      </w:pPr>
      <w:r>
        <w:rPr>
          <w:rFonts w:ascii="Times New Roman" w:hAnsi="Times New Roman" w:cs="Times New Roman"/>
          <w:sz w:val="24"/>
        </w:rPr>
        <w:fldChar w:fldCharType="end"/>
      </w:r>
      <w:r>
        <w:rPr>
          <w:rFonts w:ascii="Times New Roman" w:hAnsi="Times New Roman" w:cs="Times New Roman"/>
          <w:sz w:val="24"/>
        </w:rPr>
        <w:fldChar w:fldCharType="begin"/>
      </w:r>
      <w:r>
        <w:rPr>
          <w:rFonts w:hint="eastAsia" w:ascii="Times New Roman" w:hAnsi="Times New Roman" w:cs="Times New Roman"/>
          <w:sz w:val="24"/>
        </w:rPr>
        <w:instrText xml:space="preserve"> ADDIN NE.Bib</w:instrText>
      </w:r>
      <w:r>
        <w:rPr>
          <w:rFonts w:ascii="Times New Roman" w:hAnsi="Times New Roman" w:cs="Times New Roman"/>
          <w:sz w:val="24"/>
        </w:rPr>
        <w:fldChar w:fldCharType="separate"/>
      </w:r>
    </w:p>
    <w:p>
      <w:pPr>
        <w:jc w:val="center"/>
        <w:rPr>
          <w:sz w:val="24"/>
        </w:rPr>
      </w:pPr>
      <w:r>
        <w:rPr>
          <w:rFonts w:hint="eastAsia" w:ascii="宋体" w:hAnsi="宋体"/>
          <w:b/>
          <w:color w:val="000000"/>
          <w:sz w:val="40"/>
        </w:rPr>
        <w:t>参考文献</w:t>
      </w:r>
    </w:p>
    <w:p>
      <w:pPr>
        <w:ind w:left="420" w:hanging="420"/>
        <w:rPr>
          <w:sz w:val="24"/>
        </w:rPr>
      </w:pPr>
      <w:r>
        <w:rPr>
          <w:rFonts w:ascii="Times New Roman" w:hAnsi="Times New Roman" w:eastAsia="Times New Roman"/>
          <w:color w:val="000000"/>
          <w:sz w:val="20"/>
        </w:rPr>
        <w:t xml:space="preserve"> [1]</w:t>
      </w:r>
      <w:r>
        <w:rPr>
          <w:rFonts w:ascii="Times New Roman" w:hAnsi="Times New Roman" w:eastAsia="Times New Roman"/>
          <w:color w:val="000000"/>
          <w:sz w:val="20"/>
        </w:rPr>
        <w:tab/>
      </w:r>
      <w:r>
        <w:rPr>
          <w:rFonts w:ascii="Times New Roman" w:hAnsi="Times New Roman" w:eastAsia="Times New Roman"/>
          <w:color w:val="000000"/>
          <w:sz w:val="20"/>
        </w:rPr>
        <w:t>Seehawer M, D'Artista L, Zender L. The Worst from Both Worlds: cHCC-ICC[J]. Cancer Cell, 2019,35(6):823-824.</w:t>
      </w:r>
    </w:p>
    <w:p>
      <w:pPr>
        <w:ind w:left="420" w:hanging="420"/>
        <w:rPr>
          <w:sz w:val="24"/>
        </w:rPr>
      </w:pPr>
      <w:r>
        <w:rPr>
          <w:rFonts w:ascii="Times New Roman" w:hAnsi="Times New Roman" w:eastAsia="Times New Roman"/>
          <w:color w:val="000000"/>
          <w:sz w:val="20"/>
        </w:rPr>
        <w:t xml:space="preserve"> [2]</w:t>
      </w:r>
      <w:r>
        <w:rPr>
          <w:rFonts w:ascii="Times New Roman" w:hAnsi="Times New Roman" w:eastAsia="Times New Roman"/>
          <w:color w:val="000000"/>
          <w:sz w:val="20"/>
        </w:rPr>
        <w:tab/>
      </w:r>
      <w:r>
        <w:rPr>
          <w:rFonts w:ascii="Times New Roman" w:hAnsi="Times New Roman" w:eastAsia="Times New Roman"/>
          <w:color w:val="000000"/>
          <w:sz w:val="20"/>
        </w:rPr>
        <w:t>Xue R, Chen L, Zhang C, et al. Genomic and Transcriptomic Profiling of Combined Hepatocellular and Intrahepatic  Cholangiocarcinoma Reveals Distinct Molecular Subtypes[J]. Cancer Cell, 2019,35(6):932-947.</w:t>
      </w:r>
    </w:p>
    <w:p>
      <w:pPr>
        <w:ind w:left="420" w:hanging="420"/>
        <w:rPr>
          <w:sz w:val="24"/>
        </w:rPr>
      </w:pPr>
      <w:r>
        <w:rPr>
          <w:rFonts w:ascii="Times New Roman" w:hAnsi="Times New Roman" w:eastAsia="Times New Roman"/>
          <w:color w:val="000000"/>
          <w:sz w:val="20"/>
        </w:rPr>
        <w:t xml:space="preserve"> [3]</w:t>
      </w:r>
      <w:r>
        <w:rPr>
          <w:rFonts w:ascii="Times New Roman" w:hAnsi="Times New Roman" w:eastAsia="Times New Roman"/>
          <w:color w:val="000000"/>
          <w:sz w:val="20"/>
        </w:rPr>
        <w:tab/>
      </w:r>
      <w:r>
        <w:rPr>
          <w:rFonts w:ascii="Times New Roman" w:hAnsi="Times New Roman" w:eastAsia="Times New Roman"/>
          <w:color w:val="000000"/>
          <w:sz w:val="20"/>
        </w:rPr>
        <w:t>Rosenberg N, Van Haele M, Lanton T, et al. Combined hepatocellular-cholangiocarcinoma derives from liver progenitor cells and depends on senescence and IL-6 trans-signaling[J]. J Hepatol, 2022,77(6):1631-1641.</w:t>
      </w:r>
    </w:p>
    <w:p>
      <w:pPr>
        <w:ind w:left="420" w:hanging="420"/>
        <w:rPr>
          <w:sz w:val="24"/>
        </w:rPr>
      </w:pPr>
      <w:r>
        <w:rPr>
          <w:rFonts w:ascii="Times New Roman" w:hAnsi="Times New Roman" w:eastAsia="Times New Roman"/>
          <w:color w:val="000000"/>
          <w:sz w:val="20"/>
        </w:rPr>
        <w:t xml:space="preserve"> [4]</w:t>
      </w:r>
      <w:r>
        <w:rPr>
          <w:rFonts w:ascii="Times New Roman" w:hAnsi="Times New Roman" w:eastAsia="Times New Roman"/>
          <w:color w:val="000000"/>
          <w:sz w:val="20"/>
        </w:rPr>
        <w:tab/>
      </w:r>
      <w:r>
        <w:rPr>
          <w:rFonts w:ascii="Times New Roman" w:hAnsi="Times New Roman" w:eastAsia="Times New Roman"/>
          <w:color w:val="000000"/>
          <w:sz w:val="20"/>
        </w:rPr>
        <w:t>Wakizaka K, Yokoo H, Kamiyama T, et al. Clinical and pathological features of combined hepatocellular-cholangiocarcinoma compared with other liver cancers[J]. J Gastroenterol Hepatol, 2019,34(6):1074-1080.</w:t>
      </w:r>
    </w:p>
    <w:p>
      <w:pPr>
        <w:ind w:left="420" w:hanging="420"/>
        <w:rPr>
          <w:sz w:val="24"/>
        </w:rPr>
      </w:pPr>
      <w:r>
        <w:rPr>
          <w:rFonts w:ascii="Times New Roman" w:hAnsi="Times New Roman" w:eastAsia="Times New Roman"/>
          <w:color w:val="000000"/>
          <w:sz w:val="20"/>
        </w:rPr>
        <w:t xml:space="preserve"> [5]</w:t>
      </w:r>
      <w:r>
        <w:rPr>
          <w:rFonts w:ascii="Times New Roman" w:hAnsi="Times New Roman" w:eastAsia="Times New Roman"/>
          <w:color w:val="000000"/>
          <w:sz w:val="20"/>
        </w:rPr>
        <w:tab/>
      </w:r>
      <w:bookmarkStart w:id="0" w:name="_neb3026CF5A_3DD1_46E2_80A3_8B184F5ABB32"/>
      <w:r>
        <w:rPr>
          <w:rFonts w:ascii="Times New Roman" w:hAnsi="Times New Roman" w:eastAsia="Times New Roman"/>
          <w:color w:val="000000"/>
          <w:sz w:val="20"/>
        </w:rPr>
        <w:t>Di Federico A, Rizzo A, Carloni R, et al. Atezolizumab-bevacizumab plus Y-90 TARE for the treatment of hepatocellular carcinoma: preclinical rationale and ongoing clinical trials[J]. Expert Opin Investig Drugs, 2022,31(4):361-369.</w:t>
      </w:r>
      <w:bookmarkEnd w:id="0"/>
    </w:p>
    <w:p>
      <w:pPr>
        <w:ind w:left="420" w:hanging="420"/>
        <w:rPr>
          <w:sz w:val="24"/>
        </w:rPr>
      </w:pPr>
      <w:r>
        <w:rPr>
          <w:rFonts w:ascii="Times New Roman" w:hAnsi="Times New Roman" w:eastAsia="Times New Roman"/>
          <w:color w:val="000000"/>
          <w:sz w:val="20"/>
        </w:rPr>
        <w:t xml:space="preserve"> [6]</w:t>
      </w:r>
      <w:r>
        <w:rPr>
          <w:rFonts w:ascii="Times New Roman" w:hAnsi="Times New Roman" w:eastAsia="Times New Roman"/>
          <w:color w:val="000000"/>
          <w:sz w:val="20"/>
        </w:rPr>
        <w:tab/>
      </w:r>
      <w:bookmarkStart w:id="1" w:name="_neb23CA3C73_4611_4DFD_A260_32FA769D4150"/>
      <w:r>
        <w:rPr>
          <w:rFonts w:ascii="Times New Roman" w:hAnsi="Times New Roman" w:eastAsia="Times New Roman"/>
          <w:color w:val="000000"/>
          <w:sz w:val="20"/>
        </w:rPr>
        <w:t>Rizzo A, Cusmai A, Gadaleta-Caldarola G, et al. Which role for predictors of response to immune checkpoint inhibitors in hepatocellular carcinoma?[J]. Expert Rev Gastroenterol Hepatol, 2022,16(4):333-339.</w:t>
      </w:r>
      <w:bookmarkEnd w:id="1"/>
    </w:p>
    <w:p>
      <w:pPr>
        <w:ind w:left="420" w:hanging="420"/>
        <w:rPr>
          <w:sz w:val="24"/>
        </w:rPr>
      </w:pPr>
      <w:r>
        <w:rPr>
          <w:rFonts w:ascii="Times New Roman" w:hAnsi="Times New Roman" w:eastAsia="Times New Roman"/>
          <w:color w:val="000000"/>
          <w:sz w:val="20"/>
        </w:rPr>
        <w:t xml:space="preserve"> [7]</w:t>
      </w:r>
      <w:r>
        <w:rPr>
          <w:rFonts w:ascii="Times New Roman" w:hAnsi="Times New Roman" w:eastAsia="Times New Roman"/>
          <w:color w:val="000000"/>
          <w:sz w:val="20"/>
        </w:rPr>
        <w:tab/>
      </w:r>
      <w:bookmarkStart w:id="2" w:name="_nebDF320B22_0B3E_44AA_A0E0_D2F8A9915B0F"/>
      <w:r>
        <w:rPr>
          <w:rFonts w:ascii="Times New Roman" w:hAnsi="Times New Roman" w:eastAsia="Times New Roman"/>
          <w:color w:val="000000"/>
          <w:sz w:val="20"/>
        </w:rPr>
        <w:t>Santoni M, Rizzo A, Kucharz J, et al. Complete remissions following immunotherapy or immuno-oncology combinations in cancer patients: the MOUSEION-03 meta-analysis[J]. Cancer Immunol Immunother, 2023,72(6):1365-1379.</w:t>
      </w:r>
      <w:bookmarkEnd w:id="2"/>
    </w:p>
    <w:p>
      <w:pPr>
        <w:ind w:left="420" w:hanging="420"/>
        <w:rPr>
          <w:sz w:val="24"/>
        </w:rPr>
      </w:pPr>
      <w:r>
        <w:rPr>
          <w:rFonts w:ascii="Times New Roman" w:hAnsi="Times New Roman" w:eastAsia="Times New Roman"/>
          <w:color w:val="000000"/>
          <w:sz w:val="20"/>
        </w:rPr>
        <w:t xml:space="preserve"> [8]</w:t>
      </w:r>
      <w:r>
        <w:rPr>
          <w:rFonts w:ascii="Times New Roman" w:hAnsi="Times New Roman" w:eastAsia="Times New Roman"/>
          <w:color w:val="000000"/>
          <w:sz w:val="20"/>
        </w:rPr>
        <w:tab/>
      </w:r>
      <w:bookmarkStart w:id="3" w:name="_neb0BA1CAD5_3CB7_4630_99F0_282E812F83BA"/>
      <w:r>
        <w:rPr>
          <w:rFonts w:ascii="Times New Roman" w:hAnsi="Times New Roman" w:eastAsia="Times New Roman"/>
          <w:color w:val="000000"/>
          <w:sz w:val="20"/>
        </w:rPr>
        <w:t>Rizzo A, Ricci A D, Brandi G. Systemic adjuvant treatment in hepatocellular carcinoma: tempted to do something rather than nothing[J]. Future Oncol, 2020,16(32):2587-2589.</w:t>
      </w:r>
      <w:bookmarkEnd w:id="3"/>
    </w:p>
    <w:p>
      <w:pPr>
        <w:ind w:left="420" w:hanging="420"/>
        <w:rPr>
          <w:sz w:val="24"/>
        </w:rPr>
      </w:pPr>
      <w:r>
        <w:rPr>
          <w:rFonts w:ascii="Times New Roman" w:hAnsi="Times New Roman" w:eastAsia="Times New Roman"/>
          <w:color w:val="000000"/>
          <w:sz w:val="20"/>
        </w:rPr>
        <w:t xml:space="preserve"> [9]</w:t>
      </w:r>
      <w:r>
        <w:rPr>
          <w:rFonts w:ascii="Times New Roman" w:hAnsi="Times New Roman" w:eastAsia="Times New Roman"/>
          <w:color w:val="000000"/>
          <w:sz w:val="20"/>
        </w:rPr>
        <w:tab/>
      </w:r>
      <w:r>
        <w:rPr>
          <w:rFonts w:ascii="Times New Roman" w:hAnsi="Times New Roman" w:eastAsia="Times New Roman"/>
          <w:color w:val="000000"/>
          <w:sz w:val="20"/>
        </w:rPr>
        <w:t>Tang Y, Xu L, Ren Y, et al. Identification and Validation of a Prognostic Model Based on Three MVI-Related  Genes in Hepatocellular Carcinoma[J]. Int J Biol Sci, 2022,18(1):261-275.</w:t>
      </w:r>
    </w:p>
    <w:p>
      <w:pPr>
        <w:ind w:left="420" w:hanging="420"/>
        <w:rPr>
          <w:sz w:val="24"/>
        </w:rPr>
      </w:pPr>
      <w:r>
        <w:rPr>
          <w:rFonts w:ascii="Times New Roman" w:hAnsi="Times New Roman" w:eastAsia="Times New Roman"/>
          <w:color w:val="000000"/>
          <w:sz w:val="20"/>
        </w:rPr>
        <w:t>[10]</w:t>
      </w:r>
      <w:r>
        <w:rPr>
          <w:rFonts w:ascii="Times New Roman" w:hAnsi="Times New Roman" w:eastAsia="Times New Roman"/>
          <w:color w:val="000000"/>
          <w:sz w:val="20"/>
        </w:rPr>
        <w:tab/>
      </w:r>
      <w:r>
        <w:rPr>
          <w:rFonts w:ascii="Times New Roman" w:hAnsi="Times New Roman" w:eastAsia="Times New Roman"/>
          <w:color w:val="000000"/>
          <w:sz w:val="20"/>
        </w:rPr>
        <w:t>Xu X, Zhang H L, Liu Q P, et al. Radiomic analysis of contrast-enhanced CT predicts microvascular invasion and outcome in hepatocellular carcinoma[J]. J Hepatol, 2019,70(6):1133-1144.</w:t>
      </w:r>
    </w:p>
    <w:p>
      <w:pPr>
        <w:ind w:left="420" w:hanging="420"/>
        <w:rPr>
          <w:sz w:val="24"/>
        </w:rPr>
      </w:pPr>
      <w:r>
        <w:rPr>
          <w:rFonts w:ascii="Times New Roman" w:hAnsi="Times New Roman" w:eastAsia="Times New Roman"/>
          <w:color w:val="000000"/>
          <w:sz w:val="20"/>
        </w:rPr>
        <w:t>[11]</w:t>
      </w:r>
      <w:r>
        <w:rPr>
          <w:rFonts w:ascii="Times New Roman" w:hAnsi="Times New Roman" w:eastAsia="Times New Roman"/>
          <w:color w:val="000000"/>
          <w:sz w:val="20"/>
        </w:rPr>
        <w:tab/>
      </w:r>
      <w:r>
        <w:rPr>
          <w:rFonts w:ascii="Times New Roman" w:hAnsi="Times New Roman" w:eastAsia="Times New Roman"/>
          <w:color w:val="000000"/>
          <w:sz w:val="20"/>
        </w:rPr>
        <w:t>Lv K, Cao X, Du P, et al. Radiomics for the detection of microvascular invasion in hepatocellular carcinoma[J]. World J Gastroenterol, 2022,28(20):2176-2183.</w:t>
      </w:r>
    </w:p>
    <w:p>
      <w:pPr>
        <w:ind w:left="420" w:hanging="420"/>
        <w:rPr>
          <w:sz w:val="24"/>
        </w:rPr>
      </w:pPr>
      <w:r>
        <w:rPr>
          <w:rFonts w:ascii="Times New Roman" w:hAnsi="Times New Roman" w:eastAsia="Times New Roman"/>
          <w:color w:val="000000"/>
          <w:sz w:val="20"/>
        </w:rPr>
        <w:t>[12]</w:t>
      </w:r>
      <w:r>
        <w:rPr>
          <w:rFonts w:ascii="Times New Roman" w:hAnsi="Times New Roman" w:eastAsia="Times New Roman"/>
          <w:color w:val="000000"/>
          <w:sz w:val="20"/>
        </w:rPr>
        <w:tab/>
      </w:r>
      <w:r>
        <w:rPr>
          <w:rFonts w:ascii="Times New Roman" w:hAnsi="Times New Roman" w:eastAsia="Times New Roman"/>
          <w:color w:val="000000"/>
          <w:sz w:val="20"/>
        </w:rPr>
        <w:t>Surov A, Pech M, Omari J, et al. Diffusion-Weighted Imaging Reflects Tumor Grading and Microvascular Invasion in  Hepatocellular Carcinoma[J]. Liver Cancer, 2021,10(1):10-24.</w:t>
      </w:r>
    </w:p>
    <w:p>
      <w:pPr>
        <w:ind w:left="420" w:hanging="420"/>
        <w:rPr>
          <w:sz w:val="24"/>
        </w:rPr>
      </w:pPr>
      <w:r>
        <w:rPr>
          <w:rFonts w:ascii="Times New Roman" w:hAnsi="Times New Roman" w:eastAsia="Times New Roman"/>
          <w:color w:val="000000"/>
          <w:sz w:val="20"/>
        </w:rPr>
        <w:t>[13]</w:t>
      </w:r>
      <w:r>
        <w:rPr>
          <w:rFonts w:ascii="Times New Roman" w:hAnsi="Times New Roman" w:eastAsia="Times New Roman"/>
          <w:color w:val="000000"/>
          <w:sz w:val="20"/>
        </w:rPr>
        <w:tab/>
      </w:r>
      <w:r>
        <w:rPr>
          <w:rFonts w:ascii="Times New Roman" w:hAnsi="Times New Roman" w:eastAsia="Times New Roman"/>
          <w:color w:val="000000"/>
          <w:sz w:val="20"/>
        </w:rPr>
        <w:t>Wang X, Wang W, Ma X, et al. Combined hepatocellular-cholangiocarcinoma: which preoperative clinical data and conventional MRI characteristics have value for the prediction of microvascular invasion and clinical significance?[J]. Eur Radiol, 2020,30(10):5337-5347.</w:t>
      </w:r>
    </w:p>
    <w:p>
      <w:pPr>
        <w:ind w:left="420" w:hanging="420"/>
        <w:rPr>
          <w:sz w:val="24"/>
        </w:rPr>
      </w:pPr>
      <w:r>
        <w:rPr>
          <w:rFonts w:ascii="Times New Roman" w:hAnsi="Times New Roman" w:eastAsia="Times New Roman"/>
          <w:color w:val="000000"/>
          <w:sz w:val="20"/>
        </w:rPr>
        <w:t>[14]</w:t>
      </w:r>
      <w:r>
        <w:rPr>
          <w:rFonts w:ascii="Times New Roman" w:hAnsi="Times New Roman" w:eastAsia="Times New Roman"/>
          <w:color w:val="000000"/>
          <w:sz w:val="20"/>
        </w:rPr>
        <w:tab/>
      </w:r>
      <w:r>
        <w:rPr>
          <w:rFonts w:ascii="Times New Roman" w:hAnsi="Times New Roman" w:eastAsia="Times New Roman"/>
          <w:color w:val="000000"/>
          <w:sz w:val="20"/>
        </w:rPr>
        <w:t>Huang S S, Zuo M X, Xie C M. Combining Preoperative Clinical and Imaging Characteristics to Predict MVI in  Hepatitis B Virus-Related Combined Hepatocellular Carcinoma and  Cholangiocarcinoma[J]. J Pers Med, 2023,13(2).</w:t>
      </w:r>
    </w:p>
    <w:p>
      <w:pPr>
        <w:ind w:left="420" w:hanging="420"/>
        <w:rPr>
          <w:sz w:val="24"/>
        </w:rPr>
      </w:pPr>
      <w:r>
        <w:rPr>
          <w:rFonts w:ascii="Times New Roman" w:hAnsi="Times New Roman" w:eastAsia="Times New Roman"/>
          <w:color w:val="000000"/>
          <w:sz w:val="20"/>
        </w:rPr>
        <w:t>[15]</w:t>
      </w:r>
      <w:r>
        <w:rPr>
          <w:rFonts w:ascii="Times New Roman" w:hAnsi="Times New Roman" w:eastAsia="Times New Roman"/>
          <w:color w:val="000000"/>
          <w:sz w:val="20"/>
        </w:rPr>
        <w:tab/>
      </w:r>
      <w:r>
        <w:rPr>
          <w:rFonts w:ascii="Times New Roman" w:hAnsi="Times New Roman" w:eastAsia="Times New Roman"/>
          <w:color w:val="000000"/>
          <w:sz w:val="20"/>
        </w:rPr>
        <w:t>Yang L, Gu D, Wei J, et al. A Radiomics Nomogram for Preoperative Prediction of Microvascular Invasion in  Hepatocellular Carcinoma[J]. Liver Cancer, 2019,8(5):373-386.</w:t>
      </w:r>
    </w:p>
    <w:p>
      <w:pPr>
        <w:ind w:left="420" w:hanging="420"/>
        <w:rPr>
          <w:sz w:val="24"/>
        </w:rPr>
      </w:pPr>
      <w:r>
        <w:rPr>
          <w:rFonts w:ascii="Times New Roman" w:hAnsi="Times New Roman" w:eastAsia="Times New Roman"/>
          <w:color w:val="000000"/>
          <w:sz w:val="20"/>
        </w:rPr>
        <w:t>[16]</w:t>
      </w:r>
      <w:r>
        <w:rPr>
          <w:rFonts w:ascii="Times New Roman" w:hAnsi="Times New Roman" w:eastAsia="Times New Roman"/>
          <w:color w:val="000000"/>
          <w:sz w:val="20"/>
        </w:rPr>
        <w:tab/>
      </w:r>
      <w:r>
        <w:rPr>
          <w:rFonts w:ascii="Times New Roman" w:hAnsi="Times New Roman" w:eastAsia="Times New Roman"/>
          <w:color w:val="000000"/>
          <w:sz w:val="20"/>
        </w:rPr>
        <w:t>Zhang L, Yu X, Wei W, et al. Prediction of HCC microvascular invasion with gadobenate-enhanced MRI:  correlation with pathology[J]. Eur Radiol, 2020,30(10):5327-5336.</w:t>
      </w:r>
    </w:p>
    <w:p>
      <w:pPr>
        <w:ind w:left="420" w:hanging="420"/>
        <w:rPr>
          <w:sz w:val="24"/>
        </w:rPr>
      </w:pPr>
      <w:r>
        <w:rPr>
          <w:rFonts w:ascii="Times New Roman" w:hAnsi="Times New Roman" w:eastAsia="Times New Roman"/>
          <w:color w:val="000000"/>
          <w:sz w:val="20"/>
        </w:rPr>
        <w:t>[17]</w:t>
      </w:r>
      <w:r>
        <w:rPr>
          <w:rFonts w:ascii="Times New Roman" w:hAnsi="Times New Roman" w:eastAsia="Times New Roman"/>
          <w:color w:val="000000"/>
          <w:sz w:val="20"/>
        </w:rPr>
        <w:tab/>
      </w:r>
      <w:r>
        <w:rPr>
          <w:rFonts w:ascii="Times New Roman" w:hAnsi="Times New Roman" w:eastAsia="Times New Roman"/>
          <w:color w:val="000000"/>
          <w:sz w:val="20"/>
        </w:rPr>
        <w:t>Chen Y, Liu H, Zhang J, et al. Prognostic value and prediction model of microvascular invasion in patients with intrahepatic cholangiocarcinoma: a multicenter study from China[J]. BMC Cancer, 2021,21(1):1299.</w:t>
      </w:r>
    </w:p>
    <w:p>
      <w:pPr>
        <w:ind w:left="420" w:hanging="420"/>
        <w:rPr>
          <w:sz w:val="24"/>
        </w:rPr>
      </w:pPr>
      <w:r>
        <w:rPr>
          <w:rFonts w:ascii="Times New Roman" w:hAnsi="Times New Roman" w:eastAsia="Times New Roman"/>
          <w:color w:val="000000"/>
          <w:sz w:val="20"/>
        </w:rPr>
        <w:t>[18]</w:t>
      </w:r>
      <w:r>
        <w:rPr>
          <w:rFonts w:ascii="Times New Roman" w:hAnsi="Times New Roman" w:eastAsia="Times New Roman"/>
          <w:color w:val="000000"/>
          <w:sz w:val="20"/>
        </w:rPr>
        <w:tab/>
      </w:r>
      <w:r>
        <w:rPr>
          <w:rFonts w:ascii="Times New Roman" w:hAnsi="Times New Roman" w:eastAsia="Times New Roman"/>
          <w:color w:val="000000"/>
          <w:sz w:val="20"/>
        </w:rPr>
        <w:t>Qian X, Lu X, Ma X, et al. A Multi-Parametric Radiomics Nomogram for Preoperative Prediction of  Microvascular Invasion Status in Intrahepatic Cholangiocarcinoma[J]. Front Oncol, 2022,12:838701.</w:t>
      </w:r>
    </w:p>
    <w:p>
      <w:pPr>
        <w:ind w:left="420" w:hanging="420"/>
        <w:rPr>
          <w:sz w:val="24"/>
        </w:rPr>
      </w:pPr>
      <w:r>
        <w:rPr>
          <w:rFonts w:ascii="Times New Roman" w:hAnsi="Times New Roman" w:eastAsia="Times New Roman"/>
          <w:color w:val="000000"/>
          <w:sz w:val="20"/>
        </w:rPr>
        <w:t>[19]</w:t>
      </w:r>
      <w:r>
        <w:rPr>
          <w:rFonts w:ascii="Times New Roman" w:hAnsi="Times New Roman" w:eastAsia="Times New Roman"/>
          <w:color w:val="000000"/>
          <w:sz w:val="20"/>
        </w:rPr>
        <w:tab/>
      </w:r>
      <w:r>
        <w:rPr>
          <w:rFonts w:ascii="Times New Roman" w:hAnsi="Times New Roman" w:eastAsia="Times New Roman"/>
          <w:color w:val="000000"/>
          <w:sz w:val="20"/>
        </w:rPr>
        <w:t>Chen J, He J, Deng M, et al. Clinicopathological, radiologic, and molecular study of 23 combined hepatocellular-cholangiocarcinomas with stem cell features, cholangiolocellular type[J]. Hum Pathol, 2017,64:118-127.</w:t>
      </w:r>
    </w:p>
    <w:p>
      <w:pPr>
        <w:ind w:left="420" w:hanging="420"/>
        <w:rPr>
          <w:sz w:val="24"/>
        </w:rPr>
      </w:pPr>
      <w:r>
        <w:rPr>
          <w:rFonts w:ascii="Times New Roman" w:hAnsi="Times New Roman" w:eastAsia="Times New Roman"/>
          <w:color w:val="000000"/>
          <w:sz w:val="20"/>
        </w:rPr>
        <w:t>[20]</w:t>
      </w:r>
      <w:r>
        <w:rPr>
          <w:rFonts w:ascii="Times New Roman" w:hAnsi="Times New Roman" w:eastAsia="Times New Roman"/>
          <w:color w:val="000000"/>
          <w:sz w:val="20"/>
        </w:rPr>
        <w:tab/>
      </w:r>
      <w:r>
        <w:rPr>
          <w:rFonts w:ascii="Times New Roman" w:hAnsi="Times New Roman" w:eastAsia="Times New Roman"/>
          <w:color w:val="000000"/>
          <w:sz w:val="20"/>
        </w:rPr>
        <w:t>Choi J H, Ro J Y. Combined Hepatocellular-Cholangiocarcinoma: An Update on Pathology and Diagnostic  Approach[J]. Biomedicines, 2022,10(8).</w:t>
      </w:r>
    </w:p>
    <w:p>
      <w:pPr>
        <w:ind w:left="420" w:hanging="420"/>
        <w:rPr>
          <w:sz w:val="24"/>
        </w:rPr>
      </w:pPr>
      <w:r>
        <w:rPr>
          <w:rFonts w:ascii="Times New Roman" w:hAnsi="Times New Roman" w:eastAsia="Times New Roman"/>
          <w:color w:val="000000"/>
          <w:sz w:val="20"/>
        </w:rPr>
        <w:t>[21]</w:t>
      </w:r>
      <w:r>
        <w:rPr>
          <w:rFonts w:ascii="Times New Roman" w:hAnsi="Times New Roman" w:eastAsia="Times New Roman"/>
          <w:color w:val="000000"/>
          <w:sz w:val="20"/>
        </w:rPr>
        <w:tab/>
      </w:r>
      <w:r>
        <w:rPr>
          <w:rFonts w:ascii="Times New Roman" w:hAnsi="Times New Roman" w:eastAsia="Times New Roman"/>
          <w:color w:val="000000"/>
          <w:sz w:val="20"/>
        </w:rPr>
        <w:t>Siripongsakun S, Lee J K, Raman S S, et al. MRI detection of intratumoral fat in hepatocellular carcinoma: potential biomarker for a more favorable prognosis[J]. AJR Am J Roentgenol, 2012,199(5):1018-1025.</w:t>
      </w:r>
    </w:p>
    <w:p>
      <w:pPr>
        <w:ind w:left="420" w:hanging="420"/>
        <w:rPr>
          <w:sz w:val="24"/>
        </w:rPr>
      </w:pPr>
      <w:r>
        <w:rPr>
          <w:rFonts w:ascii="Times New Roman" w:hAnsi="Times New Roman" w:eastAsia="Times New Roman"/>
          <w:color w:val="000000"/>
          <w:sz w:val="20"/>
        </w:rPr>
        <w:t>[22]</w:t>
      </w:r>
      <w:r>
        <w:rPr>
          <w:rFonts w:ascii="Times New Roman" w:hAnsi="Times New Roman" w:eastAsia="Times New Roman"/>
          <w:color w:val="000000"/>
          <w:sz w:val="20"/>
        </w:rPr>
        <w:tab/>
      </w:r>
      <w:r>
        <w:rPr>
          <w:rFonts w:ascii="Times New Roman" w:hAnsi="Times New Roman" w:eastAsia="Times New Roman"/>
          <w:color w:val="000000"/>
          <w:sz w:val="20"/>
        </w:rPr>
        <w:t>Min J H, Kim Y K, Lim S, et al. Prediction of microvascular invasion of hepatocellular carcinomas with gadoxetic acid-enhanced MR imaging: Impact of intra-tumoral fat detected on chemical-shift images[J]. Eur J Radiol, 2015,84(6):1036-1043.</w:t>
      </w:r>
    </w:p>
    <w:p>
      <w:pPr>
        <w:ind w:left="420" w:hanging="420"/>
        <w:rPr>
          <w:sz w:val="24"/>
        </w:rPr>
      </w:pPr>
      <w:r>
        <w:rPr>
          <w:rFonts w:ascii="Times New Roman" w:hAnsi="Times New Roman" w:eastAsia="Times New Roman"/>
          <w:color w:val="000000"/>
          <w:sz w:val="20"/>
        </w:rPr>
        <w:t>[23]</w:t>
      </w:r>
      <w:r>
        <w:rPr>
          <w:rFonts w:ascii="Times New Roman" w:hAnsi="Times New Roman" w:eastAsia="Times New Roman"/>
          <w:color w:val="000000"/>
          <w:sz w:val="20"/>
        </w:rPr>
        <w:tab/>
      </w:r>
      <w:r>
        <w:rPr>
          <w:rFonts w:ascii="Times New Roman" w:hAnsi="Times New Roman" w:eastAsia="Times New Roman"/>
          <w:color w:val="000000"/>
          <w:sz w:val="20"/>
        </w:rPr>
        <w:t>Moro A, Mehta R, Sahara K, et al. The Impact of Preoperative CA19-9 and CEA on Outcomes of Patients with  Intrahepatic Cholangiocarcinoma[J]. Ann Surg Oncol, 2020,27(8):2888-2901.</w:t>
      </w:r>
    </w:p>
    <w:p>
      <w:pPr>
        <w:ind w:left="420" w:hanging="420"/>
        <w:rPr>
          <w:sz w:val="24"/>
        </w:rPr>
      </w:pPr>
      <w:r>
        <w:rPr>
          <w:rFonts w:ascii="Times New Roman" w:hAnsi="Times New Roman" w:eastAsia="Times New Roman"/>
          <w:color w:val="000000"/>
          <w:sz w:val="20"/>
        </w:rPr>
        <w:t>[24]</w:t>
      </w:r>
      <w:r>
        <w:rPr>
          <w:rFonts w:ascii="Times New Roman" w:hAnsi="Times New Roman" w:eastAsia="Times New Roman"/>
          <w:color w:val="000000"/>
          <w:sz w:val="20"/>
        </w:rPr>
        <w:tab/>
      </w:r>
      <w:r>
        <w:rPr>
          <w:rFonts w:ascii="Times New Roman" w:hAnsi="Times New Roman" w:eastAsia="Times New Roman"/>
          <w:color w:val="000000"/>
          <w:sz w:val="20"/>
        </w:rPr>
        <w:t>Loosen S H, Roderburg C, Kauertz K L, et al. CEA but not CA19-9 is an independent prognostic factor in patients undergoing resection of cholangiocarcinoma[J]. Sci Rep, 2017,7(1):16975.</w:t>
      </w:r>
    </w:p>
    <w:p>
      <w:pPr>
        <w:ind w:left="420" w:hanging="420"/>
        <w:rPr>
          <w:sz w:val="24"/>
        </w:rPr>
      </w:pPr>
      <w:r>
        <w:rPr>
          <w:rFonts w:ascii="Times New Roman" w:hAnsi="Times New Roman" w:eastAsia="Times New Roman"/>
          <w:color w:val="000000"/>
          <w:sz w:val="20"/>
        </w:rPr>
        <w:t>[25]</w:t>
      </w:r>
      <w:r>
        <w:rPr>
          <w:rFonts w:ascii="Times New Roman" w:hAnsi="Times New Roman" w:eastAsia="Times New Roman"/>
          <w:color w:val="000000"/>
          <w:sz w:val="20"/>
        </w:rPr>
        <w:tab/>
      </w:r>
      <w:r>
        <w:rPr>
          <w:rFonts w:ascii="Times New Roman" w:hAnsi="Times New Roman" w:eastAsia="Times New Roman"/>
          <w:color w:val="000000"/>
          <w:sz w:val="20"/>
        </w:rPr>
        <w:t>Panick C, Ward R D, Coppa C, et al. Hepatic capsular retraction: An updated MR imaging review[J]. Eur J Radiol, 2019,113:15-23.</w:t>
      </w:r>
    </w:p>
    <w:p>
      <w:pPr>
        <w:ind w:left="420" w:hanging="420"/>
        <w:rPr>
          <w:sz w:val="24"/>
        </w:rPr>
      </w:pPr>
      <w:r>
        <w:rPr>
          <w:rFonts w:ascii="Times New Roman" w:hAnsi="Times New Roman" w:eastAsia="Times New Roman"/>
          <w:color w:val="000000"/>
          <w:sz w:val="20"/>
        </w:rPr>
        <w:t>[26]</w:t>
      </w:r>
      <w:r>
        <w:rPr>
          <w:rFonts w:ascii="Times New Roman" w:hAnsi="Times New Roman" w:eastAsia="Times New Roman"/>
          <w:color w:val="000000"/>
          <w:sz w:val="20"/>
        </w:rPr>
        <w:tab/>
      </w:r>
      <w:r>
        <w:rPr>
          <w:rFonts w:ascii="Times New Roman" w:hAnsi="Times New Roman" w:eastAsia="Times New Roman"/>
          <w:color w:val="000000"/>
          <w:sz w:val="20"/>
        </w:rPr>
        <w:t>Chong H H, Yang L, Sheng R F, et al. Multi-scale and multi-parametric radiomics of gadoxetate disodium-enhanced MRI  predicts microvascular invasion and outcome in patients with solitary hepatocellular carcinoma &lt;/= 5 cm[J]. Eur Radiol, 2021,31(7):4824-4838.</w:t>
      </w:r>
    </w:p>
    <w:p>
      <w:pPr>
        <w:ind w:left="420" w:hanging="420"/>
        <w:rPr>
          <w:sz w:val="24"/>
        </w:rPr>
      </w:pPr>
      <w:r>
        <w:rPr>
          <w:rFonts w:ascii="Times New Roman" w:hAnsi="Times New Roman" w:eastAsia="Times New Roman"/>
          <w:color w:val="000000"/>
          <w:sz w:val="20"/>
        </w:rPr>
        <w:t>[27]</w:t>
      </w:r>
      <w:r>
        <w:rPr>
          <w:rFonts w:ascii="Times New Roman" w:hAnsi="Times New Roman" w:eastAsia="Times New Roman"/>
          <w:color w:val="000000"/>
          <w:sz w:val="20"/>
        </w:rPr>
        <w:tab/>
      </w:r>
      <w:r>
        <w:rPr>
          <w:rFonts w:ascii="Times New Roman" w:hAnsi="Times New Roman" w:eastAsia="Times New Roman"/>
          <w:color w:val="000000"/>
          <w:sz w:val="20"/>
        </w:rPr>
        <w:t>Hong S B, Choi S H, Kim S Y, et al. MRI Features for Predicting Microvascular Invasion of Hepatocellular Carcinoma: A  Systematic Review and Meta-Analysis[J]. Liver Cancer, 2021,10(2):94-106.</w:t>
      </w:r>
    </w:p>
    <w:p>
      <w:pPr>
        <w:ind w:left="420" w:hanging="420"/>
        <w:rPr>
          <w:sz w:val="24"/>
        </w:rPr>
      </w:pPr>
      <w:r>
        <w:rPr>
          <w:rFonts w:ascii="Times New Roman" w:hAnsi="Times New Roman" w:eastAsia="Times New Roman"/>
          <w:color w:val="000000"/>
          <w:sz w:val="20"/>
        </w:rPr>
        <w:t>[28]</w:t>
      </w:r>
      <w:r>
        <w:rPr>
          <w:rFonts w:ascii="Times New Roman" w:hAnsi="Times New Roman" w:eastAsia="Times New Roman"/>
          <w:color w:val="000000"/>
          <w:sz w:val="20"/>
        </w:rPr>
        <w:tab/>
      </w:r>
      <w:r>
        <w:rPr>
          <w:rFonts w:ascii="Times New Roman" w:hAnsi="Times New Roman" w:eastAsia="Times New Roman"/>
          <w:color w:val="000000"/>
          <w:sz w:val="20"/>
        </w:rPr>
        <w:t>Chen J, Ming X, Wang Z, et al. Analysis of the Performance of Gadoxetic Acid Disodium MRI in Predicting  Microvascular Invasion of Hepatocellular Carcinoma[J]. Contrast Media Mol Imaging, 2022,2022:6128845.</w:t>
      </w:r>
    </w:p>
    <w:p>
      <w:pPr>
        <w:spacing w:line="360" w:lineRule="auto"/>
        <w:rPr>
          <w:rFonts w:ascii="Times New Roman" w:hAnsi="Times New Roman" w:cs="Times New Roman"/>
          <w:sz w:val="24"/>
        </w:rPr>
      </w:pPr>
      <w:r>
        <w:rPr>
          <w:rFonts w:ascii="Times New Roman" w:hAnsi="Times New Roman" w:cs="Times New Roman"/>
          <w:sz w:val="24"/>
        </w:rPr>
        <w:fldChar w:fldCharType="end"/>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Lora">
    <w:altName w:val="Segoe Print"/>
    <w:panose1 w:val="00000000000000000000"/>
    <w:charset w:val="00"/>
    <w:family w:val="auto"/>
    <w:pitch w:val="default"/>
    <w:sig w:usb0="00000000" w:usb1="00000000" w:usb2="00000000" w:usb3="00000000" w:csb0="00000097" w:csb1="00000000"/>
  </w:font>
  <w:font w:name="CourierNewPSMT">
    <w:altName w:val="Segoe Print"/>
    <w:panose1 w:val="00000000000000000000"/>
    <w:charset w:val="00"/>
    <w:family w:val="auto"/>
    <w:pitch w:val="default"/>
    <w:sig w:usb0="00000000" w:usb1="00000000" w:usb2="00000000" w:usb3="00000000" w:csb0="00040001" w:csb1="00000000"/>
  </w:font>
  <w:font w:name="Times-Roman">
    <w:altName w:val="Times New Roman"/>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C82C77"/>
    <w:multiLevelType w:val="multilevel"/>
    <w:tmpl w:val="F0C82C77"/>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4656F932"/>
    <w:multiLevelType w:val="singleLevel"/>
    <w:tmpl w:val="4656F932"/>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zZTc3MDZmNzZhMWIyNGRjZTkxZWY0NWFmNGJiNDMifQ=="/>
    <w:docVar w:name="NE.Ref{0370AF53-5F22-40EC-85AF-3D4BB2D15E4F}" w:val=" ADDIN NE.Ref.{0370AF53-5F22-40EC-85AF-3D4BB2D15E4F}&lt;Citation&gt;&lt;Group&gt;&lt;References&gt;&lt;Item&gt;&lt;ID&gt;788&lt;/ID&gt;&lt;UID&gt;{1AD4F6F8-B351-4AE6-8308-6DEBA80DAD77}&lt;/UID&gt;&lt;Title&gt;MRI detection of intratumoral fat in hepatocellular carcinoma: potential  biomarker for a more favorable prognosis&lt;/Title&gt;&lt;Template&gt;Journal Article&lt;/Template&gt;&lt;Star&gt;0&lt;/Star&gt;&lt;Tag&gt;0&lt;/Tag&gt;&lt;Author&gt;Siripongsakun, S; Lee, J K; Raman, S S; Tong, M J; Sayre, J; Lu, D S&lt;/Author&gt;&lt;Year&gt;2012&lt;/Year&gt;&lt;Details&gt;&lt;_accession_num&gt;23096174&lt;/_accession_num&gt;&lt;_author_adr&gt;Department of Radiology, David Geffen School of Medicine at UCLA, 757 Westwood  Blvd, Los Angeles, CA 90095, USA.&lt;/_author_adr&gt;&lt;_collection_scope&gt;SCIE&lt;/_collection_scope&gt;&lt;_created&gt;64776756&lt;/_created&gt;&lt;_date&gt;2012-11-01&lt;/_date&gt;&lt;_date_display&gt;2012 Nov&lt;/_date_display&gt;&lt;_db_updated&gt;PubMed&lt;/_db_updated&gt;&lt;_doi&gt;10.2214/AJR.12.8632&lt;/_doi&gt;&lt;_impact_factor&gt;   6.582&lt;/_impact_factor&gt;&lt;_isbn&gt;1546-3141 (Electronic); 0361-803X (Linking)&lt;/_isbn&gt;&lt;_issue&gt;5&lt;/_issue&gt;&lt;_journal&gt;AJR Am J Roentgenol&lt;/_journal&gt;&lt;_language&gt;eng&lt;/_language&gt;&lt;_modified&gt;64776756&lt;/_modified&gt;&lt;_pages&gt;1018-25&lt;/_pages&gt;&lt;_social_category&gt;医学(2)&lt;/_social_category&gt;&lt;_subject_headings&gt;Adipose Tissue/*pathology; Adult; Aged; Aged, 80 and over; Analysis of Variance; Biomarkers/analysis; Carcinoma, Hepatocellular/*pathology; Contrast Media; Disease Progression; Female; Humans; Image Interpretation, Computer-Assisted; Imaging, Three-Dimensional; Liver Neoplasms/*pathology; Magnetic Resonance Imaging/*methods; Male; Middle Aged; Neoplasm Staging; Prognosis; Retrospective Studies; Survival Rate; Tomography, X-Ray Computed&lt;/_subject_headings&gt;&lt;_tertiary_title&gt;AJR. American journal of roentgenology&lt;/_tertiary_title&gt;&lt;_type_work&gt;Journal Article&lt;/_type_work&gt;&lt;_url&gt;http://www.ncbi.nlm.nih.gov/entrez/query.fcgi?cmd=Retrieve&amp;amp;db=pubmed&amp;amp;dopt=Abstract&amp;amp;list_uids=23096174&amp;amp;query_hl=1&lt;/_url&gt;&lt;_volume&gt;199&lt;/_volume&gt;&lt;/Details&gt;&lt;Extra&gt;&lt;DBUID&gt;{F96A950B-833F-4880-A151-76DA2D6A2879}&lt;/DBUID&gt;&lt;/Extra&gt;&lt;/Item&gt;&lt;/References&gt;&lt;/Group&gt;&lt;Group&gt;&lt;References&gt;&lt;Item&gt;&lt;ID&gt;789&lt;/ID&gt;&lt;UID&gt;{B75817C3-8F03-4A3B-A98B-3099BDCE7324}&lt;/UID&gt;&lt;Title&gt;Prediction of microvascular invasion of hepatocellular carcinomas with gadoxetic  acid-enhanced MR imaging: Impact of intra-tumoral fat detected on chemical-shift  images&lt;/Title&gt;&lt;Template&gt;Journal Article&lt;/Template&gt;&lt;Star&gt;0&lt;/Star&gt;&lt;Tag&gt;0&lt;/Tag&gt;&lt;Author&gt;Min, J H; Kim, Y K; Lim, S; Jeong, W K; Choi, D; Lee, W J&lt;/Author&gt;&lt;Year&gt;2015&lt;/Year&gt;&lt;Details&gt;&lt;_accession_num&gt;25818729&lt;/_accession_num&gt;&lt;_author_adr&gt;Department of Radiology and Center for Imaging Science, Samsung Medical Center,  Sungkyunkwan University School of Medicine, Seoul, Republic of Korea.; Department of Radiology and Center for Imaging Science, Samsung Medical Center,  Sungkyunkwan University School of Medicine, Seoul, Republic of Korea. Electronic  address: jmyr@dreamwiz.com.; Department of Radiology, Guri Hospital, Hanyang University College of Medicine,  Guri, Republic of Korea.; Department of Radiology and Center for Imaging Science, Samsung Medical Center,  Sungkyunkwan University School of Medicine, Seoul, Republic of Korea.; Department of Radiology and Center for Imaging Science, Samsung Medical Center,  Sungkyunkwan University School of Medicine, Seoul, Republic of Korea.; Department of Radiology and Center for Imaging Science, Samsung Medical Center,  Sungkyunkwan University School of Medicine, Seoul, Republic of Korea.&lt;/_author_adr&gt;&lt;_collection_scope&gt;SCIE&lt;/_collection_scope&gt;&lt;_created&gt;64776759&lt;/_created&gt;&lt;_date&gt;2015-06-01&lt;/_date&gt;&lt;_date_display&gt;2015 Jun&lt;/_date_display&gt;&lt;_db_updated&gt;PubMed&lt;/_db_updated&gt;&lt;_doi&gt;10.1016/j.ejrad.2015.03.002&lt;/_doi&gt;&lt;_impact_factor&gt;   4.531&lt;/_impact_factor&gt;&lt;_isbn&gt;1872-7727 (Electronic); 0720-048X (Linking)&lt;/_isbn&gt;&lt;_issue&gt;6&lt;/_issue&gt;&lt;_journal&gt;Eur J Radiol&lt;/_journal&gt;&lt;_keywords&gt;Fat; Gd-EOB-DTPA; Hepatocellular carcinoma; Magnetic resonance imaging; Microvascular invasion&lt;/_keywords&gt;&lt;_language&gt;eng&lt;/_language&gt;&lt;_modified&gt;64776759&lt;/_modified&gt;&lt;_ori_publication&gt;Copyright (c) 2015 Elsevier Ireland Ltd. All rights reserved.&lt;/_ori_publication&gt;&lt;_pages&gt;1036-43&lt;/_pages&gt;&lt;_social_category&gt;医学(2)&lt;/_social_category&gt;&lt;_subject_headings&gt;Carcinoma, Hepatocellular/*pathology; *Contrast Media; Diagnostic Imaging; Female; *Gadolinium DTPA; Humans; Liver Neoplasms/*pathology; *Magnetic Resonance Imaging/methods; Male; Microvessels/*pathology; Middle Aged; Neoplasm Invasiveness/*pathology; Predictive Value of Tests; Prognosis; Reproducibility of Results; Retrospective Studies; Sensitivity and Specificity&lt;/_subject_headings&gt;&lt;_tertiary_title&gt;European journal of radiology&lt;/_tertiary_title&gt;&lt;_type_work&gt;Journal Article&lt;/_type_work&gt;&lt;_url&gt;http://www.ncbi.nlm.nih.gov/entrez/query.fcgi?cmd=Retrieve&amp;amp;db=pubmed&amp;amp;dopt=Abstract&amp;amp;list_uids=25818729&amp;amp;query_hl=1&lt;/_url&gt;&lt;_volume&gt;84&lt;/_volume&gt;&lt;/Details&gt;&lt;Extra&gt;&lt;DBUID&gt;{F96A950B-833F-4880-A151-76DA2D6A2879}&lt;/DBUID&gt;&lt;/Extra&gt;&lt;/Item&gt;&lt;/References&gt;&lt;/Group&gt;&lt;/Citation&gt;_x000a_"/>
    <w:docVar w:name="NE.Ref{07F393DA-0C25-4F3A-86C0-6B744D9F55E9}" w:val=" ADDIN NE.Ref.{07F393DA-0C25-4F3A-86C0-6B744D9F55E9}&lt;Citation&gt;&lt;Group&gt;&lt;References&gt;&lt;Item&gt;&lt;ID&gt;795&lt;/ID&gt;&lt;UID&gt;{D50AFAAB-9135-4FE2-B297-DBB59EE7EC56}&lt;/UID&gt;&lt;Title&gt;MRI Features for Predicting Microvascular Invasion of Hepatocellular Carcinoma: A  Systematic Review and Meta-Analysis&lt;/Title&gt;&lt;Template&gt;Journal Article&lt;/Template&gt;&lt;Star&gt;0&lt;/Star&gt;&lt;Tag&gt;0&lt;/Tag&gt;&lt;Author&gt;Hong, S B; Choi, S H; Kim, S Y; Shim, J H; Lee, S S; Byun, J H; Park, S H; Kim, K W; Kim, S; Lee, N K&lt;/Author&gt;&lt;Year&gt;2021&lt;/Year&gt;&lt;Details&gt;&lt;_accession_num&gt;33981625&lt;/_accession_num&gt;&lt;_author_adr&gt;Department of Radiology, Biomedical Research Institute, Pusan National University  Hospital, Pusan National University School of Medicine, Busan,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Gastroenter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Biomedical Research Institute, Pusan National University  Hospital, Pusan National University School of Medicine, Busan, Republic of Korea.; Department of Radiology, Biomedical Research Institute, Pusan National University  Hospital, Pusan National University School of Medicine, Busan, Republic of Korea.&lt;/_author_adr&gt;&lt;_date_display&gt;2021 Apr&lt;/_date_display&gt;&lt;_date&gt;2021-04-01&lt;/_date&gt;&lt;_doi&gt;10.1159/000513704&lt;/_doi&gt;&lt;_isbn&gt;2235-1795 (Print); 1664-5553 (Electronic); 1664-5553 (Linking)&lt;/_isbn&gt;&lt;_issue&gt;2&lt;/_issue&gt;&lt;_journal&gt;Liver Cancer&lt;/_journal&gt;&lt;_keywords&gt;Diagnosis; Hepatocellular carcinoma; Magnetic resonance imaging; Meta-analysis; Microvascular invasion&lt;/_keywords&gt;&lt;_language&gt;eng&lt;/_language&gt;&lt;_ori_publication&gt;Copyright (c) 2021 by S. Karger AG, Basel.&lt;/_ori_publication&gt;&lt;_pages&gt;94-106&lt;/_pages&gt;&lt;_tertiary_title&gt;Liver cancer&lt;/_tertiary_title&gt;&lt;_type_work&gt;Journal Article&lt;/_type_work&gt;&lt;_url&gt;http://www.ncbi.nlm.nih.gov/entrez/query.fcgi?cmd=Retrieve&amp;amp;db=pubmed&amp;amp;dopt=Abstract&amp;amp;list_uids=33981625&amp;amp;query_hl=1&lt;/_url&gt;&lt;_volume&gt;10&lt;/_volume&gt;&lt;_created&gt;64777808&lt;/_created&gt;&lt;_modified&gt;64777808&lt;/_modified&gt;&lt;_db_updated&gt;PubMed&lt;/_db_updated&gt;&lt;_impact_factor&gt;  12.430&lt;/_impact_factor&gt;&lt;_social_category&gt;医学(1)&lt;/_social_category&gt;&lt;_collection_scope&gt;SCIE&lt;/_collection_scope&gt;&lt;/Details&gt;&lt;Extra&gt;&lt;DBUID&gt;{F96A950B-833F-4880-A151-76DA2D6A2879}&lt;/DBUID&gt;&lt;/Extra&gt;&lt;/Item&gt;&lt;/References&gt;&lt;/Group&gt;&lt;/Citation&gt;_x000a_"/>
    <w:docVar w:name="NE.Ref{0E56F9D7-FCFC-4716-B3D8-B7AD3F7DE020}" w:val=" ADDIN NE.Ref.{0E56F9D7-FCFC-4716-B3D8-B7AD3F7DE020}&lt;Citation&gt;&lt;Group&gt;&lt;References&gt;&lt;Item&gt;&lt;ID&gt;792&lt;/ID&gt;&lt;UID&gt;{1C3108DD-1DA7-44AC-ADAE-1A2C7EA8E038}&lt;/UID&gt;&lt;Title&gt;Serum GGT/ALT ratio predicts vascular invasion in HBV-related HCC&lt;/Title&gt;&lt;Template&gt;Journal Article&lt;/Template&gt;&lt;Star&gt;0&lt;/Star&gt;&lt;Tag&gt;0&lt;/Tag&gt;&lt;Author&gt;Zhao, Z; Zhu, Y; Ni, X; Lin, J; Li, H; Zheng, L; Zhang, C; Qi, X; Huo, H; Lou, X; Fan, Q; Bao, Y; Luo, M&lt;/Author&gt;&lt;Year&gt;2021&lt;/Year&gt;&lt;Details&gt;&lt;_accession_num&gt;34583704&lt;/_accession_num&gt;&lt;_author_adr&gt;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General Surgery, Shanghai Ninth People&amp;apos;s Hospital, Shanghai Jiao  Tong University School of Medicine, No. 639, Zhizaoju Road, Huangpu District,  Shanghai, People&amp;apos;s Republic of China.; Department of Pathology, Shanghai Ninth People&amp;apos;s Hospital, Shanghai Jiao Tong  University School of Medicine, No. 639, Zhizaoju Road, Huangpu District,  Shanghai, People&amp;apos;s Republic of China. yybaodr28@sina.com.; Department of General Surgery, Shanghai Ninth People&amp;apos;s Hospital, Shanghai Jiao  Tong University School of Medicine, No. 639, Zhizaoju Road, Huangpu District,  Shanghai, People&amp;apos;s Republic of China. luosh9hospital@sina.com.&lt;/_author_adr&gt;&lt;_date_display&gt;2021 Sep 28&lt;/_date_display&gt;&lt;_date&gt;2021-09-28&lt;/_date&gt;&lt;_doi&gt;10.1186/s12935-021-02214-1&lt;/_doi&gt;&lt;_isbn&gt;1475-2867 (Print); 1475-2867 (Electronic); 1475-2867 (Linking)&lt;/_isbn&gt;&lt;_issue&gt;1&lt;/_issue&gt;&lt;_journal&gt;Cancer Cell Int&lt;/_journal&gt;&lt;_keywords&gt;Alanine aminotransferase; Gamma-glutamyl transferase; Hepatocellular carcinoma; Vascular invasion&lt;/_keywords&gt;&lt;_language&gt;eng&lt;/_language&gt;&lt;_ori_publication&gt;(c) 2021. The Author(s).&lt;/_ori_publication&gt;&lt;_pages&gt;517&lt;/_pages&gt;&lt;_tertiary_title&gt;Cancer cell international&lt;/_tertiary_title&gt;&lt;_type_work&gt;Journal Article&lt;/_type_work&gt;&lt;_url&gt;http://www.ncbi.nlm.nih.gov/entrez/query.fcgi?cmd=Retrieve&amp;amp;db=pubmed&amp;amp;dopt=Abstract&amp;amp;list_uids=34583704&amp;amp;query_hl=1&lt;/_url&gt;&lt;_volume&gt;21&lt;/_volume&gt;&lt;_created&gt;64777776&lt;/_created&gt;&lt;_modified&gt;64777776&lt;/_modified&gt;&lt;_db_updated&gt;PubMed&lt;/_db_updated&gt;&lt;_impact_factor&gt;   6.429&lt;/_impact_factor&gt;&lt;_social_category&gt;医学(3)&lt;/_social_category&gt;&lt;_collection_scope&gt;SCIE&lt;/_collection_scope&gt;&lt;/Details&gt;&lt;Extra&gt;&lt;DBUID&gt;{F96A950B-833F-4880-A151-76DA2D6A2879}&lt;/DBUID&gt;&lt;/Extra&gt;&lt;/Item&gt;&lt;/References&gt;&lt;/Group&gt;&lt;/Citation&gt;_x000a_"/>
    <w:docVar w:name="NE.Ref{1AFA89F7-D7DC-4D7A-8477-59EC97E90722}" w:val=" ADDIN NE.Ref.{1AFA89F7-D7DC-4D7A-8477-59EC97E90722}&lt;Citation&gt;&lt;Group&gt;&lt;References&gt;&lt;Item&gt;&lt;ID&gt;783&lt;/ID&gt;&lt;UID&gt;{8FC54515-2323-4051-AC02-6605C735C07A}&lt;/UID&gt;&lt;Title&gt;Prognostic value and predication model of microvascular invasion in patients with  intrahepatic cholangiocarcinoma: a multicenter study from China&lt;/Title&gt;&lt;Template&gt;Journal Article&lt;/Template&gt;&lt;Star&gt;0&lt;/Star&gt;&lt;Tag&gt;0&lt;/Tag&gt;&lt;Author&gt;Chen, Y; Liu, H; Zhang, J; Wu, Y; Zhou, W; Cheng, Z; Lou, J; Zheng, S; Bi, X; Wang, J; Guo, W; Li, F; Wang, J; Zheng, Y; Li, J; Cheng, S; Zeng, Y; Liu, J&lt;/Author&gt;&lt;Year&gt;2021&lt;/Year&gt;&lt;Details&gt;&lt;_accession_num&gt;34863147&lt;/_accession_num&gt;&lt;_author_adr&gt;Department of Hepatopancreatobiliary Surgery, Mengchao Hepatobiliary Hospital of  Fujian Medical University, Xihong Road 312, Fuzhou, 350025, Fujian Province,  People&amp;apos;s Republic of China.; Department of Hepatopancreatobiliary Surgery, Mengchao Hepatobiliary Hospital of  Fujian Medical University, Xihong Road 312, Fuzhou, 350025, Fujian Province,  People&amp;apos;s Republic of China.; Department of Hepatopancreatobiliary Surgery, Mengchao Hepatobiliary Hospital of  Fujian Medical University, Xihong Road 312, Fuzhou, 350025, Fujian Province,  People&amp;apos;s Republic of China.; Department of Hepatopancreatobiliary Surgery, Mengchao Hepatobiliary Hospital of  Fujian Medical University, Xihong Road 312, Fuzhou, 350025, Fujian Province,  People&amp;apos;s Republic of China.; Department of Hepatobiliary Surgery III, Eastern Hepatobiliary Surgery Hospital,  Secondary Military Medical University, Shanghai, China.; Department of Hepatobiliary Surgery, The Affiliated Zhongda Hospital of Southeast  University, Nanjing, China.; Department of Hepatobiliary Surgery, The Second Hospital Affiliated to Zhejiang  University, Hangzhou, China.; Department of Hepatobiliary Surgery, The Southwest Hospital Affiliated to the  Army Medical University, Chongqing, China.; Department of Hepatobiliary Surgery, Cancer Hospital, Chinese Academy of Medical  Sciences, Beijing, China.; Department of Hepatobiliary Surgery, Tongji Hospital Affiliated to Tongji Medical  College, Huazhong University of Science &amp;amp; Technology, Wuhan, China.; Department of Hepatobiliary Surgery, Beijing Friendship Hospital Affiliated to  Capital Medical University, Beijing, China.; Department of Hepatobiliary Surgery, The West China Hospital of Sichuan  University, Chengdu, China.; Department of Hepatobiliary Surgery, Renji Hospital Affiliated to Shanghai  Jiaotong University, Shanghai, China.; Department of Hepatobiliary Surgery, Xuanwu Hospital Affiliated to Capital  Medical University, Beijing, China.; Department of Hepatobiliary Surgery, The Affiliated Hospital of Chuanbei Medical  University, Nanchong, China.; Department of Hepatobiliary Surgery, Tiantan Hospital Affiliated to Capital  Medical University, Beijing, China.; Department of Hepatopancreatobiliary Surgery, Mengchao Hepatobiliary Hospital of  Fujian Medical University, Xihong Road 312, Fuzhou, 350025, Fujian Province,  People&amp;apos;s Republic of China. lamp197311@126.com.; Liver Diseases Center, The First Affiliated Hospital of Fujian Medical  University, Fuzhou, China. lamp197311@126.com.; Department of Hepatopancreatobiliary Surgery, Mengchao Hepatobiliary Hospital of  Fujian Medical University, Xihong Road 312, Fuzhou, 350025, Fujian Province,  People&amp;apos;s Republic of China. drjingfeng@126.com.&lt;/_author_adr&gt;&lt;_collection_scope&gt;SCIE&lt;/_collection_scope&gt;&lt;_created&gt;64776705&lt;/_created&gt;&lt;_date&gt;2021-12-05&lt;/_date&gt;&lt;_date_display&gt;2021 Dec 5&lt;/_date_display&gt;&lt;_db_updated&gt;PubMed&lt;/_db_updated&gt;&lt;_doi&gt;10.1186/s12885-021-09035-5&lt;/_doi&gt;&lt;_impact_factor&gt;   4.638&lt;/_impact_factor&gt;&lt;_isbn&gt;1471-2407 (Electronic); 1471-2407 (Linking)&lt;/_isbn&gt;&lt;_issue&gt;1&lt;/_issue&gt;&lt;_journal&gt;BMC Cancer&lt;/_journal&gt;&lt;_keywords&gt;Intrahepatic cholangiocarcinoma; Microvascular invasion; Prediction model; Prognosis&lt;/_keywords&gt;&lt;_language&gt;eng&lt;/_language&gt;&lt;_modified&gt;64776705&lt;/_modified&gt;&lt;_ori_publication&gt;(c) 2021. The Author(s).&lt;/_ori_publication&gt;&lt;_pages&gt;1299&lt;/_pages&gt;&lt;_social_category&gt;医学(2)&lt;/_social_category&gt;&lt;_subject_headings&gt;China; Cholangiocarcinoma/*blood/*complications/pathology; Female; Humans; Male; Middle Aged; Prognosis; Retrospective Studies; Treatment Outcome&lt;/_subject_headings&gt;&lt;_tertiary_title&gt;BMC cancer&lt;/_tertiary_title&gt;&lt;_type_work&gt;Journal Article; Multicenter Study&lt;/_type_work&gt;&lt;_url&gt;http://www.ncbi.nlm.nih.gov/entrez/query.fcgi?cmd=Retrieve&amp;amp;db=pubmed&amp;amp;dopt=Abstract&amp;amp;list_uids=34863147&amp;amp;query_hl=1&lt;/_url&gt;&lt;_volume&gt;21&lt;/_volume&gt;&lt;/Details&gt;&lt;Extra&gt;&lt;DBUID&gt;{F96A950B-833F-4880-A151-76DA2D6A2879}&lt;/DBUID&gt;&lt;/Extra&gt;&lt;/Item&gt;&lt;/References&gt;&lt;/Group&gt;&lt;Group&gt;&lt;References&gt;&lt;Item&gt;&lt;ID&gt;784&lt;/ID&gt;&lt;UID&gt;{44C1C719-8AD2-4D65-A785-3FF427F174C4}&lt;/UID&gt;&lt;Title&gt;A Multi-Parametric Radiomics Nomogram for Preoperative Prediction of  Microvascular Invasion Status in Intrahepatic Cholangiocarcinoma&lt;/Title&gt;&lt;Template&gt;Journal Article&lt;/Template&gt;&lt;Star&gt;0&lt;/Star&gt;&lt;Tag&gt;0&lt;/Tag&gt;&lt;Author&gt;Qian, X; Lu, X; Ma, X; Zhang, Y; Zhou, C; Wang, F; Shi, Y; Zeng, M&lt;/Author&gt;&lt;Year&gt;2022&lt;/Year&gt;&lt;Details&gt;&lt;_accession_num&gt;35280821&lt;/_accession_num&gt;&lt;_author_adr&gt;Department of Radiology, Zhongshan Hospital, Fudan University, Shanghai, China.; Shanghai Institute of Medical Imaging, Shanghai, China.; Department of Cancer Center, Zhongshan Hospital, Fudan University, Shanghai,  China.; Department of Radiology, Zhongshan Hospital, Fudan University, Shanghai, China.; Shanghai Institute of Medical Imaging, Shanghai, China.; Department of Cancer Center, Zhongshan Hospital, Fudan University, Shanghai,  China.; Department of Radiology, Xuzhou Central Hospital, Xuzhou Clinical School of  Xuzhou Medical University, Xuzhou, China.; Department of Radiology, Xuzhou Central Hospital, Xuzhou Clinical School of  Xuzhou Medical University, Xuzhou, China.; Department of Radiology, Zhongshan Hospital, Fudan University, Shanghai, China.; Shanghai Institute of Medical Imaging, Shanghai, China.; Department of Cancer Center, Zhongshan Hospital, Fudan University, Shanghai,  China.; Department of Research and Development, Shanghai United Imaging Intelligence Co.,  Ltd., Shanghai, China.; Department of Radiology, Xuzhou Central Hospital, Xuzhou Clinical School of  Xuzhou Medical University, Xuzhou, China.; Department of Radiology, Zhongshan Hospital, Fudan University, Shanghai, China.; Shanghai Institute of Medical Imaging, Shanghai, China.; Department of Cancer Center, Zhongshan Hospital, Fudan University, Shanghai,  China.&lt;/_author_adr&gt;&lt;_collection_scope&gt;SCIE&lt;/_collection_scope&gt;&lt;_created&gt;64776710&lt;/_created&gt;&lt;_date&gt;2022-01-20&lt;/_date&gt;&lt;_date_display&gt;2022&lt;/_date_display&gt;&lt;_db_updated&gt;PubMed&lt;/_db_updated&gt;&lt;_doi&gt;10.3389/fonc.2022.838701&lt;/_doi&gt;&lt;_impact_factor&gt;   5.738&lt;/_impact_factor&gt;&lt;_isbn&gt;2234-943X (Print); 2234-943X (Electronic); 2234-943X (Linking)&lt;/_isbn&gt;&lt;_journal&gt;Front Oncol&lt;/_journal&gt;&lt;_keywords&gt;intrahepatic cholangiocarcinoma; magnetic resonance imaging; microvascular invasion; nomogram; prognosis; radiomics&lt;/_keywords&gt;&lt;_language&gt;eng&lt;/_language&gt;&lt;_modified&gt;64776710&lt;/_modified&gt;&lt;_ori_publication&gt;Copyright (c) 2022 Qian, Lu, Ma, Zhang, Zhou, Wang, Shi and Zeng.&lt;/_ori_publication&gt;&lt;_pages&gt;838701&lt;/_pages&gt;&lt;_social_category&gt;医学(3)&lt;/_social_category&gt;&lt;_tertiary_title&gt;Frontiers in oncology&lt;/_tertiary_title&gt;&lt;_type_work&gt;Journal Article&lt;/_type_work&gt;&lt;_url&gt;http://www.ncbi.nlm.nih.gov/entrez/query.fcgi?cmd=Retrieve&amp;amp;db=pubmed&amp;amp;dopt=Abstract&amp;amp;list_uids=35280821&amp;amp;query_hl=1&lt;/_url&gt;&lt;_volume&gt;12&lt;/_volume&gt;&lt;/Details&gt;&lt;Extra&gt;&lt;DBUID&gt;{F96A950B-833F-4880-A151-76DA2D6A2879}&lt;/DBUID&gt;&lt;/Extra&gt;&lt;/Item&gt;&lt;/References&gt;&lt;/Group&gt;&lt;/Citation&gt;_x000a_"/>
    <w:docVar w:name="NE.Ref{2677B87F-C813-4EF8-976E-074C9FFB6B01}" w:val=" ADDIN NE.Ref.{2677B87F-C813-4EF8-976E-074C9FFB6B01}&lt;Citation&gt;&lt;Group&gt;&lt;References&gt;&lt;Item&gt;&lt;ID&gt;794&lt;/ID&gt;&lt;UID&gt;{FD8EDD61-2D93-4519-8792-A672210C672B}&lt;/UID&gt;&lt;Title&gt;Multi-scale and multi-parametric radiomics of gadoxetate disodium-enhanced MRI  predicts microvascular invasion and outcome in patients with solitary  hepatocellular carcinoma &amp;lt;/= 5 cm&lt;/Title&gt;&lt;Template&gt;Journal Article&lt;/Template&gt;&lt;Star&gt;0&lt;/Star&gt;&lt;Tag&gt;0&lt;/Tag&gt;&lt;Author&gt;Chong, H H; Yang, L; Sheng, R F; Yu, Y L; Wu, D J; Rao, S X; Yang, C; Zeng, M S&lt;/Author&gt;&lt;Year&gt;2021&lt;/Year&gt;&lt;Details&gt;&lt;_accession_num&gt;33447861&lt;/_accession_num&gt;&lt;_author_adr&gt;Shanghai Institute of Medical Imaging, 180 Fenglin Road, Shanghai, China.; Department of Radiology, Zhongshan Hospital, Fudan University, 180 Fenglin Road,  Shanghai, 200032, China.; Department of Radiology, Zhongshan Hospital, Fudan University, 180 Fenglin Road,  Shanghai, 200032, China.; Department of Radiology, Zhongshan Hospital, Fudan University, 180 Fenglin Road,  Shanghai, 200032, China.; Department of Radiology, Zhongshan Hospital, Fudan University, 180 Fenglin Road,  Shanghai, 200032, China.; Shanghai United Imaging Intelligence Co., Ltd, Shanghai, China.; Shanghai Institute of Medical Imaging, 180 Fenglin Road, Shanghai, China.; Department of Radiology, Zhongshan Hospital, Fudan University, 180 Fenglin Road,  Shanghai, 200032, China.; Shanghai Institute of Medical Imaging, 180 Fenglin Road, Shanghai, China.  dryangchun@hotmail.com.; Department of Radiology, Zhongshan Hospital, Fudan University, 180 Fenglin Road,  Shanghai, 200032, China. dryangchun@hotmail.com.; Shanghai Institute of Medical Imaging, 180 Fenglin Road, Shanghai, China.  mengsu_zeng@163.com.; Department of Radiology, Zhongshan Hospital, Fudan University, 180 Fenglin Road,  Shanghai, 200032, China. mengsu_zeng@163.com.; Department of Medical Imaging, Shanghai Medical College, Fudan University,  Shanghai, China. mengsu_zeng@163.com.&lt;/_author_adr&gt;&lt;_collection_scope&gt;SCIE&lt;/_collection_scope&gt;&lt;_created&gt;64777807&lt;/_created&gt;&lt;_date&gt;2021-07-01&lt;/_date&gt;&lt;_date_display&gt;2021 Jul&lt;/_date_display&gt;&lt;_db_updated&gt;PubMed&lt;/_db_updated&gt;&lt;_doi&gt;10.1007/s00330-020-07601-2&lt;/_doi&gt;&lt;_impact_factor&gt;   7.034&lt;/_impact_factor&gt;&lt;_isbn&gt;1432-1084 (Electronic); 0938-7994 (Print); 0938-7994 (Linking)&lt;/_isbn&gt;&lt;_issue&gt;7&lt;/_issue&gt;&lt;_journal&gt;Eur Radiol&lt;/_journal&gt;&lt;_keywords&gt;Hepatocellular carcinoma; Magnetic resonance imaging; Neoplasm recurrence&lt;/_keywords&gt;&lt;_language&gt;eng&lt;/_language&gt;&lt;_modified&gt;64777807&lt;/_modified&gt;&lt;_pages&gt;4824-4838&lt;/_pages&gt;&lt;_social_category&gt;医学(2)&lt;/_social_category&gt;&lt;_subject_headings&gt;*Carcinoma, Hepatocellular/diagnostic imaging; Gadolinium DTPA; Humans; *Liver Neoplasms/diagnostic imaging; Magnetic Resonance Imaging; Neoplasm Invasiveness; Neoplasm Recurrence, Local/diagnostic imaging; Retrospective Studies&lt;/_subject_headings&gt;&lt;_tertiary_title&gt;European radiology&lt;/_tertiary_title&gt;&lt;_type_work&gt;Journal Article&lt;/_type_work&gt;&lt;_url&gt;http://www.ncbi.nlm.nih.gov/entrez/query.fcgi?cmd=Retrieve&amp;amp;db=pubmed&amp;amp;dopt=Abstract&amp;amp;list_uids=33447861&amp;amp;query_hl=1&lt;/_url&gt;&lt;_volume&gt;31&lt;/_volume&gt;&lt;/Details&gt;&lt;Extra&gt;&lt;DBUID&gt;{F96A950B-833F-4880-A151-76DA2D6A2879}&lt;/DBUID&gt;&lt;/Extra&gt;&lt;/Item&gt;&lt;/References&gt;&lt;/Group&gt;&lt;Group&gt;&lt;References&gt;&lt;Item&gt;&lt;ID&gt;795&lt;/ID&gt;&lt;UID&gt;{D50AFAAB-9135-4FE2-B297-DBB59EE7EC56}&lt;/UID&gt;&lt;Title&gt;MRI Features for Predicting Microvascular Invasion of Hepatocellular Carcinoma: A  Systematic Review and Meta-Analysis&lt;/Title&gt;&lt;Template&gt;Journal Article&lt;/Template&gt;&lt;Star&gt;0&lt;/Star&gt;&lt;Tag&gt;0&lt;/Tag&gt;&lt;Author&gt;Hong, S B; Choi, S H; Kim, S Y; Shim, J H; Lee, S S; Byun, J H; Park, S H; Kim, K W; Kim, S; Lee, N K&lt;/Author&gt;&lt;Year&gt;2021&lt;/Year&gt;&lt;Details&gt;&lt;_accession_num&gt;33981625&lt;/_accession_num&gt;&lt;_author_adr&gt;Department of Radiology, Biomedical Research Institute, Pusan National University  Hospital, Pusan National University School of Medicine, Busan,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Gastroenter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and Research Institute of Radiology, University of Ulsan  College of Medicine, Asan Medical Center, Seoul, Republic of Korea.; Department of Radiology, Biomedical Research Institute, Pusan National University  Hospital, Pusan National University School of Medicine, Busan, Republic of Korea.; Department of Radiology, Biomedical Research Institute, Pusan National University  Hospital, Pusan National University School of Medicine, Busan, Republic of Korea.&lt;/_author_adr&gt;&lt;_collection_scope&gt;SCIE&lt;/_collection_scope&gt;&lt;_created&gt;64777808&lt;/_created&gt;&lt;_date&gt;2021-04-01&lt;/_date&gt;&lt;_date_display&gt;2021 Apr&lt;/_date_display&gt;&lt;_db_updated&gt;PubMed&lt;/_db_updated&gt;&lt;_doi&gt;10.1159/000513704&lt;/_doi&gt;&lt;_impact_factor&gt;  12.430&lt;/_impact_factor&gt;&lt;_isbn&gt;2235-1795 (Print); 1664-5553 (Electronic); 1664-5553 (Linking)&lt;/_isbn&gt;&lt;_issue&gt;2&lt;/_issue&gt;&lt;_journal&gt;Liver Cancer&lt;/_journal&gt;&lt;_keywords&gt;Diagnosis; Hepatocellular carcinoma; Magnetic resonance imaging; Meta-analysis; Microvascular invasion&lt;/_keywords&gt;&lt;_language&gt;eng&lt;/_language&gt;&lt;_modified&gt;64777808&lt;/_modified&gt;&lt;_ori_publication&gt;Copyright (c) 2021 by S. Karger AG, Basel.&lt;/_ori_publication&gt;&lt;_pages&gt;94-106&lt;/_pages&gt;&lt;_social_category&gt;医学(1)&lt;/_social_category&gt;&lt;_tertiary_title&gt;Liver cancer&lt;/_tertiary_title&gt;&lt;_type_work&gt;Journal Article&lt;/_type_work&gt;&lt;_url&gt;http://www.ncbi.nlm.nih.gov/entrez/query.fcgi?cmd=Retrieve&amp;amp;db=pubmed&amp;amp;dopt=Abstract&amp;amp;list_uids=33981625&amp;amp;query_hl=1&lt;/_url&gt;&lt;_volume&gt;10&lt;/_volume&gt;&lt;/Details&gt;&lt;Extra&gt;&lt;DBUID&gt;{F96A950B-833F-4880-A151-76DA2D6A2879}&lt;/DBUID&gt;&lt;/Extra&gt;&lt;/Item&gt;&lt;/References&gt;&lt;/Group&gt;&lt;Group&gt;&lt;References&gt;&lt;Item&gt;&lt;ID&gt;775&lt;/ID&gt;&lt;UID&gt;{B7E66659-9BF5-4262-9B79-DD128CD06D1F}&lt;/UID&gt;&lt;Title&gt;Radiomic analysis of contrast-enhanced CT predicts microvascular invasion and  outcome in hepatocellular carcinoma&lt;/Title&gt;&lt;Template&gt;Journal Article&lt;/Template&gt;&lt;Star&gt;0&lt;/Star&gt;&lt;Tag&gt;0&lt;/Tag&gt;&lt;Author&gt;Xu, X; Zhang, H L; Liu, Q P; Sun, S W; Zhang, J; Zhu, F P; Yang, G; Yan, X; Zhang, Y D; Liu, X S&lt;/Author&gt;&lt;Year&gt;2019&lt;/Year&gt;&lt;Details&gt;&lt;_accession_num&gt;30876945&lt;/_accession_num&gt;&lt;_author_adr&gt;Department of Radiology, The First Affiliated Hospital with Nanjing Medical  University, Nanjing, Jiangsu Province, China.; Department of Radiology, The First Affiliated Hospital with Nanjing Medical  University, Nanjing, Jiangsu Province, China.; Department of Radiology, The First Affiliated Hospital with Nanjing Medical  University, Nanjing, Jiangsu Province, China.; Department of Radiology, The First Affiliated Hospital with Nanjing Medical  University, Nanjing, Jiangsu Province, China.; Shanghai Key Laboratory of Magnetic Resonance, East China Normal University,  Shanghai, China.; Department of Radiology, The First Affiliated Hospital with Nanjing Medical  University, Nanjing, Jiangsu Province, China.; Shanghai Key Laboratory of Magnetic Resonance, East China Normal University,  Shanghai, China.; MR Scientific Marketing, Siemens Healthcare, Shanghai, China.; Department of Radiology, The First Affiliated Hospital with Nanjing Medical  University, Nanjing, Jiangsu Province, China. Electronic address:  njmu_zyd@163.com.; Department of Radiology, The First Affiliated Hospital with Nanjing Medical  University, Nanjing, Jiangsu Province, China. Electronic address:  njmu_lxs@163.com.&lt;/_author_adr&gt;&lt;_collection_scope&gt;SCIE&lt;/_collection_scope&gt;&lt;_created&gt;64769337&lt;/_created&gt;&lt;_date&gt;2019-06-01&lt;/_date&gt;&lt;_date_display&gt;2019 Jun&lt;/_date_display&gt;&lt;_db_updated&gt;PubMed&lt;/_db_updated&gt;&lt;_doi&gt;10.1016/j.jhep.2019.02.023&lt;/_doi&gt;&lt;_impact_factor&gt;  30.083&lt;/_impact_factor&gt;&lt;_isbn&gt;1600-0641 (Electronic); 0168-8278 (Linking)&lt;/_isbn&gt;&lt;_issue&gt;6&lt;/_issue&gt;&lt;_journal&gt;J Hepatol&lt;/_journal&gt;&lt;_keywords&gt;Clinical outcome; HCC; Liver imaging score; Microvascular invasion; Radiomics&lt;/_keywords&gt;&lt;_language&gt;eng&lt;/_language&gt;&lt;_modified&gt;64769337&lt;/_modified&gt;&lt;_ori_publication&gt;Copyright (c) 2019 European Association for the Study of the Liver. Published by _x000d__x000a_      Elsevier B.V. All rights reserved.&lt;/_ori_publication&gt;&lt;_pages&gt;1133-1144&lt;/_pages&gt;&lt;_social_category&gt;医学(1)&lt;/_social_category&gt;&lt;_subject_headings&gt;Adult; Aged; Aged, 80 and over; Carcinoma, Hepatocellular/*diagnostic imaging/mortality/pathology; Contrast Media; Female; Humans; Liver Neoplasms/*diagnostic imaging/mortality/pathology; Male; Microvessels/pathology; Middle Aged; Neoplasm Invasiveness; Radiographic Image Enhancement; Retrospective Studies; Tomography, X-Ray Computed/*methods&lt;/_subject_headings&gt;&lt;_tertiary_title&gt;Journal of hepatology&lt;/_tertiary_title&gt;&lt;_type_work&gt;Journal Article; Research Support, Non-U.S. Gov&amp;apos;t&lt;/_type_work&gt;&lt;_url&gt;http://www.ncbi.nlm.nih.gov/entrez/query.fcgi?cmd=Retrieve&amp;amp;db=pubmed&amp;amp;dopt=Abstract&amp;amp;list_uids=30876945&amp;amp;query_hl=1&lt;/_url&gt;&lt;_volume&gt;70&lt;/_volume&gt;&lt;/Details&gt;&lt;Extra&gt;&lt;DBUID&gt;{F96A950B-833F-4880-A151-76DA2D6A2879}&lt;/DBUID&gt;&lt;/Extra&gt;&lt;/Item&gt;&lt;/References&gt;&lt;/Group&gt;&lt;Group&gt;&lt;References&gt;&lt;Item&gt;&lt;ID&gt;797&lt;/ID&gt;&lt;UID&gt;{52566832-021B-49B4-BC21-0867CDC0A559}&lt;/UID&gt;&lt;Title&gt;Analysis of the Performance of Gadoxetic Acid Disodium MRI in Predicting  Microvascular Invasion of Hepatocellular Carcinoma&lt;/Title&gt;&lt;Template&gt;Journal Article&lt;/Template&gt;&lt;Star&gt;0&lt;/Star&gt;&lt;Tag&gt;0&lt;/Tag&gt;&lt;Author&gt;Chen, J; Ming, X; Wang, Z; Ye, Y&lt;/Author&gt;&lt;Year&gt;2022&lt;/Year&gt;&lt;Details&gt;&lt;_accession_num&gt;36247863&lt;/_accession_num&gt;&lt;_author_adr&gt;Department of Radiology, Huangshi Central Hospital, Affiliated Hospital of Hubei  Polytechnic University, Edong Healthcare Group, Huangshi City 435000, China.; Department of Radiology, Huangshi Central Hospital, Affiliated Hospital of Hubei  Polytechnic University, Edong Healthcare Group, Huangshi City 435000, China.; Department of Radiology, Huangshi Central Hospital, Affiliated Hospital of Hubei  Polytechnic University, Edong Healthcare Group, Huangshi City 435000, China.; Department of Radiology, Huangshi Central Hospital, Affiliated Hospital of Hubei  Polytechnic University, Edong Healthcare Group, Huangshi City 435000, China.&lt;/_author_adr&gt;&lt;_collection_scope&gt;SCIE&lt;/_collection_scope&gt;&lt;_created&gt;64777815&lt;/_created&gt;&lt;_date&gt;2022-01-20&lt;/_date&gt;&lt;_date_display&gt;2022&lt;/_date_display&gt;&lt;_db_updated&gt;PubMed&lt;/_db_updated&gt;&lt;_doi&gt;10.1155/2022/6128845&lt;/_doi&gt;&lt;_impact_factor&gt;   3.009&lt;/_impact_factor&gt;&lt;_isbn&gt;1555-4317 (Electronic); 1555-4309 (Print); 1555-4309 (Linking)&lt;/_isbn&gt;&lt;_journal&gt;Contrast Media Mol Imaging&lt;/_journal&gt;&lt;_language&gt;eng&lt;/_language&gt;&lt;_modified&gt;64777815&lt;/_modified&gt;&lt;_ori_publication&gt;Copyright (c) 2022 Jiao Chen et al.&lt;/_ori_publication&gt;&lt;_pages&gt;6128845&lt;/_pages&gt;&lt;_social_category&gt;医学(4)&lt;/_social_category&gt;&lt;_subject_headings&gt;*Carcinoma, Hepatocellular/blood supply; Contrast Media; Gadolinium DTPA; Humans; *Liver Neoplasms/blood supply; Magnetic Resonance Imaging/methods; Retrospective Studies&lt;/_subject_headings&gt;&lt;_tertiary_title&gt;Contrast media &amp;amp; molecular imaging&lt;/_tertiary_title&gt;&lt;_type_work&gt;Journal Article; Research Support, Non-U.S. Gov&amp;apos;t&lt;/_type_work&gt;&lt;_url&gt;http://www.ncbi.nlm.nih.gov/entrez/query.fcgi?cmd=Retrieve&amp;amp;db=pubmed&amp;amp;dopt=Abstract&amp;amp;list_uids=36247863&amp;amp;query_hl=1&lt;/_url&gt;&lt;_volume&gt;2022&lt;/_volume&gt;&lt;/Details&gt;&lt;Extra&gt;&lt;DBUID&gt;{F96A950B-833F-4880-A151-76DA2D6A2879}&lt;/DBUID&gt;&lt;/Extra&gt;&lt;/Item&gt;&lt;/References&gt;&lt;/Group&gt;&lt;/Citation&gt;_x000a_"/>
    <w:docVar w:name="NE.Ref{2E639C23-7457-4278-9E69-D13D9C7FC43F}" w:val=" ADDIN NE.Ref.{2E639C23-7457-4278-9E69-D13D9C7FC43F}&lt;Citation&gt;&lt;Group&gt;&lt;References&gt;&lt;Item&gt;&lt;ID&gt;790&lt;/ID&gt;&lt;UID&gt;{3B9F3433-98F7-457D-B494-73C259A75A03}&lt;/UID&gt;&lt;Title&gt;The Impact of Preoperative CA19-9 and CEA on Outcomes of Patients with  Intrahepatic Cholangiocarcinoma&lt;/Title&gt;&lt;Template&gt;Journal Article&lt;/Template&gt;&lt;Star&gt;0&lt;/Star&gt;&lt;Tag&gt;0&lt;/Tag&gt;&lt;Author&gt;Moro, A; Mehta, R; Sahara, K; Tsilimigras, D I; Paredes, A Z; Farooq, A; Hyer, J M; Endo, I; Shen, F; Guglielmi, A; Aldrighetti, L; Weiss, M; Bauer, T W; Alexandrescu, S; Poultsides, G A; Maithel, S K; Marques, H P; Martel, G; Pulitano, C; Soubrane, O; Koerkamp, B G; Sasaki, K; Pawlik, T M&lt;/Author&gt;&lt;Year&gt;2020&lt;/Year&gt;&lt;Details&gt;&lt;_accession_num&gt;32198569&lt;/_accession_num&gt;&lt;_author_adr&gt;Department of Surgery, Division of Surgical Oncology, The Ohio State University  Wexner Medical Center and James Comprehensive Cancer Center, Columbus, OH, USA.; Department of Surgery, Division of Surgical Oncology, The Ohio State University  Wexner Medical Center and James Comprehensive Cancer Center, Columbus, OH, USA.; Department of Surgery, Division of Surgical Oncology, The Ohio State University  Wexner Medical Center and James Comprehensive Cancer Center, Columbus, OH, USA.; Department of Gastroenterological Surgery, Yokohama City University School of  Medicine, Yokohama, Japan.; Department of Surgery, Division of Surgical Oncology, The Ohio State University  Wexner Medical Center and James Comprehensive Cancer Center, Columbus, OH, USA.; Department of Surgery, Division of Surgical Oncology, The Ohio State University  Wexner Medical Center and James Comprehensive Cancer Center, Columbus, OH, USA.; Department of Surgery, Division of Surgical Oncology, The Ohio State University  Wexner Medical Center and James Comprehensive Cancer Center, Columbus, OH, USA.; Department of Surgery, Division of Surgical Oncology, The Ohio State University  Wexner Medical Center and James Comprehensive Cancer Center, Columbus, OH, USA.; Department of Gastroenterological Surgery, Yokohama City University School of  Medicine, Yokohama, Japan.; Department of Surgery, Eastern Hepatobiliary Surgery Hospital, Shanghai, China.; Department of Surgery, University of Verona, Verona, Italy.; Department of Surgery, Ospedale San Raffaele, Milan, Italy.; Department of Surgery, Johns Hopkins Hospital, Baltimore, MD, USA.; Department of Surgery, University of Virginia, Charlottesville, VA, USA.; Department of Surgery, Fundeni Clinical Institute, Bucharest, Romania.; Department of Surgery, Stanford University, Stanford, CA, USA.; Department of Surgery, Emory University, Atlanta, GA, USA.; Department of Surgery, Curry Cabral Hospital, Lisbon, Portugal.; Department of Surgery, University of Ottawa, Ottawa, Canada.; Department of Surgery, Royal Prince Alfred Hospital, University of Sydney,  Sydney, Australia.; Department of Hepatobiliopancreatic Surgery and Liver Transplantation, AP-HP,  Beaujon Hospital, Clichy, France.; Department of Surgery, Erasmus University Medical Centre, Rotterdam, The  Netherlands.; Department of General Surgery, Cleveland Clinic Foundation, Cleveland, OH, USA.; Department of Surgery, Division of Surgical Oncology, The Ohio State University  Wexner Medical Center and James Comprehensive Cancer Center, Columbus, OH, USA.  tim.pawlik@osumc.edu.&lt;/_author_adr&gt;&lt;_collection_scope&gt;SCIE&lt;/_collection_scope&gt;&lt;_created&gt;64777748&lt;/_created&gt;&lt;_date&gt;2020-08-01&lt;/_date&gt;&lt;_date_display&gt;2020 Aug&lt;/_date_display&gt;&lt;_db_updated&gt;PubMed&lt;/_db_updated&gt;&lt;_doi&gt;10.1245/s10434-020-08350-8&lt;/_doi&gt;&lt;_impact_factor&gt;   4.339&lt;/_impact_factor&gt;&lt;_isbn&gt;1534-4681 (Electronic); 1068-9265 (Linking)&lt;/_isbn&gt;&lt;_issue&gt;8&lt;/_issue&gt;&lt;_journal&gt;Ann Surg Oncol&lt;/_journal&gt;&lt;_language&gt;eng&lt;/_language&gt;&lt;_modified&gt;64777748&lt;/_modified&gt;&lt;_pages&gt;2888-2901&lt;/_pages&gt;&lt;_social_category&gt;医学(2)&lt;/_social_category&gt;&lt;_subject_headings&gt;*Bile Duct Neoplasms/surgery; CA-19-9 Antigen; Carcinoembryonic Antigen; *Cholangiocarcinoma/surgery; Humans; Prognosis&lt;/_subject_headings&gt;&lt;_tertiary_title&gt;Annals of surgical oncology&lt;/_tertiary_title&gt;&lt;_type_work&gt;Journal Article&lt;/_type_work&gt;&lt;_url&gt;http://www.ncbi.nlm.nih.gov/entrez/query.fcgi?cmd=Retrieve&amp;amp;db=pubmed&amp;amp;dopt=Abstract&amp;amp;list_uids=32198569&amp;amp;query_hl=1&lt;/_url&gt;&lt;_volume&gt;27&lt;/_volume&gt;&lt;/Details&gt;&lt;Extra&gt;&lt;DBUID&gt;{F96A950B-833F-4880-A151-76DA2D6A2879}&lt;/DBUID&gt;&lt;/Extra&gt;&lt;/Item&gt;&lt;/References&gt;&lt;/Group&gt;&lt;Group&gt;&lt;References&gt;&lt;Item&gt;&lt;ID&gt;791&lt;/ID&gt;&lt;UID&gt;{5A27815E-6AA6-49B3-9351-3259016E2ADC}&lt;/UID&gt;&lt;Title&gt;CEA but not CA19-9 is an independent prognostic factor in patients undergoing  resection of cholangiocarcinoma&lt;/Title&gt;&lt;Template&gt;Journal Article&lt;/Template&gt;&lt;Star&gt;0&lt;/Star&gt;&lt;Tag&gt;0&lt;/Tag&gt;&lt;Author&gt;Loosen, S H; Roderburg, C; Kauertz, K L; Koch, A; Vucur, M; Schneider, A T; Binnebosel, M; Ulmer, T F; Lurje, G; Schoening, W; Tacke, F; Trautwein, C; Longerich, T; Dejong, C H; Neumann, U P; Luedde, T&lt;/Author&gt;&lt;Year&gt;2017&lt;/Year&gt;&lt;Details&gt;&lt;_accession_num&gt;29208940&lt;/_accession_num&gt;&lt;_author_adr&gt;Department of Medicine III, University Hospital RWTH Aachen, Pauwelsstrasse 30,  52074, Aachen, Germany.; Department of Medicine III, University Hospital RWTH Aachen, Pauwelsstrasse 30,  52074, Aachen, Germany.; Department of Medicine III, University Hospital RWTH Aachen, Pauwelsstrasse 30,  52074, Aachen, Germany.; Department of Medicine III, University Hospital RWTH Aachen, Pauwelsstrasse 30,  52074, Aachen, Germany.; Division of Gastroenterology, Hepatology and Hepatobiliary Oncology, University  Hospital RWTH Aachen, Pauwelsstrasse 30, 52074, Aachen, Germany.; Division of Gastroenterology, Hepatology and Hepatobiliary Oncology, University  Hospital RWTH Aachen, Pauwelsstrasse 30, 52074, Aachen, Germany.; Department of Visceral and Transplantation Surgery, University Hospital RWTH  Aachen, Pauwelsstrasse 30, 52074, Aachen, Germany.; Department of Visceral and Transplantation Surgery, University Hospital RWTH  Aachen, Pauwelsstrasse 30, 52074, Aachen, Germany.; Department of Visceral and Transplantation Surgery, University Hospital RWTH  Aachen, Pauwelsstrasse 30, 52074, Aachen, Germany.; Department of Visceral and Transplantation Surgery, University Hospital RWTH  Aachen, Pauwelsstrasse 30, 52074, Aachen, Germany.; Department of Medicine III, University Hospital RWTH Aachen, Pauwelsstrasse 30,  52074, Aachen, Germany.; Department of Medicine III, University Hospital RWTH Aachen, Pauwelsstrasse 30,  52074, Aachen, Germany.; Institute of Pathology, University Hospital RWTH Aachen, Pauwelsstrasse 30,  52074, Aachen, Germany.; Department of Visceral and Transplantation Surgery, University Hospital RWTH  Aachen, Pauwelsstrasse 30, 52074, Aachen, Germany.; Department of Surgery, Maastricht University Medical Centre (MUMC), PO Box 5800,  Maastricht, The Netherlands.; Department of Visceral and Transplantation Surgery, University Hospital RWTH  Aachen, Pauwelsstrasse 30, 52074, Aachen, Germany. uneumann@ukaachen.de.; Department of Surgery, Maastricht University Medical Centre (MUMC), PO Box 5800,  Maastricht, The Netherlands. uneumann@ukaachen.de.; Department of Medicine III, University Hospital RWTH Aachen, Pauwelsstrasse 30,  52074, Aachen, Germany. tluedde@ukaachen.de.; Division of Gastroenterology, Hepatology and Hepatobiliary Oncology, University  Hospital RWTH Aachen, Pauwelsstrasse 30, 52074, Aachen, Germany.  tluedde@ukaachen.de.&lt;/_author_adr&gt;&lt;_collection_scope&gt;SCIE&lt;/_collection_scope&gt;&lt;_created&gt;64777752&lt;/_created&gt;&lt;_date&gt;2017-12-05&lt;/_date&gt;&lt;_date_display&gt;2017 Dec 5&lt;/_date_display&gt;&lt;_db_updated&gt;PubMed&lt;/_db_updated&gt;&lt;_doi&gt;10.1038/s41598-017-17175-7&lt;/_doi&gt;&lt;_impact_factor&gt;   4.996&lt;/_impact_factor&gt;&lt;_isbn&gt;2045-2322 (Electronic); 2045-2322 (Linking)&lt;/_isbn&gt;&lt;_issue&gt;1&lt;/_issue&gt;&lt;_journal&gt;Sci Rep&lt;/_journal&gt;&lt;_language&gt;eng&lt;/_language&gt;&lt;_modified&gt;64777752&lt;/_modified&gt;&lt;_pages&gt;16975&lt;/_pages&gt;&lt;_social_category&gt;综合性期刊(3)&lt;/_social_category&gt;&lt;_subject_headings&gt;Adult; Aged; Aged, 80 and over; Bile Duct Neoplasms/mortality/*surgery; Biomarkers, Tumor/blood; CA-19-9 Antigen/*blood; Carcinoembryonic Antigen/*blood; Case-Control Studies; Cholangiocarcinoma/mortality/*surgery; Cholangitis, Sclerosing/blood; Female; Humans; Male; Middle Aged; Preoperative Care; Prognosis; Treatment Outcome&lt;/_subject_headings&gt;&lt;_tertiary_title&gt;Scientific reports&lt;/_tertiary_title&gt;&lt;_type_work&gt;Journal Article; Observational Study; Research Support, Non-U.S. Gov&amp;apos;t&lt;/_type_work&gt;&lt;_url&gt;http://www.ncbi.nlm.nih.gov/entrez/query.fcgi?cmd=Retrieve&amp;amp;db=pubmed&amp;amp;dopt=Abstract&amp;amp;list_uids=29208940&amp;amp;query_hl=1&lt;/_url&gt;&lt;_volume&gt;7&lt;/_volume&gt;&lt;/Details&gt;&lt;Extra&gt;&lt;DBUID&gt;{F96A950B-833F-4880-A151-76DA2D6A2879}&lt;/DBUID&gt;&lt;/Extra&gt;&lt;/Item&gt;&lt;/References&gt;&lt;/Group&gt;&lt;/Citation&gt;_x000a_"/>
    <w:docVar w:name="NE.Ref{520701B7-8EF9-4E23-AF69-60A3F508F4E8}" w:val=" ADDIN NE.Ref.{520701B7-8EF9-4E23-AF69-60A3F508F4E8}&lt;Citation&gt;&lt;Group&gt;&lt;References&gt;&lt;Item&gt;&lt;ID&gt;780&lt;/ID&gt;&lt;UID&gt;{8A0E6304-BD92-47C7-948B-62335F84652E}&lt;/UID&gt;&lt;Title&gt;Combining Preoperative Clinical and Imaging Characteristics to Predict MVI in  Hepatitis B Virus-Related Combined Hepatocellular Carcinoma and  Cholangiocarcinoma&lt;/Title&gt;&lt;Template&gt;Journal Article&lt;/Template&gt;&lt;Star&gt;0&lt;/Star&gt;&lt;Tag&gt;0&lt;/Tag&gt;&lt;Author&gt;Huang, S S; Zuo, M X; Xie, C M&lt;/Author&gt;&lt;Year&gt;2023&lt;/Year&gt;&lt;Details&gt;&lt;_accession_num&gt;36836479&lt;/_accession_num&gt;&lt;_author_adr&gt;Department of Radiology, State Key Laboratory of Oncology in South China, Sun  Yat-sen University Cancer Center, Guangzhou 510060, China.; Department of Minimal Invasive Intervention, State Key Laboratory of Oncology in  South China, Sun Yat-sen University Cancer Center, Guangzhou 510060, China.; Department of Radiology, State Key Laboratory of Oncology in South China, Sun  Yat-sen University Cancer Center, Guangzhou 510060, China.&lt;/_author_adr&gt;&lt;_collection_scope&gt;SCIE&lt;/_collection_scope&gt;&lt;_created&gt;64776668&lt;/_created&gt;&lt;_date&gt;2023-01-29&lt;/_date&gt;&lt;_date_display&gt;2023 Jan 29&lt;/_date_display&gt;&lt;_db_updated&gt;PubMed&lt;/_db_updated&gt;&lt;_doi&gt;10.3390/jpm13020246&lt;/_doi&gt;&lt;_impact_factor&gt;   3.508&lt;/_impact_factor&gt;&lt;_isbn&gt;2075-4426 (Print); 2075-4426 (Electronic); 2075-4426 (Linking)&lt;/_isbn&gt;&lt;_issue&gt;2&lt;/_issue&gt;&lt;_journal&gt;J Pers Med&lt;/_journal&gt;&lt;_keywords&gt;combined hepatocellular-cholangiocarcinoma; hepatitis B virus; microvascular invasion; prediction; preoperative&lt;/_keywords&gt;&lt;_language&gt;eng&lt;/_language&gt;&lt;_modified&gt;64776668&lt;/_modified&gt;&lt;_social_category&gt;医学(3)&lt;/_social_category&gt;&lt;_tertiary_title&gt;Journal of personalized medicine&lt;/_tertiary_title&gt;&lt;_type_work&gt;Journal Article&lt;/_type_work&gt;&lt;_url&gt;http://www.ncbi.nlm.nih.gov/entrez/query.fcgi?cmd=Retrieve&amp;amp;db=pubmed&amp;amp;dopt=Abstract&amp;amp;list_uids=36836479&amp;amp;query_hl=1&lt;/_url&gt;&lt;_volume&gt;13&lt;/_volume&gt;&lt;/Details&gt;&lt;Extra&gt;&lt;DBUID&gt;{F96A950B-833F-4880-A151-76DA2D6A2879}&lt;/DBUID&gt;&lt;/Extra&gt;&lt;/Item&gt;&lt;/References&gt;&lt;/Group&gt;&lt;Group&gt;&lt;References&gt;&lt;Item&gt;&lt;ID&gt;781&lt;/ID&gt;&lt;UID&gt;{4FD680D7-2D8B-490F-A6FD-831284957E53}&lt;/UID&gt;&lt;Title&gt;A Radiomics Nomogram for Preoperative Prediction of Microvascular Invasion in  Hepatocellular Carcinoma&lt;/Title&gt;&lt;Template&gt;Journal Article&lt;/Template&gt;&lt;Star&gt;0&lt;/Star&gt;&lt;Tag&gt;0&lt;/Tag&gt;&lt;Author&gt;Yang, L; Gu, D; Wei, J; Yang, C; Rao, S; Wang, W; Chen, C; Ding, Y; Tian, J; Zeng, M&lt;/Author&gt;&lt;Year&gt;2019&lt;/Year&gt;&lt;Details&gt;&lt;_accession_num&gt;31768346&lt;/_accession_num&gt;&lt;_author_adr&gt;Department of Radiology, Shanghai Institute of Medical Imaging, Zhongshan  Hospital, Fudan University, Shanghai, China.; Key Laboratory of Molecular Imaging, Institute of Automation, Chinese Academy of  Sciences, Beijing, China.; Key Laboratory of Molecular Imaging, Institute of Automation, Chinese Academy of  Sciences, Beijing, China.; Department of Radiology, Shanghai Institute of Medical Imaging, Zhongshan  Hospital, Fudan University, Shanghai, China.; Department of Radiology, Shanghai Institute of Medical Imaging, Zhongshan  Hospital, Fudan University, Shanghai, China.; Department of Radiology, Shanghai Institute of Medical Imaging, Zhongshan  Hospital, Fudan University, Shanghai, China.; Department of Radiology, Shanghai Institute of Medical Imaging, Zhongshan  Hospital, Fudan University, Shanghai, China.; Department of Radiology, Shanghai Institute of Medical Imaging, Zhongshan  Hospital, Fudan University, Shanghai, China.; Key Laboratory of Molecular Imaging, Institute of Automation, Chinese Academy of  Sciences, Beijing, China.; Department of Radiology, Shanghai Institute of Medical Imaging, Zhongshan  Hospital, Fudan University, Shanghai, China.&lt;/_author_adr&gt;&lt;_collection_scope&gt;SCIE&lt;/_collection_scope&gt;&lt;_created&gt;64776673&lt;/_created&gt;&lt;_date&gt;2019-10-01&lt;/_date&gt;&lt;_date_display&gt;2019 Oct&lt;/_date_display&gt;&lt;_db_updated&gt;PubMed&lt;/_db_updated&gt;&lt;_doi&gt;10.1159/000494099&lt;/_doi&gt;&lt;_impact_factor&gt;  12.430&lt;/_impact_factor&gt;&lt;_isbn&gt;2235-1795 (Print); 1664-5553 (Electronic); 1664-5553 (Linking)&lt;/_isbn&gt;&lt;_issue&gt;5&lt;/_issue&gt;&lt;_journal&gt;Liver Cancer&lt;/_journal&gt;&lt;_keywords&gt;Gadoxetic acid; Hepatocellular carcinoma; Microvascular invasion; Nomogram; Radiomics&lt;/_keywords&gt;&lt;_language&gt;eng&lt;/_language&gt;&lt;_modified&gt;64776673&lt;/_modified&gt;&lt;_ori_publication&gt;Copyright (c) 2018 by S. Karger AG, Basel.&lt;/_ori_publication&gt;&lt;_pages&gt;373-386&lt;/_pages&gt;&lt;_social_category&gt;医学(1)&lt;/_social_category&gt;&lt;_tertiary_title&gt;Liver cancer&lt;/_tertiary_title&gt;&lt;_type_work&gt;Journal Article&lt;/_type_work&gt;&lt;_url&gt;http://www.ncbi.nlm.nih.gov/entrez/query.fcgi?cmd=Retrieve&amp;amp;db=pubmed&amp;amp;dopt=Abstract&amp;amp;list_uids=31768346&amp;amp;query_hl=1&lt;/_url&gt;&lt;_volume&gt;8&lt;/_volume&gt;&lt;/Details&gt;&lt;Extra&gt;&lt;DBUID&gt;{F96A950B-833F-4880-A151-76DA2D6A2879}&lt;/DBUID&gt;&lt;/Extra&gt;&lt;/Item&gt;&lt;/References&gt;&lt;/Group&gt;&lt;Group&gt;&lt;References&gt;&lt;Item&gt;&lt;ID&gt;782&lt;/ID&gt;&lt;UID&gt;{8A7A936A-BE84-46CD-A2C3-23AD47B3F223}&lt;/UID&gt;&lt;Title&gt;Prediction of HCC microvascular invasion with gadobenate-enhanced MRI:  correlation with pathology&lt;/Title&gt;&lt;Template&gt;Journal Article&lt;/Template&gt;&lt;Star&gt;0&lt;/Star&gt;&lt;Tag&gt;0&lt;/Tag&gt;&lt;Author&gt;Zhang, L; Yu, X; Wei, W; Pan, X; Lu, L; Xia, J; Zheng, W; Jia, N; Huo, L&lt;/Author&gt;&lt;Year&gt;2020&lt;/Year&gt;&lt;Details&gt;&lt;_accession_num&gt;32367417&lt;/_accession_num&gt;&lt;_author_adr&gt;Department of Radiology, Nanfang Hospital, Southern Medical University,  Guangzhou, 510515, China.; Department of Gastrointestinal Surgery, Chongqing University Cancer Hospital &amp;amp;  Chongqing Cancer Institute &amp;amp; Chongqing Cancer Hospital, Chongqing, 400030, China.; Department of Hepatic Surgery, Eastern Hepatobiliary Surgery Hospital, Second  Military Medical University, Shanghai, 200438, China.; Department of Radiology, Eastern Hepatobiliary Surgery Hospital, Second Military  Medical University, Shanghai, 200438, China.; Department of Radiology, Eastern Hepatobiliary Surgery Hospital, Second Military  Medical University, Shanghai, 200438, China.; Department of Radiology, Eastern Hepatobiliary Surgery Hospital, Second Military  Medical University, Shanghai, 200438, China.; Department of Radiology, Eastern Hepatobiliary Surgery Hospital, Second Military  Medical University, Shanghai, 200438, China.; Department of Radiology, Eastern Hepatobiliary Surgery Hospital, Second Military  Medical University, Shanghai, 200438, China. jianingyang6@163.com.; Department of Radiology, Eastern Hepatobiliary Surgery Hospital, Second Military  Medical University, Shanghai, 200438, China. leidfgd@163.com.&lt;/_author_adr&gt;&lt;_collection_scope&gt;SCIE&lt;/_collection_scope&gt;&lt;_created&gt;64776679&lt;/_created&gt;&lt;_date&gt;2020-10-01&lt;/_date&gt;&lt;_date_display&gt;2020 Oct&lt;/_date_display&gt;&lt;_db_updated&gt;PubMed&lt;/_db_updated&gt;&lt;_doi&gt;10.1007/s00330-020-06895-6&lt;/_doi&gt;&lt;_impact_factor&gt;   7.034&lt;/_impact_factor&gt;&lt;_isbn&gt;1432-1084 (Electronic); 0938-7994 (Linking)&lt;/_isbn&gt;&lt;_issue&gt;10&lt;/_issue&gt;&lt;_journal&gt;Eur Radiol&lt;/_journal&gt;&lt;_keywords&gt;Gadolinium; Hepatocellular carcinoma; Liver neoplasms; Magnetic resonance imaging; Risk factors&lt;/_keywords&gt;&lt;_language&gt;eng&lt;/_language&gt;&lt;_modified&gt;64776679&lt;/_modified&gt;&lt;_pages&gt;5327-5336&lt;/_pages&gt;&lt;_social_category&gt;医学(2)&lt;/_social_category&gt;&lt;_subject_headings&gt;Adolescent; Adult; Aged; Aged, 80 and over; Carcinoma, Hepatocellular/*pathology; Contrast Media/pharmacology; Female; Gadolinium DTPA/*pharmacology; Humans; Liver/*pathology; Liver Neoplasms/*pathology; Magnetic Resonance Imaging/*methods; Male; Middle Aged; Neoplasm Invasiveness; Odds Ratio; Retrospective Studies; Young Adult&lt;/_subject_headings&gt;&lt;_tertiary_title&gt;European radiology&lt;/_tertiary_title&gt;&lt;_type_work&gt;Journal Article&lt;/_type_work&gt;&lt;_url&gt;http://www.ncbi.nlm.nih.gov/entrez/query.fcgi?cmd=Retrieve&amp;amp;db=pubmed&amp;amp;dopt=Abstract&amp;amp;list_uids=32367417&amp;amp;query_hl=1&lt;/_url&gt;&lt;_volume&gt;30&lt;/_volume&gt;&lt;/Details&gt;&lt;Extra&gt;&lt;DBUID&gt;{F96A950B-833F-4880-A151-76DA2D6A2879}&lt;/DBUID&gt;&lt;/Extra&gt;&lt;/Item&gt;&lt;/References&gt;&lt;/Group&gt;&lt;/Citation&gt;_x000a_"/>
    <w:docVar w:name="NE.Ref{6F1C31FE-E333-46CA-9854-90FFA1E8130B}" w:val=" ADDIN NE.Ref.{6F1C31FE-E333-46CA-9854-90FFA1E8130B}&lt;Citation&gt;&lt;Group&gt;&lt;References&gt;&lt;Item&gt;&lt;ID&gt;778&lt;/ID&gt;&lt;UID&gt;{01313BE4-74BB-485B-A384-318CEF17ADB3}&lt;/UID&gt;&lt;Title&gt;Combined hepatocellular-cholangiocarcinoma: which preoperative clinical data and  conventional MRI characteristics have value for the prediction of microvascular  invasion and clinical significance?&lt;/Title&gt;&lt;Template&gt;Journal Article&lt;/Template&gt;&lt;Star&gt;0&lt;/Star&gt;&lt;Tag&gt;0&lt;/Tag&gt;&lt;Author&gt;Wang, X; Wang, W; Ma, X; Lu, X; Li, S; Zeng, M; Xu, K; Yang, C&lt;/Author&gt;&lt;Year&gt;2020&lt;/Year&gt;&lt;Details&gt;&lt;_accession_num&gt;32385649&lt;/_accession_num&gt;&lt;_author_adr&gt;Department of Radiology, Zhongshan Hospital, Fudan University, No. 180 Fenglin  Road, Xuhui District, Shanghai, China.; Department of Radiology, The Affiliated Hospital of Xuzhou Medical University,  No. 99 Huaihai West Road, Xuzhou, Jiangsu Province, China.; School of Medical Imaging, Xuzhou Medical University, Xuzhou, Jiangsu Province,  China.; Department of Radiology, Zhongshan Hospital, Fudan University, No. 180 Fenglin  Road, Xuhui District, Shanghai, China.; Department of Radiology, Xuzhou Central Hospital, Xuzhou, Jiangsu Province,  China.; Department of Radiology, The Affiliated Hospital of Xuzhou Medical University,  No. 99 Huaihai West Road, Xuzhou, Jiangsu Province, China.; School of Medical Imaging, Xuzhou Medical University, Xuzhou, Jiangsu Province,  China.; Department of Radiology, The Affiliated Hospital of Xuzhou Medical University,  No. 99 Huaihai West Road, Xuzhou, Jiangsu Province, China.; School of Medical Imaging, Xuzhou Medical University, Xuzhou, Jiangsu Province,  China.; Department of Radiology, Zhongshan Hospital, Fudan University, No. 180 Fenglin  Road, Xuhui District, Shanghai, China.; Department of Radiology, The Affiliated Hospital of Xuzhou Medical University,  No. 99 Huaihai West Road, Xuzhou, Jiangsu Province, China. xkpaper@163.com.; School of Medical Imaging, Xuzhou Medical University, Xuzhou, Jiangsu Province,  China. xkpaper@163.com.; Department of Radiology, Zhongshan Hospital, Fudan University, No. 180 Fenglin  Road, Xuhui District, Shanghai, China. dryangchun@hotmail.com.&lt;/_author_adr&gt;&lt;_collection_scope&gt;SCIE&lt;/_collection_scope&gt;&lt;_created&gt;64769345&lt;/_created&gt;&lt;_date&gt;2020-10-01&lt;/_date&gt;&lt;_date_display&gt;2020 Oct&lt;/_date_display&gt;&lt;_db_updated&gt;PubMed&lt;/_db_updated&gt;&lt;_doi&gt;10.1007/s00330-020-06861-2&lt;/_doi&gt;&lt;_impact_factor&gt;   7.034&lt;/_impact_factor&gt;&lt;_isbn&gt;1432-1084 (Electronic); 0938-7994 (Print); 0938-7994 (Linking)&lt;/_isbn&gt;&lt;_issue&gt;10&lt;/_issue&gt;&lt;_journal&gt;Eur Radiol&lt;/_journal&gt;&lt;_keywords&gt;Liver neoplasms; Magnetic resonance imaging; Neoplasm invasiveness&lt;/_keywords&gt;&lt;_language&gt;eng&lt;/_language&gt;&lt;_modified&gt;64769345&lt;/_modified&gt;&lt;_pages&gt;5337-5347&lt;/_pages&gt;&lt;_social_category&gt;医学(2)&lt;/_social_category&gt;&lt;_subject_headings&gt;Adult; Aged; Bile Duct Neoplasms/blood supply/diagnostic imaging/*pathology/surgery; Bile Ducts, Intrahepatic/pathology; Biomarkers, Tumor/blood; Carcinoma, Hepatocellular/blood supply/diagnostic imaging/*pathology/surgery; Cholangiocarcinoma/blood supply/diagnostic imaging/*pathology/surgery; Disease-Free Survival; Female; Hepatectomy; Humans; Liver Neoplasms/blood supply/diagnostic imaging/*pathology/surgery; Magnetic Resonance Imaging; Male; Microcirculation; Middle Aged; Neoplasm Invasiveness; Neoplasms, Multiple Primary/blood supply/diagnostic imaging/*pathology/surgery; Recurrence; Retrospective Studies&lt;/_subject_headings&gt;&lt;_tertiary_title&gt;European radiology&lt;/_tertiary_title&gt;&lt;_type_work&gt;Journal Article&lt;/_type_work&gt;&lt;_url&gt;http://www.ncbi.nlm.nih.gov/entrez/query.fcgi?cmd=Retrieve&amp;amp;db=pubmed&amp;amp;dopt=Abstract&amp;amp;list_uids=32385649&amp;amp;query_hl=1&lt;/_url&gt;&lt;_volume&gt;30&lt;/_volume&gt;&lt;/Details&gt;&lt;Extra&gt;&lt;DBUID&gt;{F96A950B-833F-4880-A151-76DA2D6A2879}&lt;/DBUID&gt;&lt;/Extra&gt;&lt;/Item&gt;&lt;/References&gt;&lt;/Group&gt;&lt;Group&gt;&lt;References&gt;&lt;Item&gt;&lt;ID&gt;780&lt;/ID&gt;&lt;UID&gt;{8A0E6304-BD92-47C7-948B-62335F84652E}&lt;/UID&gt;&lt;Title&gt;Combining Preoperative Clinical and Imaging Characteristics to Predict MVI in  Hepatitis B Virus-Related Combined Hepatocellular Carcinoma and  Cholangiocarcinoma&lt;/Title&gt;&lt;Template&gt;Journal Article&lt;/Template&gt;&lt;Star&gt;0&lt;/Star&gt;&lt;Tag&gt;0&lt;/Tag&gt;&lt;Author&gt;Huang, S S; Zuo, M X; Xie, C M&lt;/Author&gt;&lt;Year&gt;2023&lt;/Year&gt;&lt;Details&gt;&lt;_accession_num&gt;36836479&lt;/_accession_num&gt;&lt;_author_adr&gt;Department of Radiology, State Key Laboratory of Oncology in South China, Sun  Yat-sen University Cancer Center, Guangzhou 510060, China.; Department of Minimal Invasive Intervention, State Key Laboratory of Oncology in  South China, Sun Yat-sen University Cancer Center, Guangzhou 510060, China.; Department of Radiology, State Key Laboratory of Oncology in South China, Sun  Yat-sen University Cancer Center, Guangzhou 510060, China.&lt;/_author_adr&gt;&lt;_collection_scope&gt;SCIE&lt;/_collection_scope&gt;&lt;_created&gt;64776668&lt;/_created&gt;&lt;_date&gt;2023-01-29&lt;/_date&gt;&lt;_date_display&gt;2023 Jan 29&lt;/_date_display&gt;&lt;_db_updated&gt;PubMed&lt;/_db_updated&gt;&lt;_doi&gt;10.3390/jpm13020246&lt;/_doi&gt;&lt;_impact_factor&gt;   3.508&lt;/_impact_factor&gt;&lt;_isbn&gt;2075-4426 (Print); 2075-4426 (Electronic); 2075-4426 (Linking)&lt;/_isbn&gt;&lt;_issue&gt;2&lt;/_issue&gt;&lt;_journal&gt;J Pers Med&lt;/_journal&gt;&lt;_keywords&gt;combined hepatocellular-cholangiocarcinoma; hepatitis B virus; microvascular invasion; prediction; preoperative&lt;/_keywords&gt;&lt;_language&gt;eng&lt;/_language&gt;&lt;_modified&gt;64776668&lt;/_modified&gt;&lt;_social_category&gt;医学(3)&lt;/_social_category&gt;&lt;_tertiary_title&gt;Journal of personalized medicine&lt;/_tertiary_title&gt;&lt;_type_work&gt;Journal Article&lt;/_type_work&gt;&lt;_url&gt;http://www.ncbi.nlm.nih.gov/entrez/query.fcgi?cmd=Retrieve&amp;amp;db=pubmed&amp;amp;dopt=Abstract&amp;amp;list_uids=36836479&amp;amp;query_hl=1&lt;/_url&gt;&lt;_volume&gt;13&lt;/_volume&gt;&lt;/Details&gt;&lt;Extra&gt;&lt;DBUID&gt;{F96A950B-833F-4880-A151-76DA2D6A2879}&lt;/DBUID&gt;&lt;/Extra&gt;&lt;/Item&gt;&lt;/References&gt;&lt;/Group&gt;&lt;/Citation&gt;_x000a_"/>
    <w:docVar w:name="NE.Ref{94AF9D25-E34A-4371-99A4-12EB79012C0D}" w:val=" ADDIN NE.Ref.{94AF9D25-E34A-4371-99A4-12EB79012C0D}&lt;Citation&gt;&lt;Group&gt;&lt;References&gt;&lt;Item&gt;&lt;ID&gt;774&lt;/ID&gt;&lt;UID&gt;{991FEF18-2208-43EC-822B-A8DDC685E308}&lt;/UID&gt;&lt;Title&gt;Identification and Validation of a Prognostic Model Based on Three MVI-Related  Genes in Hepatocellular Carcinoma&lt;/Title&gt;&lt;Template&gt;Journal Article&lt;/Template&gt;&lt;Star&gt;0&lt;/Star&gt;&lt;Tag&gt;0&lt;/Tag&gt;&lt;Author&gt;Tang, Y; Xu, L; Ren, Y; Li, Y; Yuan, F; Cao, M; Zhang, Y; Deng, M; Yao, Z&lt;/Author&gt;&lt;Year&gt;2022&lt;/Year&gt;&lt;Details&gt;&lt;_accession_num&gt;34975331&lt;/_accession_num&gt;&lt;_author_adr&gt;Department of Hepatobiliary Surgery, The Third Affiliated Hospital, Sun Yat-sen  University, Guangzhou, 510630, China.; Department of Nuclear Medicine, The Seventh Affiliated Hospital, Sun Yat-sen  University, Shenzhen, 518107, China.; Department of Nuclear Medicine, The Third Affiliated Hospital, Sun Yat-sen  University, Guangzhou, 510630, China.; Department of Hepatobiliary Surgery, The Third Affiliated Hospital, Sun Yat-sen  University, Guangzhou, 510630, China.; Department of Hepatobiliary Surgery, The Third Affiliated Hospital, Sun Yat-sen  University, Guangzhou, 510630, China.; Department of Hepatobiliary Surgery, The Third Affiliated Hospital, Sun Yat-sen  University, Guangzhou, 510630, China.; Department of Hepatobiliary Surgery, The Third Affiliated Hospital, Sun Yat-sen  University, Guangzhou, 510630, China.; Department of Nuclear Medicine, The Third Affiliated Hospital, Sun Yat-sen  University, Guangzhou, 510630, China.; Department of Hepatobiliary Surgery, The Third Affiliated Hospital, Sun Yat-sen  University, Guangzhou, 510630, China.; Department of General Surgery, The Third Affiliated Hospital, Sun Yat-sen  University, Guangzhou, 510630, China.&lt;/_author_adr&gt;&lt;_collection_scope&gt;SCIE&lt;/_collection_scope&gt;&lt;_created&gt;64769335&lt;/_created&gt;&lt;_date&gt;2022-01-20&lt;/_date&gt;&lt;_date_display&gt;2022&lt;/_date_display&gt;&lt;_db_updated&gt;PubMed&lt;/_db_updated&gt;&lt;_doi&gt;10.7150/ijbs.66536&lt;/_doi&gt;&lt;_impact_factor&gt;  10.750&lt;/_impact_factor&gt;&lt;_isbn&gt;1449-2288 (Electronic); 1449-2288 (Linking)&lt;/_isbn&gt;&lt;_issue&gt;1&lt;/_issue&gt;&lt;_journal&gt;Int J Biol Sci&lt;/_journal&gt;&lt;_keywords&gt;Hepatocellular Carcinoma; MVI; MVI-related Gene; Prognostic Model&lt;/_keywords&gt;&lt;_language&gt;eng&lt;/_language&gt;&lt;_modified&gt;64769335&lt;/_modified&gt;&lt;_ori_publication&gt;(c) The author(s).&lt;/_ori_publication&gt;&lt;_pages&gt;261-275&lt;/_pages&gt;&lt;_social_category&gt;生物学(2)&lt;/_social_category&gt;&lt;_subject_headings&gt;Arginase/*genetics; Carcinoma, Hepatocellular/*genetics; Cell Cycle Proteins/*genetics; Disease-Free Survival; Humans; Liver Neoplasms/*genetics; *Models, Statistical; Monocarboxylic Acid Transporters/*genetics; Predictive Value of Tests; Risk Factors; Symporters/*genetics&lt;/_subject_headings&gt;&lt;_tertiary_title&gt;International journal of biological sciences&lt;/_tertiary_title&gt;&lt;_type_work&gt;Journal Article; Research Support, Non-U.S. Gov&amp;apos;t; Validation Study&lt;/_type_work&gt;&lt;_url&gt;http://www.ncbi.nlm.nih.gov/entrez/query.fcgi?cmd=Retrieve&amp;amp;db=pubmed&amp;amp;dopt=Abstract&amp;amp;list_uids=34975331&amp;amp;query_hl=1&lt;/_url&gt;&lt;_volume&gt;18&lt;/_volume&gt;&lt;/Details&gt;&lt;Extra&gt;&lt;DBUID&gt;{F96A950B-833F-4880-A151-76DA2D6A2879}&lt;/DBUID&gt;&lt;/Extra&gt;&lt;/Item&gt;&lt;/References&gt;&lt;/Group&gt;&lt;Group&gt;&lt;References&gt;&lt;Item&gt;&lt;ID&gt;775&lt;/ID&gt;&lt;UID&gt;{B7E66659-9BF5-4262-9B79-DD128CD06D1F}&lt;/UID&gt;&lt;Title&gt;Radiomic analysis of contrast-enhanced CT predicts microvascular invasion and  outcome in hepatocellular carcinoma&lt;/Title&gt;&lt;Template&gt;Journal Article&lt;/Template&gt;&lt;Star&gt;0&lt;/Star&gt;&lt;Tag&gt;0&lt;/Tag&gt;&lt;Author&gt;Xu, X; Zhang, H L; Liu, Q P; Sun, S W; Zhang, J; Zhu, F P; Yang, G; Yan, X; Zhang, Y D; Liu, X S&lt;/Author&gt;&lt;Year&gt;2019&lt;/Year&gt;&lt;Details&gt;&lt;_accession_num&gt;30876945&lt;/_accession_num&gt;&lt;_author_adr&gt;Department of Radiology, The First Affiliated Hospital with Nanjing Medical  University, Nanjing, Jiangsu Province, China.; Department of Radiology, The First Affiliated Hospital with Nanjing Medical  University, Nanjing, Jiangsu Province, China.; Department of Radiology, The First Affiliated Hospital with Nanjing Medical  University, Nanjing, Jiangsu Province, China.; Department of Radiology, The First Affiliated Hospital with Nanjing Medical  University, Nanjing, Jiangsu Province, China.; Shanghai Key Laboratory of Magnetic Resonance, East China Normal University,  Shanghai, China.; Department of Radiology, The First Affiliated Hospital with Nanjing Medical  University, Nanjing, Jiangsu Province, China.; Shanghai Key Laboratory of Magnetic Resonance, East China Normal University,  Shanghai, China.; MR Scientific Marketing, Siemens Healthcare, Shanghai, China.; Department of Radiology, The First Affiliated Hospital with Nanjing Medical  University, Nanjing, Jiangsu Province, China. Electronic address:  njmu_zyd@163.com.; Department of Radiology, The First Affiliated Hospital with Nanjing Medical  University, Nanjing, Jiangsu Province, China. Electronic address:  njmu_lxs@163.com.&lt;/_author_adr&gt;&lt;_collection_scope&gt;SCIE&lt;/_collection_scope&gt;&lt;_created&gt;64769337&lt;/_created&gt;&lt;_date&gt;2019-06-01&lt;/_date&gt;&lt;_date_display&gt;2019 Jun&lt;/_date_display&gt;&lt;_db_updated&gt;PubMed&lt;/_db_updated&gt;&lt;_doi&gt;10.1016/j.jhep.2019.02.023&lt;/_doi&gt;&lt;_impact_factor&gt;  30.083&lt;/_impact_factor&gt;&lt;_isbn&gt;1600-0641 (Electronic); 0168-8278 (Linking)&lt;/_isbn&gt;&lt;_issue&gt;6&lt;/_issue&gt;&lt;_journal&gt;J Hepatol&lt;/_journal&gt;&lt;_keywords&gt;Clinical outcome; HCC; Liver imaging score; Microvascular invasion; Radiomics&lt;/_keywords&gt;&lt;_language&gt;eng&lt;/_language&gt;&lt;_modified&gt;64769337&lt;/_modified&gt;&lt;_ori_publication&gt;Copyright (c) 2019 European Association for the Study of the Liver. Published by _x000d__x000a_      Elsevier B.V. All rights reserved.&lt;/_ori_publication&gt;&lt;_pages&gt;1133-1144&lt;/_pages&gt;&lt;_social_category&gt;医学(1)&lt;/_social_category&gt;&lt;_subject_headings&gt;Adult; Aged; Aged, 80 and over; Carcinoma, Hepatocellular/*diagnostic imaging/mortality/pathology; Contrast Media; Female; Humans; Liver Neoplasms/*diagnostic imaging/mortality/pathology; Male; Microvessels/pathology; Middle Aged; Neoplasm Invasiveness; Radiographic Image Enhancement; Retrospective Studies; Tomography, X-Ray Computed/*methods&lt;/_subject_headings&gt;&lt;_tertiary_title&gt;Journal of hepatology&lt;/_tertiary_title&gt;&lt;_type_work&gt;Journal Article; Research Support, Non-U.S. Gov&amp;apos;t&lt;/_type_work&gt;&lt;_url&gt;http://www.ncbi.nlm.nih.gov/entrez/query.fcgi?cmd=Retrieve&amp;amp;db=pubmed&amp;amp;dopt=Abstract&amp;amp;list_uids=30876945&amp;amp;query_hl=1&lt;/_url&gt;&lt;_volume&gt;70&lt;/_volume&gt;&lt;/Details&gt;&lt;Extra&gt;&lt;DBUID&gt;{F96A950B-833F-4880-A151-76DA2D6A2879}&lt;/DBUID&gt;&lt;/Extra&gt;&lt;/Item&gt;&lt;/References&gt;&lt;/Group&gt;&lt;Group&gt;&lt;References&gt;&lt;Item&gt;&lt;ID&gt;776&lt;/ID&gt;&lt;UID&gt;{DAF14267-EF12-4C71-8295-1F4D2845C2F9}&lt;/UID&gt;&lt;Title&gt;Radiomics for the detection of microvascular invasion in hepatocellular  carcinoma&lt;/Title&gt;&lt;Template&gt;Journal Article&lt;/Template&gt;&lt;Star&gt;0&lt;/Star&gt;&lt;Tag&gt;0&lt;/Tag&gt;&lt;Author&gt;Lv, K; Cao, X; &amp;quot;Du P&amp;quot;; Fu, J Y; Geng, D Y; Zhang, J&lt;/Author&gt;&lt;Year&gt;2022&lt;/Year&gt;&lt;Details&gt;&lt;_accession_num&gt;35721882&lt;/_accession_num&gt;&lt;_author_adr&gt;Department of Radiology, Huashan Hospital, Fudan University, Shanghai 200040,  China.; Department of Radiology, Huashan Hospital, Fudan University, Shanghai 200040,  China.; Department of Radiology, Huashan Hospital, Fudan University, Shanghai 200040,  China.; Department of Radiology, Huashan Hospital, Fudan University, Shanghai 200040,  China.; Department of Radiology, Huashan Hospital, Fudan University, Shanghai 200040,  China.; Department of Radiology, Huashan Hospital, Fudan University, Shanghai 200040,  China.&lt;/_author_adr&gt;&lt;_collection_scope&gt;SCIE&lt;/_collection_scope&gt;&lt;_created&gt;64769337&lt;/_created&gt;&lt;_date&gt;2022-05-28&lt;/_date&gt;&lt;_date_display&gt;2022 May 28&lt;/_date_display&gt;&lt;_db_updated&gt;PubMed&lt;/_db_updated&gt;&lt;_doi&gt;10.3748/wjg.v28.i20.2176&lt;/_doi&gt;&lt;_impact_factor&gt;   5.374&lt;/_impact_factor&gt;&lt;_isbn&gt;2219-2840 (Electronic); 1007-9327 (Print); 1007-9327 (Linking)&lt;/_isbn&gt;&lt;_issue&gt;20&lt;/_issue&gt;&lt;_journal&gt;World J Gastroenterol&lt;/_journal&gt;&lt;_keywords&gt;Diagnostic imaging; Hepatocellular carcinoma; Liver; Microvascular invasion; Radiomics; Texture analysis&lt;/_keywords&gt;&lt;_language&gt;eng&lt;/_language&gt;&lt;_modified&gt;64769337&lt;/_modified&gt;&lt;_ori_publication&gt;(c)The Author(s) 2022. Published by Baishideng Publishing Group Inc. All rights _x000d__x000a_      reserved.&lt;/_ori_publication&gt;&lt;_pages&gt;2176-2183&lt;/_pages&gt;&lt;_social_category&gt;医学(3)&lt;/_social_category&gt;&lt;_subject_headings&gt;*Carcinoma, Hepatocellular/pathology; Humans; *Liver Neoplasms/diagnostic imaging/surgery; Microvessels/diagnostic imaging/pathology; Neoplasm Invasiveness/pathology; Retrospective Studies; Tomography, X-Ray Computed/methods&lt;/_subject_headings&gt;&lt;_tertiary_title&gt;World journal of gastroenterology&lt;/_tertiary_title&gt;&lt;_type_work&gt;Journal Article; Review&lt;/_type_work&gt;&lt;_url&gt;http://www.ncbi.nlm.nih.gov/entrez/query.fcgi?cmd=Retrieve&amp;amp;db=pubmed&amp;amp;dopt=Abstract&amp;amp;list_uids=35721882&amp;amp;query_hl=1&lt;/_url&gt;&lt;_volume&gt;28&lt;/_volume&gt;&lt;/Details&gt;&lt;Extra&gt;&lt;DBUID&gt;{F96A950B-833F-4880-A151-76DA2D6A2879}&lt;/DBUID&gt;&lt;/Extra&gt;&lt;/Item&gt;&lt;/References&gt;&lt;/Group&gt;&lt;Group&gt;&lt;References&gt;&lt;Item&gt;&lt;ID&gt;777&lt;/ID&gt;&lt;UID&gt;{D7058200-D887-4D0A-A828-1A2416E83655}&lt;/UID&gt;&lt;Title&gt;Diffusion-Weighted Imaging Reflects Tumor Grading and Microvascular Invasion in  Hepatocellular Carcinoma&lt;/Title&gt;&lt;Template&gt;Journal Article&lt;/Template&gt;&lt;Star&gt;0&lt;/Star&gt;&lt;Tag&gt;0&lt;/Tag&gt;&lt;Author&gt;Surov, A; Pech, M; Omari, J; Fischbach, F; Damm, R; Fischbach, K; Powerski, M; Relja, B; Wienke, A&lt;/Author&gt;&lt;Year&gt;2021&lt;/Year&gt;&lt;Details&gt;&lt;_accession_num&gt;33708636&lt;/_accession_num&gt;&lt;_author_adr&gt;Department of Radiology and Nuclear Medicine University of Magdeburg, Magdeburg,  Germany.; Department of Radiology and Nuclear Medicine University of Magdeburg, Magdeburg,  Germany.; Department of Radiology and Nuclear Medicine University of Magdeburg, Magdeburg,  Germany.; Department of Radiology and Nuclear Medicine University of Magdeburg, Magdeburg,  Germany.; Department of Radiology and Nuclear Medicine University of Magdeburg, Magdeburg,  Germany.; Department of Radiology and Nuclear Medicine University of Magdeburg, Magdeburg,  Germany.; Department of Radiology and Nuclear Medicine University of Magdeburg, Magdeburg,  Germany.; Department of Radiology and Nuclear Medicine University of Magdeburg, Magdeburg,  Germany.; Institute of Medical Epidemiology, Biostatistics, and Informatics,  Martin-Luther-University Halle-Wittenberg, Halle, Germany.&lt;/_author_adr&gt;&lt;_collection_scope&gt;SCIE&lt;/_collection_scope&gt;&lt;_created&gt;64769338&lt;/_created&gt;&lt;_date&gt;2021-02-01&lt;/_date&gt;&lt;_date_display&gt;2021 Feb&lt;/_date_display&gt;&lt;_db_updated&gt;PubMed&lt;/_db_updated&gt;&lt;_doi&gt;10.1159/000511384&lt;/_doi&gt;&lt;_impact_factor&gt;  12.430&lt;/_impact_factor&gt;&lt;_isbn&gt;2235-1795 (Print); 1664-5553 (Electronic); 1664-5553 (Linking)&lt;/_isbn&gt;&lt;_issue&gt;1&lt;/_issue&gt;&lt;_journal&gt;Liver Cancer&lt;/_journal&gt;&lt;_keywords&gt;Diffusion-weighted imaging; Grading; Hepatocellular carcinoma; Microvascular invasion&lt;/_keywords&gt;&lt;_language&gt;eng&lt;/_language&gt;&lt;_modified&gt;64769338&lt;/_modified&gt;&lt;_ori_publication&gt;Copyright (c) 2021 by S. Karger AG, Basel.&lt;/_ori_publication&gt;&lt;_pages&gt;10-24&lt;/_pages&gt;&lt;_social_category&gt;医学(1)&lt;/_social_category&gt;&lt;_tertiary_title&gt;Liver cancer&lt;/_tertiary_title&gt;&lt;_type_work&gt;Journal Article; Review&lt;/_type_work&gt;&lt;_url&gt;http://www.ncbi.nlm.nih.gov/entrez/query.fcgi?cmd=Retrieve&amp;amp;db=pubmed&amp;amp;dopt=Abstract&amp;amp;list_uids=33708636&amp;amp;query_hl=1&lt;/_url&gt;&lt;_volume&gt;10&lt;/_volume&gt;&lt;/Details&gt;&lt;Extra&gt;&lt;DBUID&gt;{F96A950B-833F-4880-A151-76DA2D6A2879}&lt;/DBUID&gt;&lt;/Extra&gt;&lt;/Item&gt;&lt;/References&gt;&lt;/Group&gt;&lt;/Citation&gt;_x000a_"/>
    <w:docVar w:name="NE.Ref{9DB1CAC3-1CD5-40B2-840A-7D4C3FE09937}" w:val=" ADDIN NE.Ref.{9DB1CAC3-1CD5-40B2-840A-7D4C3FE09937}&lt;Citation&gt;&lt;Group&gt;&lt;References&gt;&lt;Item&gt;&lt;ID&gt;770&lt;/ID&gt;&lt;UID&gt;{E388D617-4AE4-4787-B3ED-EB7D7390F2E0}&lt;/UID&gt;&lt;Title&gt;The Worst from Both Worlds: cHCC-ICC&lt;/Title&gt;&lt;Template&gt;Journal Article&lt;/Template&gt;&lt;Star&gt;0&lt;/Star&gt;&lt;Tag&gt;0&lt;/Tag&gt;&lt;Author&gt;Seehawer, M; D&amp;apos;Artista, L; Zender, L&lt;/Author&gt;&lt;Year&gt;2019&lt;/Year&gt;&lt;Details&gt;&lt;_accession_num&gt;31185207&lt;/_accession_num&gt;&lt;_author_adr&gt;Department of Medical Oncology &amp;amp; Pneumology, University Hospital Tubingen, 72076  Tubingen, Germany.; Department of Medical Oncology &amp;amp; Pneumology, University Hospital Tubingen, 72076  Tubingen, Germany.; Department of Medical Oncology &amp;amp; Pneumology, University Hospital Tubingen, 72076  Tubingen, Germany; German Consortium for Translational Cancer Research (DKTK),  German Cancer Research Center (DKFZ), Heidelberg 69120, Germany. Electronic  address: lars.zender@med.uni-tuebingen.de.&lt;/_author_adr&gt;&lt;_collection_scope&gt;SCIE&lt;/_collection_scope&gt;&lt;_created&gt;64766414&lt;/_created&gt;&lt;_date&gt;2019-06-10&lt;/_date&gt;&lt;_date_display&gt;2019 Jun 10&lt;/_date_display&gt;&lt;_db_updated&gt;PubMed&lt;/_db_updated&gt;&lt;_doi&gt;10.1016/j.ccell.2019.05.008&lt;/_doi&gt;&lt;_impact_factor&gt;  38.585&lt;/_impact_factor&gt;&lt;_isbn&gt;1878-3686 (Electronic); 1535-6108 (Linking)&lt;/_isbn&gt;&lt;_issue&gt;6&lt;/_issue&gt;&lt;_journal&gt;Cancer Cell&lt;/_journal&gt;&lt;_language&gt;eng&lt;/_language&gt;&lt;_modified&gt;64766414&lt;/_modified&gt;&lt;_ori_publication&gt;Copyright (c) 2019. Published by Elsevier Inc.&lt;/_ori_publication&gt;&lt;_pages&gt;823-824&lt;/_pages&gt;&lt;_social_category&gt;医学(1)&lt;/_social_category&gt;&lt;_subject_headings&gt;*Bile Duct Neoplasms; *Carcinoma, Hepatocellular; *Cholangiocarcinoma; Genomics; Humans; *Liver Neoplasms; Prognosis; Transcriptome&lt;/_subject_headings&gt;&lt;_tertiary_title&gt;Cancer cell&lt;/_tertiary_title&gt;&lt;_type_work&gt;Comment; Journal Article&lt;/_type_work&gt;&lt;_url&gt;http://www.ncbi.nlm.nih.gov/entrez/query.fcgi?cmd=Retrieve&amp;amp;db=pubmed&amp;amp;dopt=Abstract&amp;amp;list_uids=31185207&amp;amp;query_hl=1&lt;/_url&gt;&lt;_volume&gt;35&lt;/_volume&gt;&lt;/Details&gt;&lt;Extra&gt;&lt;DBUID&gt;{F96A950B-833F-4880-A151-76DA2D6A2879}&lt;/DBUID&gt;&lt;/Extra&gt;&lt;/Item&gt;&lt;/References&gt;&lt;/Group&gt;&lt;/Citation&gt;_x000a_"/>
    <w:docVar w:name="NE.Ref{BB7CD5A3-3442-4F88-AAC1-4996FDC87A87}" w:val=" ADDIN NE.Ref.{BB7CD5A3-3442-4F88-AAC1-4996FDC87A87}&lt;Citation&gt;&lt;Group&gt;&lt;References&gt;&lt;Item&gt;&lt;ID&gt;772&lt;/ID&gt;&lt;UID&gt;{8805257F-9F80-4C48-87E4-5492D8888877}&lt;/UID&gt;&lt;Title&gt;Combined hepatocellular-cholangiocarcinoma derives from liver progenitor cells  and depends on senescence and IL-6 trans-signaling&lt;/Title&gt;&lt;Template&gt;Journal Article&lt;/Template&gt;&lt;Star&gt;0&lt;/Star&gt;&lt;Tag&gt;0&lt;/Tag&gt;&lt;Author&gt;Rosenberg, N; Van Haele, M; Lanton, T; Brashi, N; Bromberg, Z; Adler, H; Giladi, H; Peled, A; Goldenberg, D S; Axelrod, J H; Simerzin, A; Chai, C; Paldor, M; Markezana, A; Yaish, D; Shemulian, Z; Gross, D; Barnoy, S; Gefen, M; Amran, O; Claerhout, S; Fernandez-Vaquero, M; Garcia-Beccaria, M; Heide, D; Shoshkes-Carmel, M; Schmidt, Arras D; Elgavish, S; Nevo, Y; Benyamini, H; Tirnitz-Parker, JEE; Sanchez, A; Herrera, B; Safadi, R; Kaestner, K H; Rose-John, S; Roskams, T; Heikenwalder, M; Galun, E&lt;/Author&gt;&lt;Year&gt;2022&lt;/Year&gt;&lt;Details&gt;&lt;_accession_num&gt;35988690&lt;/_accession_num&gt;&lt;_author_adr&gt;Goldyne Savad Institute of Gene and Cell Therapy, Hadassah Hebrew University  Hospital, Jerusalem, Israel.; Department of Imaging and Pathology, Translational Cell and Tissue Research, KU  Leuven and University Hospitals Leuven, Leuven, Belgium; Department of Pathology,  GROW School for Oncology and Developmental Biology, Maastricht University Medical  Center, Maastricht, the Netherlands.;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Goldyne Savad Institute of Gene and Cell Therapy, Hadassah Hebrew University  Hospital, Jerusalem, Israel.; Department of Imaging and Pathology, Translational Cell and Tissue Research, KU  Leuven and University Hospitals Leuven, Leuven, Belgium.; Division of Chronic Inflammation and Cancer, German Cancer Research Center  (DKFZ), Heidelberg, Germany.; Division of Chronic Inflammation and Cancer, German Cancer Research Center  (DKFZ), Heidelberg, Germany.; Division of Chronic Inflammation and Cancer, German Cancer Research Center  (DKFZ), Heidelberg, Germany.; Department of Genetics and Institute for Diabetes, Obesity, and Metabolism,  Perelman School of Medicine, University of Pennsylvania, Center for Translational  Research, Philadelphia, USA.; Institut fur Biochemie, Christian-Albrechts-Universitat zu Kiel, Kiel, Germany;  Department of Biosciences, University of Salzburg, Salzburg, Austria.; Bioinformatics Unit, The Institute for Medical Research Israel-Canada, Hebrew  University-Hadassah Medical School, Jerusalem, Israel.; Bioinformatics Unit, The Institute for Medical Research Israel-Canada, Hebrew  University-Hadassah Medical School, Jerusalem, Israel.; Bioinformatics Unit, The Institute for Medical Research Israel-Canada, Hebrew  University-Hadassah Medical School, Jerusalem, Israel.; Centre for Medical Research, University of Western Australia &amp;amp; Harry Perkins  Institute of Medical Research, Crawley, Australia.; Department of Biochemistry and Molecular Biology, Faculty of Pharmacy,  Complutense University of Madrid, Spain.; Department of Biochemistry and Molecular Biology, Faculty of Pharmacy,  Complutense University of Madrid, Spain.; The Liver Institute, Hadassah Hebrew University Hospital, Jerusalem, Israel.; Department of Genetics and Institute for Diabetes, Obesity, and Metabolism,  Perelman School of Medicine, University of Pennsylvania, Center for Translational  Research, Philadelphia, USA.; Institut fur Biochemie, Christian-Albrechts-Universitat zu Kiel, Kiel, Germany.; Department of Imaging and Pathology, Translational Cell and Tissue Research, KU  Leuven and University Hospitals Leuven, Leuven, Belgium.; Division of Chronic Inflammation and Cancer, German Cancer Research Center  (DKFZ), Heidelberg, Germany; The M3 Research Institute, Rosenauer Weg 30, Medical  Faculty Tuebingen (MFT), 72076 Tuebingen, Germany. Electronic address:  m.heikenwaelder@dkfz-heidelberg.de.; Goldyne Savad Institute of Gene and Cell Therapy, Hadassah Hebrew University  Hospital, Jerusalem, Israel. Electronic address: eithang@hadassah.org.il.&lt;/_author_adr&gt;&lt;_collection_scope&gt;SCIE&lt;/_collection_scope&gt;&lt;_created&gt;64769295&lt;/_created&gt;&lt;_date&gt;2022-12-01&lt;/_date&gt;&lt;_date_display&gt;2022 Dec&lt;/_date_display&gt;&lt;_db_updated&gt;PubMed&lt;/_db_updated&gt;&lt;_doi&gt;10.1016/j.jhep.2022.07.029&lt;/_doi&gt;&lt;_impact_factor&gt;  30.083&lt;/_impact_factor&gt;&lt;_isbn&gt;1600-0641 (Electronic); 0168-8278 (Linking)&lt;/_isbn&gt;&lt;_issue&gt;6&lt;/_issue&gt;&lt;_journal&gt;J Hepatol&lt;/_journal&gt;&lt;_keywords&gt;Cancer stem cells; Hepatocarcinogenesis; Inflammation-induced cancer; Oval cells&lt;/_keywords&gt;&lt;_language&gt;eng&lt;/_language&gt;&lt;_modified&gt;64769295&lt;/_modified&gt;&lt;_ori_publication&gt;Copyright (c) 2022 European Association for the Study of the Liver. Published by _x000d__x000a_      Elsevier B.V. All rights reserved.&lt;/_ori_publication&gt;&lt;_pages&gt;1631-1641&lt;/_pages&gt;&lt;_social_category&gt;医学(1)&lt;/_social_category&gt;&lt;_subject_headings&gt;Mice; Animals; *Carcinoma, Hepatocellular/genetics; *Liver Neoplasms/genetics; *Cholangiocarcinoma; Stem Cells; Signal Transduction; Carcinogenesis; RNA; *Bile Duct Neoplasms; Bile Ducts, Intrahepatic; Forkhead Transcription Factors&lt;/_subject_headings&gt;&lt;_tertiary_title&gt;Journal of hepatology&lt;/_tertiary_title&gt;&lt;_type_work&gt;Journal Article; Research Support, N.I.H., Extramural; Research Support, Non-U.S. Gov&amp;apos;t&lt;/_type_work&gt;&lt;_url&gt;http://www.ncbi.nlm.nih.gov/entrez/query.fcgi?cmd=Retrieve&amp;amp;db=pubmed&amp;amp;dopt=Abstract&amp;amp;list_uids=35988690&amp;amp;query_hl=1&lt;/_url&gt;&lt;_volume&gt;77&lt;/_volume&gt;&lt;/Details&gt;&lt;Extra&gt;&lt;DBUID&gt;{F96A950B-833F-4880-A151-76DA2D6A2879}&lt;/DBUID&gt;&lt;/Extra&gt;&lt;/Item&gt;&lt;/References&gt;&lt;/Group&gt;&lt;/Citation&gt;_x000a_"/>
    <w:docVar w:name="NE.Ref{CCA94911-6467-4150-922B-35422F9554BD}" w:val=" ADDIN NE.Ref.{CCA94911-6467-4150-922B-35422F9554BD}&lt;Citation&gt;&lt;Group&gt;&lt;References&gt;&lt;Item&gt;&lt;ID&gt;771&lt;/ID&gt;&lt;UID&gt;{C3C81EB7-D296-417B-9A13-D9620467CBAA}&lt;/UID&gt;&lt;Title&gt;Genomic and Transcriptomic Profiling of Combined Hepatocellular and Intrahepatic  Cholangiocarcinoma Reveals Distinct Molecular Subtypes&lt;/Title&gt;&lt;Template&gt;Journal Article&lt;/Template&gt;&lt;Star&gt;0&lt;/Star&gt;&lt;Tag&gt;0&lt;/Tag&gt;&lt;Author&gt;Xue, R; Chen, L; Zhang, C; Fujita, M; Li, R; Yan, S M; Ong, C K; Liao, X; Gao, Q; Sasagawa, S; Li, Y; Wang, J; Guo, H; Huang, Q T; Zhong, Q; Tan, J; Qi, L; Gong, W; Hong, Z; Li, M; Zhao, J; Peng, T; Lu, Y; Lim, KHT; Boot, A; Ono, A; Chayama, K; Zhang, Z; Rozen, S G; Teh, B T; Wang, X W; Nakagawa, H; Zeng, M S; Bai, F; Zhang, N&lt;/Author&gt;&lt;Year&gt;2019&lt;/Year&gt;&lt;Details&gt;&lt;_accession_num&gt;31130341&lt;/_accession_num&gt;&lt;_author_adr&gt;Biomedical Pioneering Innovation Center (BIOPIC) and Translational Cancer  Research Center, School of Life Sciences, First Hospital, Peking University,  Beijing 100871, China.; Department of Hepatobiliary Cancer, Tianjin Medical University Cancer Institute  and Hospital, National Clinical Research Center for Cancer, Key Laboratory of  Cancer Prevention and Therapy, Tianjin&amp;apos;s Clinical Research Center for Cancer,  Tianjin 300060, China.; Biomedical Pioneering Innovation Center (BIOPIC) and Translational Cancer  Research Center, School of Life Sciences, First Hospital, Peking University,  Beijing 100871, China.; Laboratory for Cancer Genomics, RIKEN Center for Integrative Medical Sciences,  Yokohama 230-0045, Japan.; Biomedical Pioneering Innovation Center (BIOPIC) and Translational Cancer  Research Center, School of Life Sciences, First Hospital, Peking University,  Beijing 100871, China.; State Key Laboratory of Oncology in South China, Collaborative Innovation Center  for Cancer Medicine, Sun Yat-Sen University Cancer Center, Guangzhou 510060,  China.; Lymphoma Genomic Translational Research Laboratory, Division of Cellular and  Molecular Research, National Cancer Centre Singapore, Singapore 169610,  Singapore.; Department of Hepatobiliary Surgery, The First Affiliated Hospital of Guangxi  Medical University, Nanning 530021, China.; Department of Liver Surgery and Transplantation, Liver Cancer Institute,  Zhongshan Hospital, Fudan University; Key Laboratory of Carcinogenesis and Cancer  Invasion of Ministry of Education, Shanghai 200032, China.; Laboratory for Cancer Genomics, RIKEN Center for Integrative Medical Sciences,  Yokohama 230-0045, Japan.; Biomedical Pioneering Innovation Center (BIOPIC) and Translational Cancer  Research Center, School of Life Sciences, First Hospital, Peking University,  Beijing 100871, China.; Biomedical Pioneering Innovation Center (BIOPIC) and Translational Cancer  Research Center, School of Life Sciences, First Hospital, Peking University,  Beijing 100871, China.; Laboratory of Cancer Cell Biology, Tianjin Medical University Cancer Institute  and Hospital, Tianjin 300060, China.; State Key Laboratory of Oncology in South China, Collaborative Innovation Center  for Cancer Medicine, Sun Yat-Sen University Cancer Center, Guangzhou 510060,  China.; State Key Laboratory of Oncology in South China, Collaborative Innovation Center  for Cancer Medicine, Sun Yat-Sen University Cancer Center, Guangzhou 510060,  China.; State Key Laboratory of Oncology in South China, Collaborative Innovation Center  for Cancer Medicine, Sun Yat-Sen University Cancer Center, Guangzhou 510060,  China.; Department of Pathology, Tianjin Medical University Cancer Institute and  Hospital, Tianjin 300060, China.; Department of Pathology, Tianjin Medical University Cancer Institute and  Hospital, Tianjin 300060, China.; Department of Hepatobiliary Surgery, Beijing 302 Hospital, Beijing 100039, China.; Department of Ultrasonography, Beijing 302 Hospital, Beijing 100039, China.; Department of Pathology and Hepatology, Beijing 302 Hospital, Beijing 100039,  China.; Department of Hepatobiliary Surgery, The First Affiliated Hospital of Guangxi  Medical University, Nanning 530021, China.; Comprehensive Liver Cancer Center, Beijing 302 Hospital, Beijing 100039, China.; Department of Anatomical Pathology, Singapore General Hospital, Singapore 169608,  Singapore.; Centre for Computational Biology, Duke-NUS Medical School, Singapore 169857,  Singapore.; Department of Gastroenterology and Metabolism, Graduate School of Biomedical and  Health Sciences, Hiroshima University, Hiroshima 734-8553, Japan.; Department of Gastroenterology and Metabolism, Graduate School of Biomedical and  Health Sciences, Hiroshima University, Hiroshima 734-8553, Japan.; Biomedical Pioneering Innovation Center (BIOPIC) and Translational Cancer  Research Center, School of Life Sciences, First Hospital, Peking University,  Beijing 100871, China.; Centre for Computational Biology, Duke-NUS Medical School, Singapore 169857,  Singapore.; Laboratory of Cancer Epigenome, Division of Medical Sciences, National Cancer  Centre Singapore, Singapore 169610, Singapore.; Laboratory of Human Carcinogenesis, Center for Cancer Research, National Cancer  Institute, Bethesda, MD 20892, USA.; Laboratory for Cancer Genomics, RIKEN Center for Integrative Medical Sciences,  Yokohama 230-0045, Japan. Electronic address: hidewaki@ims.u-tokyo.ac.jp.; State Key Laboratory of Oncology in South China, Collaborative Innovation Center  for Cancer Medicine, Sun Yat-Sen University Cancer Center, Guangzhou 510060,  China. Electronic address: zengmsh@mail.sysu.edu.cn.; Biomedical Pioneering Innovation Center (BIOPIC) and Translational Cancer  Research Center, School of Life Sciences, First Hospital, Peking University,  Beijing 100871, China. Electronic address: fbai@pku.edu.cn.; Biomedical Pioneering Innovation Center (BIOPIC) and Translational Cancer  Research Center, School of Life Sciences, First Hospital, Peking University,  Beijing 100871, China; Laboratory of Cancer Cell Biology, Tianjin Medical  University Cancer Institute and Hospital, Tianjin 300060, China. Electronic  address: zhangning@bjmu.edu.cn.&lt;/_author_adr&gt;&lt;_collection_scope&gt;SCIE&lt;/_collection_scope&gt;&lt;_created&gt;64766435&lt;/_created&gt;&lt;_date&gt;2019-06-10&lt;/_date&gt;&lt;_date_display&gt;2019 Jun 10&lt;/_date_display&gt;&lt;_db_updated&gt;PubMed&lt;/_db_updated&gt;&lt;_doi&gt;10.1016/j.ccell.2019.04.007&lt;/_doi&gt;&lt;_impact_factor&gt;  38.585&lt;/_impact_factor&gt;&lt;_isbn&gt;1878-3686 (Electronic); 1535-6108 (Print); 1535-6108 (Linking)&lt;/_isbn&gt;&lt;_issue&gt;6&lt;/_issue&gt;&lt;_journal&gt;Cancer Cell&lt;/_journal&gt;&lt;_keywords&gt;Allen and Lisa; Nestin; bilinear differentiation; clonal origin; intratumor heterogeneity; liver cancer; metastatic route; molecular subtype; phenotypic transition; single nucleus sequencing&lt;/_keywords&gt;&lt;_language&gt;eng&lt;/_language&gt;&lt;_modified&gt;64766440&lt;/_modified&gt;&lt;_ori_publication&gt;Copyright (c) 2019 Elsevier Inc. All rights reserved.&lt;/_ori_publication&gt;&lt;_pages&gt;932-947.e8&lt;/_pages&gt;&lt;_social_category&gt;医学(1)&lt;/_social_category&gt;&lt;_subject_headings&gt;Asia; Bile Duct Neoplasms/chemistry/classification/*genetics/pathology; Biomarkers, Tumor/analysis/*genetics; Carcinoma, Hepatocellular/chemistry/classification/*genetics/pathology; Cholangiocarcinoma/chemistry/classification/*genetics/pathology; Databases, Genetic; Female; *Gene Expression Profiling; Gene Expression Regulation, Neoplastic; Gene Regulatory Networks; Humans; Immunohistochemistry; Liver Neoplasms/chemistry/classification/*genetics/pathology; Male; Neoplasms, Complex and Mixed/chemistry/classification/*genetics/pathology; Nestin/analysis/*genetics; Predictive Value of Tests; Prognosis; *Transcriptome; Up-Regulation&lt;/_subject_headings&gt;&lt;_tertiary_title&gt;Cancer cell&lt;/_tertiary_title&gt;&lt;_type_work&gt;Comparative Study; Journal Article; Multicenter Study; Research Support, Non-U.S. Gov&amp;apos;t&lt;/_type_work&gt;&lt;_url&gt;http://www.ncbi.nlm.nih.gov/entrez/query.fcgi?cmd=Retrieve&amp;amp;db=pubmed&amp;amp;dopt=Abstract&amp;amp;list_uids=31130341&amp;amp;query_hl=1&lt;/_url&gt;&lt;_volume&gt;35&lt;/_volume&gt;&lt;/Details&gt;&lt;Extra&gt;&lt;DBUID&gt;{F96A950B-833F-4880-A151-76DA2D6A2879}&lt;/DBUID&gt;&lt;/Extra&gt;&lt;/Item&gt;&lt;/References&gt;&lt;/Group&gt;&lt;/Citation&gt;_x000a_"/>
    <w:docVar w:name="NE.Ref{E463FA77-3814-4D98-981C-E20273C5E71A}" w:val=" ADDIN NE.Ref.{E463FA77-3814-4D98-981C-E20273C5E71A}&lt;Citation&gt;&lt;Group&gt;&lt;References&gt;&lt;Item&gt;&lt;ID&gt;773&lt;/ID&gt;&lt;UID&gt;{1BBE92FB-6475-491B-A0E0-31689B3F702C}&lt;/UID&gt;&lt;Title&gt;Clinical and pathological features of combined hepatocellular-cholangiocarcinoma  compared with other liver cancers&lt;/Title&gt;&lt;Template&gt;Journal Article&lt;/Template&gt;&lt;Star&gt;0&lt;/Star&gt;&lt;Tag&gt;0&lt;/Tag&gt;&lt;Author&gt;Wakizaka, K; Yokoo, H; Kamiyama, T; Ohira, M; Kato, K; Fujii, Y; Sugiyama, K; Okada, N; Ohata, T; Nagatsu, A; Shimada, S; Orimo, T; Kamachi, H; Taketomi, A&lt;/Author&gt;&lt;Year&gt;2019&lt;/Year&gt;&lt;Details&gt;&lt;_accession_num&gt;30462849&lt;/_accession_num&gt;&lt;_author_adr&gt;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 Department of Gastroenterological Surgery I, Hokkaido University Graduate School  of Medicine, Sapporo, Japan.&lt;/_author_adr&gt;&lt;_collection_scope&gt;SCIE&lt;/_collection_scope&gt;&lt;_created&gt;64769313&lt;/_created&gt;&lt;_date&gt;2019-06-01&lt;/_date&gt;&lt;_date_display&gt;2019 Jun&lt;/_date_display&gt;&lt;_db_updated&gt;PubMed&lt;/_db_updated&gt;&lt;_doi&gt;10.1111/jgh.14547&lt;/_doi&gt;&lt;_impact_factor&gt;   4.369&lt;/_impact_factor&gt;&lt;_isbn&gt;1440-1746 (Electronic); 0815-9319 (Linking)&lt;/_isbn&gt;&lt;_issue&gt;6&lt;/_issue&gt;&lt;_journal&gt;J Gastroenterol Hepatol&lt;/_journal&gt;&lt;_keywords&gt;combined hepatocellular-cholangiocarcinoma; hepatocellular carcinoma; intrahepatic cholangiocarcinoma; prognosis; resection&lt;/_keywords&gt;&lt;_language&gt;eng&lt;/_language&gt;&lt;_modified&gt;64769313&lt;/_modified&gt;&lt;_ori_publication&gt;(c) 2018 Journal of Gastroenterology and Hepatology Foundation and John Wiley &amp;amp; _x000d__x000a_      Sons Australia, Ltd.&lt;/_ori_publication&gt;&lt;_pages&gt;1074-1080&lt;/_pages&gt;&lt;_social_category&gt;医学(3)&lt;/_social_category&gt;&lt;_subject_headings&gt;Adolescent; Adult; Aged; Aged, 80 and over; Bile Duct Neoplasms/mortality/*pathology; Carcinoma, Hepatocellular/mortality/*pathology; Cholangiocarcinoma/mortality/*pathology; Female; Hepatitis B/epidemiology; Humans; Incidence; Liver Neoplasms/mortality/*pathology; Lymphatic Metastasis; Male; Middle Aged; Neoplasm Invasiveness; Neoplasm Recurrence, Local; Neoplasms, Multiple Primary/mortality/*pathology; Prognosis; Survival Rate; Vitamin K Deficiency/epidemiology; Young Adult; alpha-Fetoproteins&lt;/_subject_headings&gt;&lt;_tertiary_title&gt;Journal of gastroenterology and hepatology&lt;/_tertiary_title&gt;&lt;_type_work&gt;Comparative Study; Journal Article&lt;/_type_work&gt;&lt;_url&gt;http://www.ncbi.nlm.nih.gov/entrez/query.fcgi?cmd=Retrieve&amp;amp;db=pubmed&amp;amp;dopt=Abstract&amp;amp;list_uids=30462849&amp;amp;query_hl=1&lt;/_url&gt;&lt;_volume&gt;34&lt;/_volume&gt;&lt;/Details&gt;&lt;Extra&gt;&lt;DBUID&gt;{F96A950B-833F-4880-A151-76DA2D6A2879}&lt;/DBUID&gt;&lt;/Extra&gt;&lt;/Item&gt;&lt;/References&gt;&lt;/Group&gt;&lt;Group&gt;&lt;References&gt;&lt;Item&gt;&lt;ID&gt;850&lt;/ID&gt;&lt;UID&gt;{3026CF5A-3DD1-46E2-80A3-8B184F5ABB32}&lt;/UID&gt;&lt;Title&gt;Atezolizumab-bevacizumab plus Y-90 TARE for the treatment of hepatocellular  carcinoma: preclinical rationale and ongoing clinical trials&lt;/Title&gt;&lt;Template&gt;Journal Article&lt;/Template&gt;&lt;Star&gt;0&lt;/Star&gt;&lt;Tag&gt;5&lt;/Tag&gt;&lt;Author&gt;Di Federico, A; Rizzo, A; Carloni, R; De Giglio, A; Bruno, R; Ricci, D; Brandi, G&lt;/Author&gt;&lt;Year&gt;2022&lt;/Year&gt;&lt;Details&gt;&lt;_accession_num&gt;34798793&lt;/_accession_num&gt;&lt;_author_adr&gt;Division of Medical Oncology, Irccs Azienda Ospedaliero-Universitaria Di Bologna,  Bologna, Italy.; Department of Specialized, Experimental and Diagnostic Medicine, University of  Bologna, Bologna, Italy.; Division of Medical Oncology, Irccs Azienda Ospedaliero-Universitaria Di Bologna,  Bologna, Italy.; Department of Specialized, Experimental and Diagnostic Medicine, University of  Bologna, Bologna, Italy.; Division of Medical Oncology, Irccs Azienda Ospedaliero-Universitaria Di Bologna,  Bologna, Italy.; Department of Specialized, Experimental and Diagnostic Medicine, University of  Bologna, Bologna, Italy.; Division of Medical Oncology, Irccs Azienda Ospedaliero-Universitaria Di Bologna,  Bologna, Italy.; Department of Specialized, Experimental and Diagnostic Medicine, University of  Bologna, Bologna, Italy.; Department of Specialized, Experimental and Diagnostic Medicine, University of  Bologna, Bologna, Italy.; Department of Radiology, Irccs Azienda Ospedaliero Universitaria Di Bologna,  Bologna, Italia.; Division of Medical Oncology, Irccs Azienda Ospedaliero-Universitaria Di Bologna,  Bologna, Italy.; Department of Specialized, Experimental and Diagnostic Medicine, University of  Bologna, Bologna, Italy.; Division of Medical Oncology, Irccs Azienda Ospedaliero-Universitaria Di Bologna,  Bologna, Italy.; Department of Specialized, Experimental and Diagnostic Medicine, University of  Bologna, Bologna, Italy.&lt;/_author_adr&gt;&lt;_date_display&gt;2022 Apr&lt;/_date_display&gt;&lt;_date&gt;2022-04-01&lt;/_date&gt;&lt;_doi&gt;10.1080/13543784.2022.2009455&lt;/_doi&gt;&lt;_isbn&gt;1744-7658 (Electronic); 1354-3784 (Linking)&lt;/_isbn&gt;&lt;_issue&gt;4&lt;/_issue&gt;&lt;_journal&gt;Expert Opin Investig Drugs&lt;/_journal&gt;&lt;_keywords&gt;Hepatocellular carcinoma; TARE; VEGF; atezolizumab; bevacizumab; immunotherapy; radiation therapy&lt;/_keywords&gt;&lt;_language&gt;eng&lt;/_language&gt;&lt;_pages&gt;361-369&lt;/_pages&gt;&lt;_subject_headings&gt;Antibodies, Monoclonal, Humanized; Bevacizumab/pharmacology; *Carcinoma, Hepatocellular/drug therapy/pathology; Humans; *Liver Neoplasms/drug therapy/pathology; Tumor Microenvironment; Yttrium Radioisotopes/therapeutic use&lt;/_subject_headings&gt;&lt;_tertiary_title&gt;Expert opinion on investigational drugs&lt;/_tertiary_title&gt;&lt;_type_work&gt;Journal Article&lt;/_type_work&gt;&lt;_url&gt;http://www.ncbi.nlm.nih.gov/entrez/query.fcgi?cmd=Retrieve&amp;amp;db=pubmed&amp;amp;dopt=Abstract&amp;amp;list_uids=34798793&amp;amp;query_hl=1&lt;/_url&gt;&lt;_volume&gt;31&lt;/_volume&gt;&lt;_created&gt;64980938&lt;/_created&gt;&lt;_modified&gt;64980939&lt;/_modified&gt;&lt;_db_updated&gt;PubMed&lt;/_db_updated&gt;&lt;_impact_factor&gt;   6.498&lt;/_impact_factor&gt;&lt;_social_category&gt;药学(2)&lt;/_social_category&gt;&lt;_collection_scope&gt;SCIE&lt;/_collection_scope&gt;&lt;/Details&gt;&lt;Extra&gt;&lt;DBUID&gt;{F96A950B-833F-4880-A151-76DA2D6A2879}&lt;/DBUID&gt;&lt;/Extra&gt;&lt;/Item&gt;&lt;/References&gt;&lt;/Group&gt;&lt;Group&gt;&lt;References&gt;&lt;Item&gt;&lt;ID&gt;849&lt;/ID&gt;&lt;UID&gt;{23CA3C73-4611-4DFD-A260-32FA769D4150}&lt;/UID&gt;&lt;Title&gt;Which role for predictors of response to immune checkpoint inhibitors in  hepatocellular carcinoma?&lt;/Title&gt;&lt;Template&gt;Journal Article&lt;/Template&gt;&lt;Star&gt;1&lt;/Star&gt;&lt;Tag&gt;5&lt;/Tag&gt;&lt;Author&gt;Rizzo, A; Cusmai, A; Gadaleta-Caldarola, G; Palmiotti, G&lt;/Author&gt;&lt;Year&gt;2022&lt;/Year&gt;&lt;Details&gt;&lt;_accession_num&gt;35403533&lt;/_accession_num&gt;&lt;_author_adr&gt;Struttura Semplice Dipartimentale di Oncologia Medica per la Presa in Carico  Globale del Paziente Oncologico &amp;quot;Don Tonino Bello,&amp;quot; I.R.C.C.S. Istituto Tumori  &amp;quot;Giovanni Paolo II&amp;quot;, Viale Orazio Flacco 65, 70124 Bari, Italy.; Struttura Semplice Dipartimentale di Oncologia Medica per la Presa in Carico  Globale del Paziente Oncologico &amp;quot;Don Tonino Bello,&amp;quot; I.R.C.C.S. Istituto Tumori  &amp;quot;Giovanni Paolo II&amp;quot;, Viale Orazio Flacco 65, 70124 Bari, Italy.; Medical Oncology Unit, &amp;apos;Mons. R. Dimiccoli&amp;apos; Hospital, Barletta (BT), Azienda  Sanitaria Locale Barletta, 76121, Italy.; Struttura Semplice Dipartimentale di Oncologia Medica per la Presa in Carico  Globale del Paziente Oncologico &amp;quot;Don Tonino Bello,&amp;quot; I.R.C.C.S. Istituto Tumori  &amp;quot;Giovanni Paolo II&amp;quot;, Viale Orazio Flacco 65, 70124 Bari, Italy.&lt;/_author_adr&gt;&lt;_date_display&gt;2022 Apr&lt;/_date_display&gt;&lt;_date&gt;2022-04-01&lt;/_date&gt;&lt;_doi&gt;10.1080/17474124.2022.2064273&lt;/_doi&gt;&lt;_isbn&gt;1747-4132 (Electronic); 1747-4124 (Linking)&lt;/_isbn&gt;&lt;_issue&gt;4&lt;/_issue&gt;&lt;_journal&gt;Expert Rev Gastroenterol Hepatol&lt;/_journal&gt;&lt;_keywords&gt;HCC; PD-L1; TMB; hepatocellular carcinoma; human microbiota; immunotherapy&lt;/_keywords&gt;&lt;_language&gt;eng&lt;/_language&gt;&lt;_pages&gt;333-339&lt;/_pages&gt;&lt;_subject_headings&gt;Biomarkers; *Carcinoma, Hepatocellular/pathology; Humans; Immune Checkpoint Inhibitors/adverse effects; Immunotherapy/adverse effects; *Liver Neoplasms/pathology&lt;/_subject_headings&gt;&lt;_tertiary_title&gt;Expert review of gastroenterology &amp;amp; hepatology&lt;/_tertiary_title&gt;&lt;_type_work&gt;Journal Article&lt;/_type_work&gt;&lt;_url&gt;http://www.ncbi.nlm.nih.gov/entrez/query.fcgi?cmd=Retrieve&amp;amp;db=pubmed&amp;amp;dopt=Abstract&amp;amp;list_uids=35403533&amp;amp;query_hl=1&lt;/_url&gt;&lt;_volume&gt;16&lt;/_volume&gt;&lt;_created&gt;64980924&lt;/_created&gt;&lt;_modified&gt;64980925&lt;/_modified&gt;&lt;_db_updated&gt;PubMed&lt;/_db_updated&gt;&lt;_impact_factor&gt;   4.095&lt;/_impact_factor&gt;&lt;_social_category&gt;胃肠肝病学(4)&lt;/_social_category&gt;&lt;_collection_scope&gt;SCIE&lt;/_collection_scope&gt;&lt;/Details&gt;&lt;Extra&gt;&lt;DBUID&gt;{F96A950B-833F-4880-A151-76DA2D6A2879}&lt;/DBUID&gt;&lt;/Extra&gt;&lt;/Item&gt;&lt;/References&gt;&lt;/Group&gt;&lt;Group&gt;&lt;References&gt;&lt;Item&gt;&lt;ID&gt;851&lt;/ID&gt;&lt;UID&gt;{DF320B22-0B3E-44AA-A0E0-D2F8A9915B0F}&lt;/UID&gt;&lt;Title&gt;Complete remissions following immunotherapy or immuno-oncology combinations in  cancer patients: the MOUSEION-03 meta-analysis&lt;/Title&gt;&lt;Template&gt;Journal Article&lt;/Template&gt;&lt;Star&gt;0&lt;/Star&gt;&lt;Tag&gt;5&lt;/Tag&gt;&lt;Author&gt;Santoni, M; Rizzo, A; Kucharz, J; Mollica, V; Rosellini, M; Marchetti, A; Tassinari, E; Monteiro, FSM; Soares, A; Molina-Cerrillo, J; Grande, E; Battelli, N; Massari, F&lt;/Author&gt;&lt;Year&gt;2023&lt;/Year&gt;&lt;Details&gt;&lt;_accession_num&gt;36633661&lt;/_accession_num&gt;&lt;_author_adr&gt;Oncology Unit, Macerata Hospital, Macerata, Italy.; Struttura Semplice Dipartimentale Di Oncologia Medica Per La Presa in Carico  Globale del Paziente Oncologico &amp;apos;&amp;apos;Don Tonino Bello&amp;apos;&amp;apos;, Istituto Di Ricerca E Cura a  Carattere Scientifico (IRCCS), Istituto Tumori Giovanni Paolo II-Bari, Viale  Orazio Flacco 65, 70124, Bari, Italy.; Department of Uro-Oncology, Maria Sklodowska-Curie National Research Institute of  Oncology, Warsaw, Poland.; Medical Oncology, IRCCS Azienda Ospedaliero-Universitaria Di Bologna, Via  Albertoni-15, 40138, Bologna, Italy.; Department of Experimental, Diagnostic and Specialty Medicine, University of  Bologna, 40138, Bologna, Italy.; Medical Oncology, IRCCS Azienda Ospedaliero-Universitaria Di Bologna, Via  Albertoni-15, 40138, Bologna, Italy.; Department of Experimental, Diagnostic and Specialty Medicine, University of  Bologna, 40138, Bologna, Italy.; Medical Oncology, IRCCS Azienda Ospedaliero-Universitaria Di Bologna, Via  Albertoni-15, 40138, Bologna, Italy.; Department of Experimental, Diagnostic and Specialty Medicine, University of  Bologna, 40138, Bologna, Italy.; Medical Oncology, IRCCS Azienda Ospedaliero-Universitaria Di Bologna, Via  Albertoni-15, 40138, Bologna, Italy.; Department of Experimental, Diagnostic and Specialty Medicine, University of  Bologna, 40138, Bologna, Italy.; Latin American Cooperative Oncology Group - LACOG, Porto Alegre, Brazil.; Oncology and Hematology Department, Hospital Santa Lucia, SHLS 716 Cj. C,  Brasilia, DF, 70390-700, Brazil.; Latin American Cooperative Oncology Group - LACOG, Porto Alegre, RS, Brazil.; Hospital Israelita Albert Einstein, Sao Paulo, SP, Brazil.; Centro Paulista de Oncologia/Oncoclinicas, Sao Paulo, SP, Brazil.; Centro Paulista de Oncologia/Oncoclinicas, Sao Paulo, SP, Brazil.; Department of Medical Oncology, Hospital Ramon Y Cajal, 28034, Madrid, Spain.; Department of Medical Oncology, MD Anderson Cancer Center Madrid, 28033, Madrid,  Spain.; Medical Oncology, IRCCS Azienda Ospedaliero-Universitaria Di Bologna, Via  Albertoni-15, 40138, Bologna, Italy. francesco.massari@aosp.bo.it.; Department of Experimental, Diagnostic and Specialty Medicine, University of  Bologna, 40138, Bologna, Italy. francesco.massari@aosp.bo.it.&lt;/_author_adr&gt;&lt;_date_display&gt;2023 Jun&lt;/_date_display&gt;&lt;_date&gt;2023-06-01&lt;/_date&gt;&lt;_doi&gt;10.1007/s00262-022-03349-4&lt;/_doi&gt;&lt;_isbn&gt;1432-0851 (Electronic); 0340-7004 (Linking)&lt;/_isbn&gt;&lt;_issue&gt;6&lt;/_issue&gt;&lt;_journal&gt;Cancer Immunol Immunother&lt;/_journal&gt;&lt;_keywords&gt;Cancer; Complete response; Immuno-oncology combinations; Immunotherapy; Meta-analysis; Pembrolizumab&lt;/_keywords&gt;&lt;_language&gt;eng&lt;/_language&gt;&lt;_ori_publication&gt;(c) 2023. The Author(s), under exclusive licence to Springer-Verlag GmbH Germany, _x000d__x000a_      part of Springer Nature.&lt;/_ori_publication&gt;&lt;_pages&gt;1365-1379&lt;/_pages&gt;&lt;_subject_headings&gt;Humans; *Carcinoma, Non-Small-Cell Lung/drug therapy; *Lung Neoplasms; *Antineoplastic Agents/therapeutic use; Immunotherapy/adverse effects; *Kidney Neoplasms; Randomized Controlled Trials as Topic&lt;/_subject_headings&gt;&lt;_tertiary_title&gt;Cancer immunology, immunotherapy : CII&lt;/_tertiary_title&gt;&lt;_type_work&gt;Journal Article; Meta-Analysis; Review&lt;/_type_work&gt;&lt;_url&gt;http://www.ncbi.nlm.nih.gov/entrez/query.fcgi?cmd=Retrieve&amp;amp;db=pubmed&amp;amp;dopt=Abstract&amp;amp;list_uids=36633661&amp;amp;query_hl=1&lt;/_url&gt;&lt;_volume&gt;72&lt;/_volume&gt;&lt;_created&gt;64981023&lt;/_created&gt;&lt;_modified&gt;64981023&lt;/_modified&gt;&lt;_db_updated&gt;PubMed&lt;/_db_updated&gt;&lt;_impact_factor&gt;   6.630&lt;/_impact_factor&gt;&lt;_social_category&gt;免疫学(3) &amp;amp; 肿瘤学(3)&lt;/_social_category&gt;&lt;_collection_scope&gt;SCIE&lt;/_collection_scope&gt;&lt;/Details&gt;&lt;Extra&gt;&lt;DBUID&gt;{F96A950B-833F-4880-A151-76DA2D6A2879}&lt;/DBUID&gt;&lt;/Extra&gt;&lt;/Item&gt;&lt;/References&gt;&lt;/Group&gt;&lt;Group&gt;&lt;References&gt;&lt;Item&gt;&lt;ID&gt;852&lt;/ID&gt;&lt;UID&gt;{0BA1CAD5-3CB7-4630-99F0-282E812F83BA}&lt;/UID&gt;&lt;Title&gt;Systemic adjuvant treatment in hepatocellular carcinoma: tempted to do something  rather than nothing&lt;/Title&gt;&lt;Template&gt;Journal Article&lt;/Template&gt;&lt;Star&gt;0&lt;/Star&gt;&lt;Tag&gt;5&lt;/Tag&gt;&lt;Author&gt;Rizzo, A; Ricci, A D; Brandi, G&lt;/Author&gt;&lt;Year&gt;2020&lt;/Year&gt;&lt;Details&gt;&lt;_accession_num&gt;32772560&lt;/_accession_num&gt;&lt;_author_adr&gt;Department of Experimental, Diagnostic &amp;amp; Specialty Medicine, S. Orsola-Malpighi  University Hospital, Bologna, Italy.; Department of Experimental, Diagnostic &amp;amp; Specialty Medicine, S. Orsola-Malpighi  University Hospital, Bologna, Italy.; Department of Experimental, Diagnostic &amp;amp; Specialty Medicine, S. Orsola-Malpighi  University Hospital, Bologna, Italy.&lt;/_author_adr&gt;&lt;_date_display&gt;2020 Nov&lt;/_date_display&gt;&lt;_date&gt;2020-11-01&lt;/_date&gt;&lt;_doi&gt;10.2217/fon-2020-0669&lt;/_doi&gt;&lt;_isbn&gt;1744-8301 (Electronic); 1479-6694 (Linking)&lt;/_isbn&gt;&lt;_issue&gt;32&lt;/_issue&gt;&lt;_journal&gt;Future Oncol&lt;/_journal&gt;&lt;_keywords&gt;HCC; adjuvant therapy; adjuvant treatment; hepatocellular carcinoma; immunotherapy; liver cancer&lt;/_keywords&gt;&lt;_language&gt;eng&lt;/_language&gt;&lt;_pages&gt;2587-2589&lt;/_pages&gt;&lt;_subject_headings&gt;Carcinoma, Hepatocellular/*therapy; Chemotherapy, Adjuvant; Disease Management; Humans; Liver Neoplasms/*therapy; Radiotherapy, Adjuvant&lt;/_subject_headings&gt;&lt;_tertiary_title&gt;Future oncology (London, England)&lt;/_tertiary_title&gt;&lt;_type_work&gt;Editorial&lt;/_type_work&gt;&lt;_url&gt;http://www.ncbi.nlm.nih.gov/entrez/query.fcgi?cmd=Retrieve&amp;amp;db=pubmed&amp;amp;dopt=Abstract&amp;amp;list_uids=32772560&amp;amp;query_hl=1&lt;/_url&gt;&lt;_volume&gt;16&lt;/_volume&gt;&lt;_created&gt;64981076&lt;/_created&gt;&lt;_modified&gt;64981077&lt;/_modified&gt;&lt;_db_updated&gt;PubMed&lt;/_db_updated&gt;&lt;_impact_factor&gt;   3.674&lt;/_impact_factor&gt;&lt;_social_category&gt;肿瘤学(4)&lt;/_social_category&gt;&lt;_collection_scope&gt;SCIE&lt;/_collection_scope&gt;&lt;/Details&gt;&lt;Extra&gt;&lt;DBUID&gt;{F96A950B-833F-4880-A151-76DA2D6A2879}&lt;/DBUID&gt;&lt;/Extra&gt;&lt;/Item&gt;&lt;/References&gt;&lt;/Group&gt;&lt;/Citation&gt;_x000a_"/>
    <w:docVar w:name="NE.Ref{EAB3D2E3-E600-4495-875B-E4BFC9EDF14D}" w:val=" ADDIN NE.Ref.{EAB3D2E3-E600-4495-875B-E4BFC9EDF14D}&lt;Citation&gt;&lt;Group&gt;&lt;References&gt;&lt;Item&gt;&lt;ID&gt;785&lt;/ID&gt;&lt;UID&gt;{9EECE3AF-58B2-4FD7-928D-C36E624136FF}&lt;/UID&gt;&lt;Title&gt;Clinicopathological, radiologic, and molecular study of 23 combined  hepatocellular-cholangiocarcinomas with stem cell features, cholangiolocellular  type&lt;/Title&gt;&lt;Template&gt;Journal Article&lt;/Template&gt;&lt;Star&gt;0&lt;/Star&gt;&lt;Tag&gt;0&lt;/Tag&gt;&lt;Author&gt;Chen, J; He, J; Deng, M; Wu, H Y; Shi, J; Mao, L; Sun, Q; Tang, M; Fan, X S; Qiu, Y D; Huang, Q&lt;/Author&gt;&lt;Year&gt;2017&lt;/Year&gt;&lt;Details&gt;&lt;_accession_num&gt;28431889&lt;/_accession_num&gt;&lt;_author_adr&gt;Department of Pathology, Nanjing Drum Tower Hospital, The Affiliated Hospital of  Nanjing University Medical School, Nanjing, 210008, Jiangsu Province, China.; Department of Radiology, Nanjing Drum Tower Hospital, The Affiliated Hospital of  Nanjing University Medical School, Nanjing, 210008, Jiangsu Province, China.; Department of Hepatopancreatobiliary Surgery, Nanjing Drum Tower Hospital, The  Affiliated Hospital of Nanjing University Medical School, Nanjing, 210008,  Jiangsu Province, China.; Department of Pathology, Nanjing Drum Tower Hospital, The Affiliated Hospital of  Nanjing University Medical School, Nanjing, 210008, Jiangsu Province, China.; Department of Pathology, Nanjing Drum Tower Hospital, The Affiliated Hospital of  Nanjing University Medical School, Nanjing, 210008, Jiangsu Province, China.; Department of Hepatopancreatobiliary Surgery, Nanjing Drum Tower Hospital, The  Affiliated Hospital of Nanjing University Medical School, Nanjing, 210008,  Jiangsu Province, China.; Department of Pathology, Nanjing Drum Tower Hospital, The Affiliated Hospital of  Nanjing University Medical School, Nanjing, 210008, Jiangsu Province, China.; Department of Radiology, Nanjing Drum Tower Hospital, The Affiliated Hospital of  Nanjing University Medical School, Nanjing, 210008, Jiangsu Province, China.; Department of Pathology, Nanjing Drum Tower Hospital, The Affiliated Hospital of  Nanjing University Medical School, Nanjing, 210008, Jiangsu Province, China.  Electronic address: fxs23@163.com.; Department of Hepatopancreatobiliary Surgery, Nanjing Drum Tower Hospital, The  Affiliated Hospital of Nanjing University Medical School, Nanjing, 210008,  Jiangsu Province, China. Electronic address: yudongqiu510@163.com.; Department of Pathology, Nanjing Drum Tower Hospital, The Affiliated Hospital of  Nanjing University Medical School, Nanjing, 210008, Jiangsu Province, China;  Department of Pathology and Laboratory Medicine, Veterans Affairs Boston  Healthcare System and Harvard Medical School, West Roxbury, MA 02132, USA.&lt;/_author_adr&gt;&lt;_collection_scope&gt;SCIE&lt;/_collection_scope&gt;&lt;_created&gt;64776737&lt;/_created&gt;&lt;_date&gt;2017-06-01&lt;/_date&gt;&lt;_date_display&gt;2017 Jun&lt;/_date_display&gt;&lt;_db_updated&gt;PubMed&lt;/_db_updated&gt;&lt;_doi&gt;10.1016/j.humpath.2017.01.016&lt;/_doi&gt;&lt;_impact_factor&gt;   3.526&lt;/_impact_factor&gt;&lt;_isbn&gt;1532-8392 (Electronic); 0046-8177 (Linking)&lt;/_isbn&gt;&lt;_journal&gt;Hum Pathol&lt;/_journal&gt;&lt;_keywords&gt;Bile ducts; Cholangiocarcinoma; Cholangiolocellular carcinoma; Hepatic tumors; Isocitrate dehydrogenase&lt;/_keywords&gt;&lt;_language&gt;eng&lt;/_language&gt;&lt;_modified&gt;64776737&lt;/_modified&gt;&lt;_ori_publication&gt;Copyright (c) 2017. Published by Elsevier Inc.&lt;/_ori_publication&gt;&lt;_pages&gt;118-127&lt;/_pages&gt;&lt;_social_category&gt;医学(3)&lt;/_social_category&gt;&lt;_subject_headings&gt;Adult; Aged; Aged, 80 and over; Bile Duct Neoplasms/*diagnosis/diagnostic imaging/genetics/pathology; Biomarkers, Tumor/genetics; Biopsy; Carcinoma, Hepatocellular/*diagnosis/diagnostic imaging/genetics/pathology; Cell Proliferation; Cholangiocarcinoma/*diagnosis/diagnostic imaging/genetics/pathology; DNA Mutational Analysis; Female; Hepatectomy; Humans; Immunohistochemistry; Isocitrate Dehydrogenase/genetics; Kaplan-Meier Estimate; Liver Neoplasms/*diagnosis/diagnostic imaging/genetics/pathology; Male; Middle Aged; *Molecular Diagnostic Techniques; Mutation; Neoplasm Invasiveness; Neoplasms, Complex and Mixed/*diagnosis/diagnostic imaging/genetics/pathology; Neoplastic Stem Cells/*pathology; Predictive Value of Tests; Proportional Hazards Models; Time Factors; *Tomography, X-Ray Computed; Treatment Outcome; Tumor Burden&lt;/_subject_headings&gt;&lt;_tertiary_title&gt;Human pathology&lt;/_tertiary_title&gt;&lt;_type_work&gt;Comparative Study; Journal Article&lt;/_type_work&gt;&lt;_url&gt;http://www.ncbi.nlm.nih.gov/entrez/query.fcgi?cmd=Retrieve&amp;amp;db=pubmed&amp;amp;dopt=Abstract&amp;amp;list_uids=28431889&amp;amp;query_hl=1&lt;/_url&gt;&lt;_volume&gt;64&lt;/_volume&gt;&lt;/Details&gt;&lt;Extra&gt;&lt;DBUID&gt;{F96A950B-833F-4880-A151-76DA2D6A2879}&lt;/DBUID&gt;&lt;/Extra&gt;&lt;/Item&gt;&lt;/References&gt;&lt;/Group&gt;&lt;Group&gt;&lt;References&gt;&lt;Item&gt;&lt;ID&gt;786&lt;/ID&gt;&lt;UID&gt;{FB5F16D7-9B9B-4239-B815-86B0D0348CDA}&lt;/UID&gt;&lt;Title&gt;Combined Hepatocellular-Cholangiocarcinoma: An Update on Pathology and Diagnostic  Approach&lt;/Title&gt;&lt;Template&gt;Journal Article&lt;/Template&gt;&lt;Star&gt;0&lt;/Star&gt;&lt;Tag&gt;0&lt;/Tag&gt;&lt;Author&gt;Choi, J H; Ro, J Y&lt;/Author&gt;&lt;Year&gt;2022&lt;/Year&gt;&lt;Details&gt;&lt;_accession_num&gt;36009374&lt;/_accession_num&gt;&lt;_author_adr&gt;Department of Pathology, College of Medicine, Yeungnam University, Daegu 42415,  Korea.; Department of Pathology and Genomic Medicine, Houston Methodist Hospital, Weill  Medical College of Cornell University, Houston, TX 77030, USA.&lt;/_author_adr&gt;&lt;_collection_scope&gt;SCIE&lt;/_collection_scope&gt;&lt;_created&gt;64776738&lt;/_created&gt;&lt;_date&gt;2022-07-29&lt;/_date&gt;&lt;_date_display&gt;2022 Jul 29&lt;/_date_display&gt;&lt;_db_updated&gt;PubMed&lt;/_db_updated&gt;&lt;_doi&gt;10.3390/biomedicines10081826&lt;/_doi&gt;&lt;_impact_factor&gt;   4.757&lt;/_impact_factor&gt;&lt;_isbn&gt;2227-9059 (Print); 2227-9059 (Electronic); 2227-9059 (Linking)&lt;/_isbn&gt;&lt;_issue&gt;8&lt;/_issue&gt;&lt;_journal&gt;Biomedicines&lt;/_journal&gt;&lt;_keywords&gt;adult; cholangiocarcinoma; combined hepatocellular-cholangiocarcinoma; hepatocellular carcinoma; liver cancers&lt;/_keywords&gt;&lt;_language&gt;eng&lt;/_language&gt;&lt;_modified&gt;64776738&lt;/_modified&gt;&lt;_social_category&gt;工程技术(3)&lt;/_social_category&gt;&lt;_tertiary_title&gt;Biomedicines&lt;/_tertiary_title&gt;&lt;_type_work&gt;Journal Article; Review&lt;/_type_work&gt;&lt;_url&gt;http://www.ncbi.nlm.nih.gov/entrez/query.fcgi?cmd=Retrieve&amp;amp;db=pubmed&amp;amp;dopt=Abstract&amp;amp;list_uids=36009374&amp;amp;query_hl=1&lt;/_url&gt;&lt;_volume&gt;10&lt;/_volume&gt;&lt;/Details&gt;&lt;Extra&gt;&lt;DBUID&gt;{F96A950B-833F-4880-A151-76DA2D6A2879}&lt;/DBUID&gt;&lt;/Extra&gt;&lt;/Item&gt;&lt;/References&gt;&lt;/Group&gt;&lt;/Citation&gt;_x000a_"/>
    <w:docVar w:name="NE.Ref{EADD38A0-C736-4616-A5A4-3B74D923D9EF}" w:val=" ADDIN NE.Ref.{EADD38A0-C736-4616-A5A4-3B74D923D9EF}&lt;Citation&gt;&lt;Group&gt;&lt;References&gt;&lt;Item&gt;&lt;ID&gt;793&lt;/ID&gt;&lt;UID&gt;{F83334F6-8467-479C-A6FA-211F38FCF9B5}&lt;/UID&gt;&lt;Title&gt;Hepatic capsular retraction: An updated MR imaging review&lt;/Title&gt;&lt;Template&gt;Journal Article&lt;/Template&gt;&lt;Star&gt;0&lt;/Star&gt;&lt;Tag&gt;0&lt;/Tag&gt;&lt;Author&gt;Panick, CEP; Ward, R D; Coppa, C; Liu, P S&lt;/Author&gt;&lt;Year&gt;2019&lt;/Year&gt;&lt;Details&gt;&lt;_accession_num&gt;30927940&lt;/_accession_num&gt;&lt;_author_adr&gt;Case Western Reserve University School of Medicine, 10900 Euclid Ave, Cleveland,  OH 44106, USA. Electronic address: cep67@case.edu.; Imaging Institute, Cleveland Clinic, 9500 Euclid Ave, L10, Cleveland, OH 44195,  USA. Electronic address: wardr3@ccf.org.; Imaging Institute, Cleveland Clinic, 9500 Euclid Ave, L10, Cleveland, OH 44195,  USA. Electronic address: coppac@ccf.org.; Imaging Institute, Cleveland Clinic, 9500 Euclid Ave, L10, Cleveland, OH 44195,  USA. Electronic address: liup3@ccf.org.&lt;/_author_adr&gt;&lt;_collection_scope&gt;SCIE&lt;/_collection_scope&gt;&lt;_created&gt;64777785&lt;/_created&gt;&lt;_date&gt;2019-04-01&lt;/_date&gt;&lt;_date_display&gt;2019 Apr&lt;/_date_display&gt;&lt;_db_updated&gt;PubMed&lt;/_db_updated&gt;&lt;_doi&gt;10.1016/j.ejrad.2019.01.037&lt;/_doi&gt;&lt;_impact_factor&gt;   4.531&lt;/_impact_factor&gt;&lt;_isbn&gt;1872-7727 (Electronic); 0720-048X (Linking)&lt;/_isbn&gt;&lt;_journal&gt;Eur J Radiol&lt;/_journal&gt;&lt;_keywords&gt;Body MRI; Hepatic capsular retraction&lt;/_keywords&gt;&lt;_language&gt;eng&lt;/_language&gt;&lt;_modified&gt;64777785&lt;/_modified&gt;&lt;_ori_publication&gt;Copyright (c) 2019 Elsevier B.V. All rights reserved.&lt;/_ori_publication&gt;&lt;_pages&gt;15-23&lt;/_pages&gt;&lt;_social_category&gt;医学(2)&lt;/_social_category&gt;&lt;_subject_headings&gt;Adult; Aged; Carcinoma, Hepatocellular/*pathology/surgery; Diagnosis, Differential; Female; Hemangioendothelioma, Epithelioid/*pathology/surgery; Humans; Liver Neoplasms/*pathology/surgery; Magnetic Resonance Imaging/methods; Male; Middle Aged; Portasystemic Shunt, Transjugular Intrahepatic/methods; Prostate/pathology; Tomography, X-Ray Computed/methods; Urethra/pathology&lt;/_subject_headings&gt;&lt;_tertiary_title&gt;European journal of radiology&lt;/_tertiary_title&gt;&lt;_type_work&gt;Journal Article; Review&lt;/_type_work&gt;&lt;_url&gt;http://www.ncbi.nlm.nih.gov/entrez/query.fcgi?cmd=Retrieve&amp;amp;db=pubmed&amp;amp;dopt=Abstract&amp;amp;list_uids=30927940&amp;amp;query_hl=1&lt;/_url&gt;&lt;_volume&gt;113&lt;/_volume&gt;&lt;/Details&gt;&lt;Extra&gt;&lt;DBUID&gt;{F96A950B-833F-4880-A151-76DA2D6A2879}&lt;/DBUID&gt;&lt;/Extra&gt;&lt;/Item&gt;&lt;/References&gt;&lt;/Group&gt;&lt;/Citation&gt;_x000a_"/>
    <w:docVar w:name="NE.Ref{FA084E2E-2FF4-499B-9D78-BB0F526B6BC5}" w:val=" ADDIN NE.Ref.{FA084E2E-2FF4-499B-9D78-BB0F526B6BC5}&lt;Citation&gt;&lt;Group&gt;&lt;References&gt;&lt;Item&gt;&lt;ID&gt;780&lt;/ID&gt;&lt;UID&gt;{8A0E6304-BD92-47C7-948B-62335F84652E}&lt;/UID&gt;&lt;Title&gt;Combining Preoperative Clinical and Imaging Characteristics to Predict MVI in  Hepatitis B Virus-Related Combined Hepatocellular Carcinoma and  Cholangiocarcinoma&lt;/Title&gt;&lt;Template&gt;Journal Article&lt;/Template&gt;&lt;Star&gt;0&lt;/Star&gt;&lt;Tag&gt;0&lt;/Tag&gt;&lt;Author&gt;Huang, S S; Zuo, M X; Xie, C M&lt;/Author&gt;&lt;Year&gt;2023&lt;/Year&gt;&lt;Details&gt;&lt;_accession_num&gt;36836479&lt;/_accession_num&gt;&lt;_author_adr&gt;Department of Radiology, State Key Laboratory of Oncology in South China, Sun  Yat-sen University Cancer Center, Guangzhou 510060, China.; Department of Minimal Invasive Intervention, State Key Laboratory of Oncology in  South China, Sun Yat-sen University Cancer Center, Guangzhou 510060, China.; Department of Radiology, State Key Laboratory of Oncology in South China, Sun  Yat-sen University Cancer Center, Guangzhou 510060, China.&lt;/_author_adr&gt;&lt;_collection_scope&gt;SCIE&lt;/_collection_scope&gt;&lt;_created&gt;64776668&lt;/_created&gt;&lt;_date&gt;2023-01-29&lt;/_date&gt;&lt;_date_display&gt;2023 Jan 29&lt;/_date_display&gt;&lt;_db_updated&gt;PubMed&lt;/_db_updated&gt;&lt;_doi&gt;10.3390/jpm13020246&lt;/_doi&gt;&lt;_impact_factor&gt;   3.508&lt;/_impact_factor&gt;&lt;_isbn&gt;2075-4426 (Print); 2075-4426 (Electronic); 2075-4426 (Linking)&lt;/_isbn&gt;&lt;_issue&gt;2&lt;/_issue&gt;&lt;_journal&gt;J Pers Med&lt;/_journal&gt;&lt;_keywords&gt;combined hepatocellular-cholangiocarcinoma; hepatitis B virus; microvascular invasion; prediction; preoperative&lt;/_keywords&gt;&lt;_language&gt;eng&lt;/_language&gt;&lt;_modified&gt;64776668&lt;/_modified&gt;&lt;_social_category&gt;医学(3)&lt;/_social_category&gt;&lt;_tertiary_title&gt;Journal of personalized medicine&lt;/_tertiary_title&gt;&lt;_type_work&gt;Journal Article&lt;/_type_work&gt;&lt;_url&gt;http://www.ncbi.nlm.nih.gov/entrez/query.fcgi?cmd=Retrieve&amp;amp;db=pubmed&amp;amp;dopt=Abstract&amp;amp;list_uids=36836479&amp;amp;query_hl=1&lt;/_url&gt;&lt;_volume&gt;13&lt;/_volume&gt;&lt;/Details&gt;&lt;Extra&gt;&lt;DBUID&gt;{F96A950B-833F-4880-A151-76DA2D6A2879}&lt;/DBUID&gt;&lt;/Extra&gt;&lt;/Item&gt;&lt;/References&gt;&lt;/Group&gt;&lt;Group&gt;&lt;References&gt;&lt;Item&gt;&lt;ID&gt;778&lt;/ID&gt;&lt;UID&gt;{01313BE4-74BB-485B-A384-318CEF17ADB3}&lt;/UID&gt;&lt;Title&gt;Combined hepatocellular-cholangiocarcinoma: which preoperative clinical data and  conventional MRI characteristics have value for the prediction of microvascular  invasion and clinical significance?&lt;/Title&gt;&lt;Template&gt;Journal Article&lt;/Template&gt;&lt;Star&gt;0&lt;/Star&gt;&lt;Tag&gt;0&lt;/Tag&gt;&lt;Author&gt;Wang, X; Wang, W; Ma, X; Lu, X; Li, S; Zeng, M; Xu, K; Yang, C&lt;/Author&gt;&lt;Year&gt;2020&lt;/Year&gt;&lt;Details&gt;&lt;_accession_num&gt;32385649&lt;/_accession_num&gt;&lt;_author_adr&gt;Department of Radiology, Zhongshan Hospital, Fudan University, No. 180 Fenglin  Road, Xuhui District, Shanghai, China.; Department of Radiology, The Affiliated Hospital of Xuzhou Medical University,  No. 99 Huaihai West Road, Xuzhou, Jiangsu Province, China.; School of Medical Imaging, Xuzhou Medical University, Xuzhou, Jiangsu Province,  China.; Department of Radiology, Zhongshan Hospital, Fudan University, No. 180 Fenglin  Road, Xuhui District, Shanghai, China.; Department of Radiology, Xuzhou Central Hospital, Xuzhou, Jiangsu Province,  China.; Department of Radiology, The Affiliated Hospital of Xuzhou Medical University,  No. 99 Huaihai West Road, Xuzhou, Jiangsu Province, China.; School of Medical Imaging, Xuzhou Medical University, Xuzhou, Jiangsu Province,  China.; Department of Radiology, The Affiliated Hospital of Xuzhou Medical University,  No. 99 Huaihai West Road, Xuzhou, Jiangsu Province, China.; School of Medical Imaging, Xuzhou Medical University, Xuzhou, Jiangsu Province,  China.; Department of Radiology, Zhongshan Hospital, Fudan University, No. 180 Fenglin  Road, Xuhui District, Shanghai, China.; Department of Radiology, The Affiliated Hospital of Xuzhou Medical University,  No. 99 Huaihai West Road, Xuzhou, Jiangsu Province, China. xkpaper@163.com.; School of Medical Imaging, Xuzhou Medical University, Xuzhou, Jiangsu Province,  China. xkpaper@163.com.; Department of Radiology, Zhongshan Hospital, Fudan University, No. 180 Fenglin  Road, Xuhui District, Shanghai, China. dryangchun@hotmail.com.&lt;/_author_adr&gt;&lt;_collection_scope&gt;SCIE&lt;/_collection_scope&gt;&lt;_created&gt;64769345&lt;/_created&gt;&lt;_date&gt;2020-10-01&lt;/_date&gt;&lt;_date_display&gt;2020 Oct&lt;/_date_display&gt;&lt;_db_updated&gt;PubMed&lt;/_db_updated&gt;&lt;_doi&gt;10.1007/s00330-020-06861-2&lt;/_doi&gt;&lt;_impact_factor&gt;   7.034&lt;/_impact_factor&gt;&lt;_isbn&gt;1432-1084 (Electronic); 0938-7994 (Print); 0938-7994 (Linking)&lt;/_isbn&gt;&lt;_issue&gt;10&lt;/_issue&gt;&lt;_journal&gt;Eur Radiol&lt;/_journal&gt;&lt;_keywords&gt;Liver neoplasms; Magnetic resonance imaging; Neoplasm invasiveness&lt;/_keywords&gt;&lt;_language&gt;eng&lt;/_language&gt;&lt;_modified&gt;64769345&lt;/_modified&gt;&lt;_pages&gt;5337-5347&lt;/_pages&gt;&lt;_social_category&gt;医学(2)&lt;/_social_category&gt;&lt;_subject_headings&gt;Adult; Aged; Bile Duct Neoplasms/blood supply/diagnostic imaging/*pathology/surgery; Bile Ducts, Intrahepatic/pathology; Biomarkers, Tumor/blood; Carcinoma, Hepatocellular/blood supply/diagnostic imaging/*pathology/surgery; Cholangiocarcinoma/blood supply/diagnostic imaging/*pathology/surgery; Disease-Free Survival; Female; Hepatectomy; Humans; Liver Neoplasms/blood supply/diagnostic imaging/*pathology/surgery; Magnetic Resonance Imaging; Male; Microcirculation; Middle Aged; Neoplasm Invasiveness; Neoplasms, Multiple Primary/blood supply/diagnostic imaging/*pathology/surgery; Recurrence; Retrospective Studies&lt;/_subject_headings&gt;&lt;_tertiary_title&gt;European radiology&lt;/_tertiary_title&gt;&lt;_type_work&gt;Journal Article&lt;/_type_work&gt;&lt;_url&gt;http://www.ncbi.nlm.nih.gov/entrez/query.fcgi?cmd=Retrieve&amp;amp;db=pubmed&amp;amp;dopt=Abstract&amp;amp;list_uids=32385649&amp;amp;query_hl=1&lt;/_url&gt;&lt;_volume&gt;30&lt;/_volume&gt;&lt;/Details&gt;&lt;Extra&gt;&lt;DBUID&gt;{F96A950B-833F-4880-A151-76DA2D6A2879}&lt;/DBUID&gt;&lt;/Extra&gt;&lt;/Item&gt;&lt;/References&gt;&lt;/Group&gt;&lt;/Citation&gt;_x000a_"/>
    <w:docVar w:name="ne_docsoft" w:val="MSWord"/>
    <w:docVar w:name="ne_docversion" w:val="NoteExpress 2.0"/>
    <w:docVar w:name="ne_stylename" w:val="中华人民共和国国家标准_GBT_7714-2005"/>
  </w:docVars>
  <w:rsids>
    <w:rsidRoot w:val="00172A27"/>
    <w:rsid w:val="00000CD2"/>
    <w:rsid w:val="00044A2E"/>
    <w:rsid w:val="0004752E"/>
    <w:rsid w:val="000A070F"/>
    <w:rsid w:val="00100E2C"/>
    <w:rsid w:val="00143289"/>
    <w:rsid w:val="00166320"/>
    <w:rsid w:val="00171238"/>
    <w:rsid w:val="00172A27"/>
    <w:rsid w:val="001731B4"/>
    <w:rsid w:val="001A49C9"/>
    <w:rsid w:val="001C122D"/>
    <w:rsid w:val="001E7600"/>
    <w:rsid w:val="00225C49"/>
    <w:rsid w:val="002270B6"/>
    <w:rsid w:val="00251C5A"/>
    <w:rsid w:val="00267BE6"/>
    <w:rsid w:val="00286950"/>
    <w:rsid w:val="002B0D74"/>
    <w:rsid w:val="002B12FD"/>
    <w:rsid w:val="0038285B"/>
    <w:rsid w:val="0042208C"/>
    <w:rsid w:val="00557A6D"/>
    <w:rsid w:val="00564532"/>
    <w:rsid w:val="005B651F"/>
    <w:rsid w:val="005F2EA3"/>
    <w:rsid w:val="00644070"/>
    <w:rsid w:val="006E6AD7"/>
    <w:rsid w:val="006F36F3"/>
    <w:rsid w:val="007C2962"/>
    <w:rsid w:val="008013FA"/>
    <w:rsid w:val="008C7DAA"/>
    <w:rsid w:val="008D1B4D"/>
    <w:rsid w:val="009A2BB7"/>
    <w:rsid w:val="009C5DBE"/>
    <w:rsid w:val="00A92848"/>
    <w:rsid w:val="00AA2666"/>
    <w:rsid w:val="00AA2673"/>
    <w:rsid w:val="00D33F07"/>
    <w:rsid w:val="00D71BF0"/>
    <w:rsid w:val="00D7356D"/>
    <w:rsid w:val="00DA228D"/>
    <w:rsid w:val="00DD7107"/>
    <w:rsid w:val="00DF5F86"/>
    <w:rsid w:val="00E54331"/>
    <w:rsid w:val="00ED7380"/>
    <w:rsid w:val="00FC6F88"/>
    <w:rsid w:val="04E80AA6"/>
    <w:rsid w:val="05361412"/>
    <w:rsid w:val="053C0A8C"/>
    <w:rsid w:val="072F282A"/>
    <w:rsid w:val="08822504"/>
    <w:rsid w:val="08CA1531"/>
    <w:rsid w:val="093E6C72"/>
    <w:rsid w:val="0B285D17"/>
    <w:rsid w:val="0C7073C9"/>
    <w:rsid w:val="0D7B4EE4"/>
    <w:rsid w:val="0E324D9D"/>
    <w:rsid w:val="0FE837F8"/>
    <w:rsid w:val="0FEA5848"/>
    <w:rsid w:val="102852EB"/>
    <w:rsid w:val="10B20148"/>
    <w:rsid w:val="10DC20C5"/>
    <w:rsid w:val="10F30394"/>
    <w:rsid w:val="121A1E9F"/>
    <w:rsid w:val="12523BA8"/>
    <w:rsid w:val="126B0C4C"/>
    <w:rsid w:val="168E339A"/>
    <w:rsid w:val="16E46008"/>
    <w:rsid w:val="17051266"/>
    <w:rsid w:val="173C07CC"/>
    <w:rsid w:val="17AE3C6A"/>
    <w:rsid w:val="19F31C82"/>
    <w:rsid w:val="20A00A24"/>
    <w:rsid w:val="215B74BA"/>
    <w:rsid w:val="21AE4421"/>
    <w:rsid w:val="22396CE0"/>
    <w:rsid w:val="22647C9E"/>
    <w:rsid w:val="226715E5"/>
    <w:rsid w:val="228E3B2A"/>
    <w:rsid w:val="22EB5E41"/>
    <w:rsid w:val="23915AD5"/>
    <w:rsid w:val="24A3267C"/>
    <w:rsid w:val="24AE011D"/>
    <w:rsid w:val="25422D9D"/>
    <w:rsid w:val="25B77399"/>
    <w:rsid w:val="26F251F5"/>
    <w:rsid w:val="281A4A03"/>
    <w:rsid w:val="2BBF0C38"/>
    <w:rsid w:val="2BC63E1B"/>
    <w:rsid w:val="2DFE5985"/>
    <w:rsid w:val="2E985F7C"/>
    <w:rsid w:val="2E9D5C89"/>
    <w:rsid w:val="30617469"/>
    <w:rsid w:val="31285B95"/>
    <w:rsid w:val="338D56E9"/>
    <w:rsid w:val="33CB2F89"/>
    <w:rsid w:val="368B625D"/>
    <w:rsid w:val="36E778D3"/>
    <w:rsid w:val="38120940"/>
    <w:rsid w:val="38214F09"/>
    <w:rsid w:val="39ED7AFB"/>
    <w:rsid w:val="3AC32CD9"/>
    <w:rsid w:val="3B283958"/>
    <w:rsid w:val="3B7F0FDB"/>
    <w:rsid w:val="3EE87A88"/>
    <w:rsid w:val="41841492"/>
    <w:rsid w:val="41BB7A01"/>
    <w:rsid w:val="434B5339"/>
    <w:rsid w:val="43BC1401"/>
    <w:rsid w:val="47B5265D"/>
    <w:rsid w:val="47E97BB1"/>
    <w:rsid w:val="49045BFA"/>
    <w:rsid w:val="490E670B"/>
    <w:rsid w:val="49BA5490"/>
    <w:rsid w:val="4A583C74"/>
    <w:rsid w:val="4C6F1BE1"/>
    <w:rsid w:val="4D112219"/>
    <w:rsid w:val="5218523B"/>
    <w:rsid w:val="54223609"/>
    <w:rsid w:val="54C918E0"/>
    <w:rsid w:val="58BB72AF"/>
    <w:rsid w:val="59EA61FA"/>
    <w:rsid w:val="5C9413EF"/>
    <w:rsid w:val="5CE214B3"/>
    <w:rsid w:val="5D160A80"/>
    <w:rsid w:val="5EF16BE3"/>
    <w:rsid w:val="5F2779A2"/>
    <w:rsid w:val="5F630D5A"/>
    <w:rsid w:val="60010E9B"/>
    <w:rsid w:val="607457C0"/>
    <w:rsid w:val="61056105"/>
    <w:rsid w:val="632A231C"/>
    <w:rsid w:val="638322C7"/>
    <w:rsid w:val="63EB5050"/>
    <w:rsid w:val="643C6246"/>
    <w:rsid w:val="66EC42F7"/>
    <w:rsid w:val="675D60DF"/>
    <w:rsid w:val="68306A7A"/>
    <w:rsid w:val="689F0B5F"/>
    <w:rsid w:val="6A5478F5"/>
    <w:rsid w:val="6B4854C8"/>
    <w:rsid w:val="6F5562E4"/>
    <w:rsid w:val="70463F3A"/>
    <w:rsid w:val="70BD686D"/>
    <w:rsid w:val="70C270EB"/>
    <w:rsid w:val="719165C3"/>
    <w:rsid w:val="71BE18D4"/>
    <w:rsid w:val="73397A01"/>
    <w:rsid w:val="75DC52F9"/>
    <w:rsid w:val="76D36C51"/>
    <w:rsid w:val="77006154"/>
    <w:rsid w:val="787963FD"/>
    <w:rsid w:val="7999548F"/>
    <w:rsid w:val="7C574744"/>
    <w:rsid w:val="7C9B0F5D"/>
    <w:rsid w:val="7F306FC5"/>
    <w:rsid w:val="7F627A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spacing w:before="100" w:beforeAutospacing="1" w:after="100" w:afterAutospacing="1"/>
      <w:jc w:val="left"/>
      <w:outlineLvl w:val="1"/>
      <w:pPrChange w:id="0" w:author="sunlight" w:date="2023-07-25T20:31:00Z">
        <w:pPr>
          <w:widowControl w:val="0"/>
          <w:spacing w:before="100" w:beforeAutospacing="1" w:after="100" w:afterAutospacing="1"/>
          <w:outlineLvl w:val="1"/>
        </w:pPr>
      </w:pPrChange>
    </w:pPr>
    <w:rPr>
      <w:rFonts w:hint="eastAsia" w:ascii="宋体" w:hAnsi="宋体" w:eastAsia="宋体" w:cs="Times New Roman"/>
      <w:b/>
      <w:kern w:val="0"/>
      <w:sz w:val="36"/>
      <w:szCs w:val="36"/>
      <w:rPrChange w:id="1" w:author="sunlight" w:date="2023-07-25T20:31:00Z">
        <w:rPr>
          <w:rFonts w:hint="eastAsia" w:ascii="宋体" w:hAnsi="宋体" w:eastAsia="宋体"/>
          <w:b/>
          <w:sz w:val="36"/>
          <w:szCs w:val="36"/>
          <w:lang w:val="en-US" w:eastAsia="zh-CN" w:bidi="ar-SA"/>
        </w:rPr>
      </w:rPrChange>
    </w:rPr>
  </w:style>
  <w:style w:type="paragraph" w:styleId="3">
    <w:name w:val="heading 3"/>
    <w:basedOn w:val="1"/>
    <w:next w:val="1"/>
    <w:qFormat/>
    <w:uiPriority w:val="9"/>
    <w:pPr>
      <w:spacing w:before="100" w:beforeAutospacing="1" w:after="100" w:afterAutospacing="1"/>
      <w:jc w:val="left"/>
      <w:outlineLvl w:val="2"/>
      <w:pPrChange w:id="2" w:author="sunlight" w:date="2023-07-25T20:31:00Z">
        <w:pPr>
          <w:widowControl w:val="0"/>
          <w:spacing w:before="100" w:beforeAutospacing="1" w:after="100" w:afterAutospacing="1"/>
          <w:outlineLvl w:val="2"/>
        </w:pPr>
      </w:pPrChange>
    </w:pPr>
    <w:rPr>
      <w:rFonts w:hint="eastAsia" w:ascii="宋体" w:hAnsi="宋体" w:eastAsia="宋体" w:cs="Times New Roman"/>
      <w:b/>
      <w:kern w:val="0"/>
      <w:sz w:val="27"/>
      <w:szCs w:val="27"/>
      <w:rPrChange w:id="3" w:author="sunlight" w:date="2023-07-25T20:31:00Z">
        <w:rPr>
          <w:rFonts w:hint="eastAsia" w:ascii="宋体" w:hAnsi="宋体" w:eastAsia="宋体"/>
          <w:b/>
          <w:sz w:val="27"/>
          <w:szCs w:val="27"/>
          <w:lang w:val="en-US" w:eastAsia="zh-CN" w:bidi="ar-SA"/>
        </w:rPr>
      </w:rPrChange>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4"/>
    <w:qFormat/>
    <w:uiPriority w:val="0"/>
    <w:pPr>
      <w:jc w:val="left"/>
    </w:pPr>
  </w:style>
  <w:style w:type="paragraph" w:styleId="5">
    <w:name w:val="footer"/>
    <w:basedOn w:val="1"/>
    <w:link w:val="18"/>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4"/>
    <w:next w:val="4"/>
    <w:link w:val="15"/>
    <w:qFormat/>
    <w:uiPriority w:val="0"/>
    <w:rPr>
      <w:b/>
      <w:bCs/>
    </w:rPr>
  </w:style>
  <w:style w:type="character" w:styleId="11">
    <w:name w:val="Strong"/>
    <w:basedOn w:val="10"/>
    <w:qFormat/>
    <w:uiPriority w:val="22"/>
    <w:rPr>
      <w:b/>
      <w:bCs/>
    </w:rPr>
  </w:style>
  <w:style w:type="character" w:styleId="12">
    <w:name w:val="annotation reference"/>
    <w:basedOn w:val="10"/>
    <w:qFormat/>
    <w:uiPriority w:val="0"/>
    <w:rPr>
      <w:sz w:val="21"/>
      <w:szCs w:val="21"/>
    </w:rPr>
  </w:style>
  <w:style w:type="paragraph" w:customStyle="1" w:styleId="13">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4">
    <w:name w:val="批注文字 字符"/>
    <w:basedOn w:val="10"/>
    <w:link w:val="4"/>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8"/>
    <w:qFormat/>
    <w:uiPriority w:val="0"/>
    <w:rPr>
      <w:rFonts w:asciiTheme="minorHAnsi" w:hAnsiTheme="minorHAnsi" w:eastAsiaTheme="minorEastAsia" w:cstheme="minorBidi"/>
      <w:b/>
      <w:bCs/>
      <w:kern w:val="2"/>
      <w:sz w:val="21"/>
      <w:szCs w:val="24"/>
    </w:rPr>
  </w:style>
  <w:style w:type="paragraph" w:styleId="16">
    <w:name w:val="List Paragraph"/>
    <w:basedOn w:val="1"/>
    <w:qFormat/>
    <w:uiPriority w:val="99"/>
    <w:pPr>
      <w:ind w:firstLine="420" w:firstLineChars="200"/>
    </w:pPr>
  </w:style>
  <w:style w:type="character" w:customStyle="1" w:styleId="17">
    <w:name w:val="页眉 字符"/>
    <w:basedOn w:val="10"/>
    <w:link w:val="6"/>
    <w:qFormat/>
    <w:uiPriority w:val="0"/>
    <w:rPr>
      <w:rFonts w:asciiTheme="minorHAnsi" w:hAnsiTheme="minorHAnsi" w:eastAsiaTheme="minorEastAsia" w:cstheme="minorBidi"/>
      <w:kern w:val="2"/>
      <w:sz w:val="18"/>
      <w:szCs w:val="18"/>
    </w:rPr>
  </w:style>
  <w:style w:type="character" w:customStyle="1" w:styleId="18">
    <w:name w:val="页脚 字符"/>
    <w:basedOn w:val="10"/>
    <w:link w:val="5"/>
    <w:qFormat/>
    <w:uiPriority w:val="0"/>
    <w:rPr>
      <w:rFonts w:asciiTheme="minorHAnsi" w:hAnsiTheme="minorHAnsi" w:eastAsiaTheme="minorEastAsia" w:cstheme="minorBidi"/>
      <w:kern w:val="2"/>
      <w:sz w:val="18"/>
      <w:szCs w:val="18"/>
    </w:rPr>
  </w:style>
  <w:style w:type="paragraph" w:customStyle="1" w:styleId="19">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Class>
  <codeData xmlns="urn:rootClass:codeData">CB81C022071A7DF251CF499650BD2EA93C103A4D3246B6E92F104D5ED0D638495DFE49BF73FB5F9ACD83CD21061A6ABDDC7ECEDF59B1D53E50F35EA294F42B6F929672F6295484C31A4EF80A6F81F32B6ED17B8F8499F81863E959AEA5E92D6DA1A29DE356AB3091C549E16B9A2ABED137184559DA2364A4E66BD82E1E6C95F80348070D7F92868AFE55FF1328B82F93D24DC81523A724BBD377D1D74BAFE52A6FE560B398EC00</codeData>
</rootClass>
</file>

<file path=customXml/itemProps1.xml><?xml version="1.0" encoding="utf-8"?>
<ds:datastoreItem xmlns:ds="http://schemas.openxmlformats.org/officeDocument/2006/customXml" ds:itemID="{ACA843F8-F190-4835-A2A4-52742C18AA21}">
  <ds:schemaRefs/>
</ds:datastoreItem>
</file>

<file path=docProps/app.xml><?xml version="1.0" encoding="utf-8"?>
<Properties xmlns="http://schemas.openxmlformats.org/officeDocument/2006/extended-properties" xmlns:vt="http://schemas.openxmlformats.org/officeDocument/2006/docPropsVTypes">
  <Template>Normal.dotm</Template>
  <Company>Aliyun</Company>
  <Pages>16</Pages>
  <Words>3469</Words>
  <Characters>20094</Characters>
  <Lines>215</Lines>
  <Paragraphs>60</Paragraphs>
  <TotalTime>7</TotalTime>
  <ScaleCrop>false</ScaleCrop>
  <LinksUpToDate>false</LinksUpToDate>
  <CharactersWithSpaces>23536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2023-03-18T16:43:00Z</dcterms:created>
  <dc:creator>zhangling</dc:creator>
  <cp:lastModifiedBy>sunlight</cp:lastModifiedBy>
  <cp:lastPrinted>2023-03-14T03:26:00Z</cp:lastPrinted>
  <dcterms:modified xsi:type="dcterms:W3CDTF">2023-07-26T02:40:24Z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47DD82BCA6BD418D9A14D5279CEBB790</vt:lpwstr>
  </property>
  <property fmtid="{D5CDD505-2E9C-101B-9397-08002B2CF9AE}" pid="4" name="GrammarlyDocumentId">
    <vt:lpwstr>ac679be7c34e80217a3588f152a7f2a0fed53e142b34b8882b63bbdbdb38465a</vt:lpwstr>
  </property>
</Properties>
</file>