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C42A0" w14:textId="77777777" w:rsidR="00D222EA" w:rsidRPr="0084197F" w:rsidRDefault="00D222EA" w:rsidP="00D222EA">
      <w:pPr>
        <w:wordWrap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Pr="0084197F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84197F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Receiver operating characteristic (ROC) analysis comparing diagnostic performance of </w:t>
      </w:r>
      <w:proofErr w:type="spellStart"/>
      <w:r>
        <w:rPr>
          <w:rFonts w:ascii="Times New Roman" w:hAnsi="Times New Roman" w:cs="Times New Roman"/>
          <w:sz w:val="20"/>
          <w:szCs w:val="20"/>
        </w:rPr>
        <w:t>biparametric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multiparametric MRI for detecting residual muscle-invasive bladder cancer (MIBC) on cystectomy specimens after neoadjuvant chemotherapy. No statistically significant difference was seen between </w:t>
      </w:r>
      <w:proofErr w:type="spellStart"/>
      <w:r>
        <w:rPr>
          <w:rFonts w:ascii="Times New Roman" w:hAnsi="Times New Roman" w:cs="Times New Roman"/>
          <w:sz w:val="20"/>
          <w:szCs w:val="20"/>
        </w:rPr>
        <w:t>biparametric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multiparametric MRI with corresponding areas under the ROC of </w:t>
      </w:r>
      <w:proofErr w:type="spellStart"/>
      <w:r>
        <w:rPr>
          <w:rFonts w:ascii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B6D64">
        <w:rPr>
          <w:rFonts w:ascii="Times New Roman" w:hAnsi="Times New Roman" w:cs="Times New Roman"/>
          <w:sz w:val="20"/>
          <w:szCs w:val="20"/>
        </w:rPr>
        <w:t>0.7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3B6D64">
        <w:rPr>
          <w:rFonts w:ascii="Times New Roman" w:hAnsi="Times New Roman" w:cs="Times New Roman"/>
          <w:sz w:val="20"/>
          <w:szCs w:val="20"/>
        </w:rPr>
        <w:t xml:space="preserve"> (95% confidence interval [CI], </w:t>
      </w:r>
      <w:r w:rsidRPr="008276F5">
        <w:rPr>
          <w:rFonts w:ascii="Times New Roman" w:hAnsi="Times New Roman" w:cs="Times New Roman"/>
          <w:sz w:val="20"/>
          <w:szCs w:val="20"/>
        </w:rPr>
        <w:t>0.66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8276F5">
        <w:rPr>
          <w:rFonts w:ascii="Times New Roman" w:hAnsi="Times New Roman" w:cs="Times New Roman"/>
          <w:sz w:val="20"/>
          <w:szCs w:val="20"/>
        </w:rPr>
        <w:t>0.88</w:t>
      </w:r>
      <w:r w:rsidRPr="003B6D64">
        <w:rPr>
          <w:rFonts w:ascii="Times New Roman" w:hAnsi="Times New Roman" w:cs="Times New Roman"/>
          <w:sz w:val="20"/>
          <w:szCs w:val="20"/>
        </w:rPr>
        <w:t>) and 0.</w:t>
      </w:r>
      <w:r>
        <w:rPr>
          <w:rFonts w:ascii="Times New Roman" w:hAnsi="Times New Roman" w:cs="Times New Roman"/>
          <w:sz w:val="20"/>
          <w:szCs w:val="20"/>
        </w:rPr>
        <w:t>71</w:t>
      </w:r>
      <w:r w:rsidRPr="003B6D64">
        <w:rPr>
          <w:rFonts w:ascii="Times New Roman" w:hAnsi="Times New Roman" w:cs="Times New Roman"/>
          <w:sz w:val="20"/>
          <w:szCs w:val="20"/>
        </w:rPr>
        <w:t xml:space="preserve"> (95% CI, 0.</w:t>
      </w:r>
      <w:r>
        <w:rPr>
          <w:rFonts w:ascii="Times New Roman" w:hAnsi="Times New Roman" w:cs="Times New Roman"/>
          <w:sz w:val="20"/>
          <w:szCs w:val="20"/>
        </w:rPr>
        <w:t>59–</w:t>
      </w:r>
      <w:r w:rsidRPr="003B6D64">
        <w:rPr>
          <w:rFonts w:ascii="Times New Roman" w:hAnsi="Times New Roman" w:cs="Times New Roman"/>
          <w:sz w:val="20"/>
          <w:szCs w:val="20"/>
        </w:rPr>
        <w:t>0.</w:t>
      </w:r>
      <w:r>
        <w:rPr>
          <w:rFonts w:ascii="Times New Roman" w:hAnsi="Times New Roman" w:cs="Times New Roman"/>
          <w:sz w:val="20"/>
          <w:szCs w:val="20"/>
        </w:rPr>
        <w:t xml:space="preserve">82), respectively. Using MRI scores of 4–5 as positive, sensitivity and specificity were </w:t>
      </w:r>
      <w:r w:rsidRPr="008276F5">
        <w:rPr>
          <w:rFonts w:ascii="Times New Roman" w:hAnsi="Times New Roman" w:cs="Times New Roman"/>
          <w:sz w:val="20"/>
          <w:szCs w:val="20"/>
        </w:rPr>
        <w:t>82.1</w:t>
      </w:r>
      <w:r>
        <w:rPr>
          <w:rFonts w:ascii="Times New Roman" w:hAnsi="Times New Roman" w:cs="Times New Roman"/>
          <w:sz w:val="20"/>
          <w:szCs w:val="20"/>
        </w:rPr>
        <w:t>%</w:t>
      </w:r>
      <w:r w:rsidRPr="008276F5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95% CI, </w:t>
      </w:r>
      <w:r w:rsidRPr="008276F5">
        <w:rPr>
          <w:rFonts w:ascii="Times New Roman" w:hAnsi="Times New Roman" w:cs="Times New Roman"/>
          <w:sz w:val="20"/>
          <w:szCs w:val="20"/>
        </w:rPr>
        <w:t>63.1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8276F5">
        <w:rPr>
          <w:rFonts w:ascii="Times New Roman" w:hAnsi="Times New Roman" w:cs="Times New Roman"/>
          <w:sz w:val="20"/>
          <w:szCs w:val="20"/>
        </w:rPr>
        <w:t>93.9)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8276F5">
        <w:rPr>
          <w:rFonts w:ascii="Times New Roman" w:hAnsi="Times New Roman" w:cs="Times New Roman"/>
          <w:sz w:val="20"/>
          <w:szCs w:val="20"/>
        </w:rPr>
        <w:t>72.7</w:t>
      </w:r>
      <w:r>
        <w:rPr>
          <w:rFonts w:ascii="Times New Roman" w:hAnsi="Times New Roman" w:cs="Times New Roman"/>
          <w:sz w:val="20"/>
          <w:szCs w:val="20"/>
        </w:rPr>
        <w:t>%</w:t>
      </w:r>
      <w:r w:rsidRPr="008276F5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95% CI, </w:t>
      </w:r>
      <w:r w:rsidRPr="008276F5">
        <w:rPr>
          <w:rFonts w:ascii="Times New Roman" w:hAnsi="Times New Roman" w:cs="Times New Roman"/>
          <w:sz w:val="20"/>
          <w:szCs w:val="20"/>
        </w:rPr>
        <w:t>54.5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8276F5">
        <w:rPr>
          <w:rFonts w:ascii="Times New Roman" w:hAnsi="Times New Roman" w:cs="Times New Roman"/>
          <w:sz w:val="20"/>
          <w:szCs w:val="20"/>
        </w:rPr>
        <w:t>86.7)</w:t>
      </w:r>
      <w:r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biparametric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MRI and </w:t>
      </w:r>
      <w:r w:rsidRPr="008276F5">
        <w:rPr>
          <w:rFonts w:ascii="Times New Roman" w:hAnsi="Times New Roman" w:cs="Times New Roman"/>
          <w:sz w:val="20"/>
          <w:szCs w:val="20"/>
        </w:rPr>
        <w:t>75.0</w:t>
      </w:r>
      <w:r>
        <w:rPr>
          <w:rFonts w:ascii="Times New Roman" w:hAnsi="Times New Roman" w:cs="Times New Roman"/>
          <w:sz w:val="20"/>
          <w:szCs w:val="20"/>
        </w:rPr>
        <w:t>%</w:t>
      </w:r>
      <w:r w:rsidRPr="008276F5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95% CI, </w:t>
      </w:r>
      <w:r w:rsidRPr="008276F5">
        <w:rPr>
          <w:rFonts w:ascii="Times New Roman" w:hAnsi="Times New Roman" w:cs="Times New Roman"/>
          <w:sz w:val="20"/>
          <w:szCs w:val="20"/>
        </w:rPr>
        <w:t>55.1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8276F5">
        <w:rPr>
          <w:rFonts w:ascii="Times New Roman" w:hAnsi="Times New Roman" w:cs="Times New Roman"/>
          <w:sz w:val="20"/>
          <w:szCs w:val="20"/>
        </w:rPr>
        <w:t>89.3)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8276F5">
        <w:rPr>
          <w:rFonts w:ascii="Times New Roman" w:hAnsi="Times New Roman" w:cs="Times New Roman"/>
          <w:sz w:val="20"/>
          <w:szCs w:val="20"/>
        </w:rPr>
        <w:t>45.5</w:t>
      </w:r>
      <w:r>
        <w:rPr>
          <w:rFonts w:ascii="Times New Roman" w:hAnsi="Times New Roman" w:cs="Times New Roman"/>
          <w:sz w:val="20"/>
          <w:szCs w:val="20"/>
        </w:rPr>
        <w:t>%</w:t>
      </w:r>
      <w:r w:rsidRPr="008276F5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95% CI, </w:t>
      </w:r>
      <w:r w:rsidRPr="008276F5">
        <w:rPr>
          <w:rFonts w:ascii="Times New Roman" w:hAnsi="Times New Roman" w:cs="Times New Roman"/>
          <w:sz w:val="20"/>
          <w:szCs w:val="20"/>
        </w:rPr>
        <w:t>28.1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8276F5">
        <w:rPr>
          <w:rFonts w:ascii="Times New Roman" w:hAnsi="Times New Roman" w:cs="Times New Roman"/>
          <w:sz w:val="20"/>
          <w:szCs w:val="20"/>
        </w:rPr>
        <w:t>63.7)</w:t>
      </w:r>
      <w:r>
        <w:rPr>
          <w:rFonts w:ascii="Times New Roman" w:hAnsi="Times New Roman" w:cs="Times New Roman"/>
          <w:sz w:val="20"/>
          <w:szCs w:val="20"/>
        </w:rPr>
        <w:t xml:space="preserve"> for multiparametric MRI.</w:t>
      </w:r>
    </w:p>
    <w:p w14:paraId="13D399B0" w14:textId="2F64E87D" w:rsidR="006E446A" w:rsidRDefault="00D222EA" w:rsidP="00D222EA">
      <w:r w:rsidRPr="00397496">
        <w:rPr>
          <w:noProof/>
        </w:rPr>
        <w:drawing>
          <wp:inline distT="0" distB="0" distL="0" distR="0" wp14:anchorId="4D37E09F" wp14:editId="73B10C19">
            <wp:extent cx="6524303" cy="4188600"/>
            <wp:effectExtent l="0" t="0" r="0" b="2540"/>
            <wp:docPr id="11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8E5E15DA-2BD6-491B-B713-B27AC98FEE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8E5E15DA-2BD6-491B-B713-B27AC98FEE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t="12347" b="2051"/>
                    <a:stretch/>
                  </pic:blipFill>
                  <pic:spPr bwMode="auto">
                    <a:xfrm>
                      <a:off x="0" y="0"/>
                      <a:ext cx="6535047" cy="4195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E4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EA"/>
    <w:rsid w:val="006E446A"/>
    <w:rsid w:val="00D2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D723"/>
  <w15:chartTrackingRefBased/>
  <w15:docId w15:val="{BCBC2191-C8F2-4416-961C-8AA6713C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2EA"/>
    <w:pPr>
      <w:widowControl w:val="0"/>
      <w:wordWrap w:val="0"/>
      <w:autoSpaceDE w:val="0"/>
      <w:autoSpaceDN w:val="0"/>
    </w:pPr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>Springer Nature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Aiyaz Ibrahim Shaikh</dc:creator>
  <cp:keywords/>
  <dc:description/>
  <cp:lastModifiedBy>Aiyaz Ibrahim Shaikh</cp:lastModifiedBy>
  <cp:revision>1</cp:revision>
  <dcterms:created xsi:type="dcterms:W3CDTF">2023-11-06T09:33:00Z</dcterms:created>
  <dcterms:modified xsi:type="dcterms:W3CDTF">2023-11-06T09:34:00Z</dcterms:modified>
</cp:coreProperties>
</file>