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1BF" w:rsidRDefault="00E071BF" w:rsidP="00E071BF">
      <w:pPr>
        <w:spacing w:before="400" w:after="12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  <w:highlight w:val="cyan"/>
        </w:rPr>
      </w:pPr>
      <w:bookmarkStart w:id="0" w:name="_GoBack"/>
      <w:bookmarkEnd w:id="0"/>
      <w:r w:rsidRPr="0038092B">
        <w:rPr>
          <w:rFonts w:asciiTheme="majorBidi" w:eastAsia="Times New Roman" w:hAnsiTheme="majorBidi" w:cstheme="majorBidi"/>
          <w:b/>
          <w:bCs/>
          <w:sz w:val="28"/>
          <w:szCs w:val="28"/>
          <w:highlight w:val="cyan"/>
        </w:rPr>
        <w:t>Supplementary Information</w:t>
      </w:r>
    </w:p>
    <w:p w:rsidR="001666D3" w:rsidRDefault="001666D3" w:rsidP="00D237A9">
      <w:pPr>
        <w:spacing w:before="400" w:after="12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  <w:highlight w:val="cyan"/>
        </w:rPr>
      </w:pPr>
      <w:r w:rsidRPr="0038092B">
        <w:rPr>
          <w:rFonts w:asciiTheme="majorBidi" w:eastAsia="Times New Roman" w:hAnsiTheme="majorBidi" w:cstheme="majorBidi"/>
          <w:b/>
          <w:bCs/>
          <w:sz w:val="28"/>
          <w:szCs w:val="28"/>
          <w:highlight w:val="cyan"/>
        </w:rPr>
        <w:t xml:space="preserve">S1. Patient </w:t>
      </w:r>
      <w:r w:rsidRPr="004312C8">
        <w:rPr>
          <w:rFonts w:asciiTheme="majorBidi" w:eastAsia="Times New Roman" w:hAnsiTheme="majorBidi" w:cstheme="majorBidi"/>
          <w:b/>
          <w:bCs/>
          <w:sz w:val="28"/>
          <w:szCs w:val="28"/>
          <w:highlight w:val="cyan"/>
        </w:rPr>
        <w:t>characteristics</w:t>
      </w:r>
    </w:p>
    <w:p w:rsidR="00B54639" w:rsidRPr="00642578" w:rsidRDefault="00B54639" w:rsidP="00642578">
      <w:pPr>
        <w:spacing w:before="400" w:after="120" w:line="360" w:lineRule="auto"/>
        <w:jc w:val="center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highlight w:val="cyan"/>
        </w:rPr>
      </w:pPr>
      <w:r w:rsidRPr="00642578">
        <w:rPr>
          <w:rFonts w:asciiTheme="majorBidi" w:eastAsia="Times New Roman" w:hAnsiTheme="majorBidi" w:cstheme="majorBidi"/>
          <w:b/>
          <w:bCs/>
          <w:sz w:val="24"/>
          <w:szCs w:val="24"/>
          <w:highlight w:val="cyan"/>
        </w:rPr>
        <w:t xml:space="preserve">Table S1. </w:t>
      </w:r>
      <w:r w:rsidRPr="00642578">
        <w:rPr>
          <w:rFonts w:asciiTheme="majorBidi" w:eastAsia="Times New Roman" w:hAnsiTheme="majorBidi" w:cstheme="majorBidi"/>
          <w:sz w:val="24"/>
          <w:szCs w:val="24"/>
          <w:highlight w:val="cyan"/>
        </w:rPr>
        <w:t>Patient Characteristics.</w:t>
      </w:r>
    </w:p>
    <w:tbl>
      <w:tblPr>
        <w:tblStyle w:val="PlainTable2"/>
        <w:tblW w:w="5000" w:type="pct"/>
        <w:jc w:val="center"/>
        <w:tblLook w:val="04A0" w:firstRow="1" w:lastRow="0" w:firstColumn="1" w:lastColumn="0" w:noHBand="0" w:noVBand="1"/>
      </w:tblPr>
      <w:tblGrid>
        <w:gridCol w:w="1192"/>
        <w:gridCol w:w="2011"/>
        <w:gridCol w:w="1299"/>
        <w:gridCol w:w="1155"/>
        <w:gridCol w:w="1327"/>
        <w:gridCol w:w="1103"/>
        <w:gridCol w:w="1273"/>
      </w:tblGrid>
      <w:tr w:rsidR="00B73F9D" w:rsidRPr="004268D6" w:rsidTr="000307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pct"/>
            <w:gridSpan w:val="2"/>
            <w:vMerge w:val="restart"/>
            <w:tcBorders>
              <w:top w:val="single" w:sz="4" w:space="0" w:color="7F7F7F" w:themeColor="text1" w:themeTint="80"/>
              <w:right w:val="single" w:sz="4" w:space="0" w:color="auto"/>
              <w:tl2br w:val="nil"/>
            </w:tcBorders>
            <w:vAlign w:val="center"/>
          </w:tcPr>
          <w:p w:rsidR="00B73F9D" w:rsidRPr="004268D6" w:rsidRDefault="00B73F9D" w:rsidP="00030761">
            <w:pPr>
              <w:jc w:val="center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Variable</w:t>
            </w:r>
          </w:p>
        </w:tc>
        <w:tc>
          <w:tcPr>
            <w:tcW w:w="3289" w:type="pct"/>
            <w:gridSpan w:val="5"/>
            <w:tcBorders>
              <w:left w:val="single" w:sz="4" w:space="0" w:color="auto"/>
            </w:tcBorders>
            <w:vAlign w:val="center"/>
          </w:tcPr>
          <w:p w:rsidR="00B73F9D" w:rsidRPr="004268D6" w:rsidRDefault="00B73F9D" w:rsidP="000307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Dataset (752 [</w:t>
            </w: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  <w:vertAlign w:val="superscript"/>
              </w:rPr>
              <w:t>68</w:t>
            </w: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Ga]Ga-PSMA-11 PET/CT imaging)</w:t>
            </w:r>
          </w:p>
        </w:tc>
      </w:tr>
      <w:tr w:rsidR="00B73F9D" w:rsidRPr="004268D6" w:rsidTr="00030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B73F9D" w:rsidRPr="004268D6" w:rsidRDefault="00B73F9D">
            <w:pPr>
              <w:jc w:val="center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</w:p>
        </w:tc>
        <w:tc>
          <w:tcPr>
            <w:tcW w:w="1311" w:type="pct"/>
            <w:gridSpan w:val="2"/>
            <w:tcBorders>
              <w:left w:val="single" w:sz="4" w:space="0" w:color="auto"/>
            </w:tcBorders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  <w:t>Self-supervised pre-training set</w:t>
            </w:r>
          </w:p>
        </w:tc>
        <w:tc>
          <w:tcPr>
            <w:tcW w:w="709" w:type="pct"/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  <w:t>Training set</w:t>
            </w:r>
          </w:p>
        </w:tc>
        <w:tc>
          <w:tcPr>
            <w:tcW w:w="1269" w:type="pct"/>
            <w:gridSpan w:val="2"/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  <w:t>Testing set</w:t>
            </w:r>
          </w:p>
        </w:tc>
      </w:tr>
      <w:tr w:rsidR="00B73F9D" w:rsidRPr="004268D6" w:rsidTr="00030761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pct"/>
            <w:gridSpan w:val="2"/>
            <w:vMerge/>
            <w:tcBorders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:rsidR="00B73F9D" w:rsidRPr="004268D6" w:rsidRDefault="00B73F9D">
            <w:pPr>
              <w:jc w:val="center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</w:p>
        </w:tc>
        <w:tc>
          <w:tcPr>
            <w:tcW w:w="694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  <w:t>Center A</w:t>
            </w:r>
          </w:p>
        </w:tc>
        <w:tc>
          <w:tcPr>
            <w:tcW w:w="61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  <w:t>Center B</w:t>
            </w:r>
            <w:r w:rsidRPr="004268D6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  <w:vertAlign w:val="superscript"/>
              </w:rPr>
              <w:t>1</w:t>
            </w:r>
          </w:p>
        </w:tc>
        <w:tc>
          <w:tcPr>
            <w:tcW w:w="709" w:type="pct"/>
            <w:tcBorders>
              <w:bottom w:val="single" w:sz="4" w:space="0" w:color="7F7F7F" w:themeColor="text1" w:themeTint="80"/>
            </w:tcBorders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  <w:t>Center A</w:t>
            </w:r>
          </w:p>
        </w:tc>
        <w:tc>
          <w:tcPr>
            <w:tcW w:w="589" w:type="pct"/>
            <w:tcBorders>
              <w:bottom w:val="single" w:sz="4" w:space="0" w:color="7F7F7F" w:themeColor="text1" w:themeTint="80"/>
            </w:tcBorders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  <w:t>Center A</w:t>
            </w:r>
          </w:p>
        </w:tc>
        <w:tc>
          <w:tcPr>
            <w:tcW w:w="680" w:type="pct"/>
            <w:tcBorders>
              <w:bottom w:val="single" w:sz="4" w:space="0" w:color="7F7F7F" w:themeColor="text1" w:themeTint="80"/>
            </w:tcBorders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</w:rPr>
              <w:t>Center B</w:t>
            </w:r>
            <w:r w:rsidRPr="004268D6">
              <w:rPr>
                <w:rFonts w:asciiTheme="majorBidi" w:hAnsiTheme="majorBidi" w:cstheme="majorBidi"/>
                <w:b/>
                <w:bCs/>
                <w:sz w:val="20"/>
                <w:szCs w:val="20"/>
                <w:highlight w:val="cyan"/>
                <w:vertAlign w:val="superscript"/>
              </w:rPr>
              <w:t>1</w:t>
            </w:r>
          </w:p>
        </w:tc>
      </w:tr>
      <w:tr w:rsidR="00B73F9D" w:rsidRPr="004268D6" w:rsidTr="00030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pct"/>
            <w:gridSpan w:val="2"/>
            <w:tcBorders>
              <w:right w:val="single" w:sz="4" w:space="0" w:color="auto"/>
            </w:tcBorders>
            <w:vAlign w:val="center"/>
          </w:tcPr>
          <w:p w:rsidR="00B73F9D" w:rsidRPr="004268D6" w:rsidRDefault="00B73F9D" w:rsidP="00030761">
            <w:pPr>
              <w:jc w:val="center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No. of patients (n)</w:t>
            </w:r>
          </w:p>
        </w:tc>
        <w:tc>
          <w:tcPr>
            <w:tcW w:w="694" w:type="pct"/>
            <w:tcBorders>
              <w:left w:val="single" w:sz="4" w:space="0" w:color="auto"/>
            </w:tcBorders>
            <w:vAlign w:val="center"/>
          </w:tcPr>
          <w:p w:rsidR="00B73F9D" w:rsidRPr="004268D6" w:rsidRDefault="00B73F9D" w:rsidP="00030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318</w:t>
            </w:r>
          </w:p>
        </w:tc>
        <w:tc>
          <w:tcPr>
            <w:tcW w:w="617" w:type="pct"/>
            <w:vAlign w:val="center"/>
          </w:tcPr>
          <w:p w:rsidR="00B73F9D" w:rsidRPr="004268D6" w:rsidRDefault="00B73F9D" w:rsidP="00030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334</w:t>
            </w:r>
          </w:p>
        </w:tc>
        <w:tc>
          <w:tcPr>
            <w:tcW w:w="709" w:type="pct"/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80</w:t>
            </w:r>
          </w:p>
        </w:tc>
        <w:tc>
          <w:tcPr>
            <w:tcW w:w="589" w:type="pct"/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10</w:t>
            </w:r>
          </w:p>
        </w:tc>
        <w:tc>
          <w:tcPr>
            <w:tcW w:w="680" w:type="pct"/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10</w:t>
            </w:r>
          </w:p>
        </w:tc>
      </w:tr>
      <w:tr w:rsidR="00B73F9D" w:rsidRPr="004268D6" w:rsidTr="000307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pct"/>
            <w:gridSpan w:val="2"/>
            <w:tcBorders>
              <w:right w:val="single" w:sz="4" w:space="0" w:color="auto"/>
            </w:tcBorders>
            <w:vAlign w:val="center"/>
          </w:tcPr>
          <w:p w:rsidR="00B73F9D" w:rsidRPr="004268D6" w:rsidRDefault="00B73F9D" w:rsidP="00030761">
            <w:pPr>
              <w:jc w:val="center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PSA (median, range, ng/mL)</w:t>
            </w:r>
          </w:p>
        </w:tc>
        <w:tc>
          <w:tcPr>
            <w:tcW w:w="694" w:type="pct"/>
            <w:tcBorders>
              <w:left w:val="single" w:sz="4" w:space="0" w:color="auto"/>
            </w:tcBorders>
            <w:vAlign w:val="center"/>
          </w:tcPr>
          <w:p w:rsidR="00B73F9D" w:rsidRPr="004268D6" w:rsidRDefault="00B73F9D" w:rsidP="000307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8.34,</w:t>
            </w:r>
          </w:p>
          <w:p w:rsidR="00B73F9D" w:rsidRPr="004268D6" w:rsidRDefault="00B73F9D" w:rsidP="000307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(0.06-</w:t>
            </w:r>
            <w:r w:rsidR="00030761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2037</w:t>
            </w: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)</w:t>
            </w:r>
          </w:p>
        </w:tc>
        <w:tc>
          <w:tcPr>
            <w:tcW w:w="617" w:type="pct"/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-</w:t>
            </w:r>
          </w:p>
        </w:tc>
        <w:tc>
          <w:tcPr>
            <w:tcW w:w="709" w:type="pct"/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20.34,</w:t>
            </w:r>
          </w:p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(0.42-2156)</w:t>
            </w:r>
          </w:p>
        </w:tc>
        <w:tc>
          <w:tcPr>
            <w:tcW w:w="589" w:type="pct"/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5.14,</w:t>
            </w:r>
          </w:p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(0.35-</w:t>
            </w:r>
            <w:r w:rsidR="00030761"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559.8</w:t>
            </w: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)</w:t>
            </w:r>
          </w:p>
        </w:tc>
        <w:tc>
          <w:tcPr>
            <w:tcW w:w="680" w:type="pct"/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-</w:t>
            </w:r>
          </w:p>
        </w:tc>
      </w:tr>
      <w:tr w:rsidR="00B73F9D" w:rsidRPr="004268D6" w:rsidTr="00030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1" w:type="pct"/>
            <w:gridSpan w:val="2"/>
            <w:tcBorders>
              <w:right w:val="single" w:sz="4" w:space="0" w:color="auto"/>
            </w:tcBorders>
            <w:vAlign w:val="center"/>
          </w:tcPr>
          <w:p w:rsidR="00B73F9D" w:rsidRPr="004268D6" w:rsidRDefault="00B73F9D" w:rsidP="00030761">
            <w:pPr>
              <w:jc w:val="center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Age (mean ± SD, years)</w:t>
            </w:r>
          </w:p>
        </w:tc>
        <w:tc>
          <w:tcPr>
            <w:tcW w:w="694" w:type="pct"/>
            <w:tcBorders>
              <w:left w:val="single" w:sz="4" w:space="0" w:color="auto"/>
            </w:tcBorders>
            <w:vAlign w:val="center"/>
          </w:tcPr>
          <w:p w:rsidR="00B73F9D" w:rsidRPr="004268D6" w:rsidRDefault="00B73F9D" w:rsidP="00030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68.62 ± 7.12</w:t>
            </w:r>
          </w:p>
        </w:tc>
        <w:tc>
          <w:tcPr>
            <w:tcW w:w="617" w:type="pct"/>
            <w:vAlign w:val="center"/>
          </w:tcPr>
          <w:p w:rsidR="00B73F9D" w:rsidRPr="004268D6" w:rsidRDefault="00B73F9D" w:rsidP="000307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68.93 ± 7.83</w:t>
            </w:r>
          </w:p>
        </w:tc>
        <w:tc>
          <w:tcPr>
            <w:tcW w:w="709" w:type="pct"/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69.03 ± 8.48</w:t>
            </w:r>
          </w:p>
        </w:tc>
        <w:tc>
          <w:tcPr>
            <w:tcW w:w="589" w:type="pct"/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69.81 ± 9.13</w:t>
            </w:r>
          </w:p>
        </w:tc>
        <w:tc>
          <w:tcPr>
            <w:tcW w:w="680" w:type="pct"/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67.61 ± 8.89</w:t>
            </w:r>
          </w:p>
        </w:tc>
      </w:tr>
      <w:tr w:rsidR="00B73F9D" w:rsidRPr="004268D6" w:rsidTr="00030761">
        <w:trPr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pct"/>
            <w:vMerge w:val="restart"/>
            <w:vAlign w:val="center"/>
          </w:tcPr>
          <w:p w:rsidR="00B73F9D" w:rsidRPr="004268D6" w:rsidRDefault="00B73F9D" w:rsidP="00030761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PET/CT results</w:t>
            </w:r>
          </w:p>
        </w:tc>
        <w:tc>
          <w:tcPr>
            <w:tcW w:w="1074" w:type="pct"/>
            <w:tcBorders>
              <w:right w:val="single" w:sz="4" w:space="0" w:color="auto"/>
            </w:tcBorders>
            <w:vAlign w:val="center"/>
          </w:tcPr>
          <w:p w:rsidR="00B73F9D" w:rsidRPr="004268D6" w:rsidRDefault="00B73F9D" w:rsidP="000307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Positive</w:t>
            </w:r>
          </w:p>
        </w:tc>
        <w:tc>
          <w:tcPr>
            <w:tcW w:w="694" w:type="pct"/>
            <w:tcBorders>
              <w:left w:val="single" w:sz="4" w:space="0" w:color="auto"/>
            </w:tcBorders>
            <w:vAlign w:val="center"/>
          </w:tcPr>
          <w:p w:rsidR="00B73F9D" w:rsidRPr="004268D6" w:rsidRDefault="00B73F9D" w:rsidP="000307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191</w:t>
            </w:r>
          </w:p>
        </w:tc>
        <w:tc>
          <w:tcPr>
            <w:tcW w:w="617" w:type="pct"/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198</w:t>
            </w:r>
          </w:p>
        </w:tc>
        <w:tc>
          <w:tcPr>
            <w:tcW w:w="709" w:type="pct"/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80</w:t>
            </w:r>
          </w:p>
        </w:tc>
        <w:tc>
          <w:tcPr>
            <w:tcW w:w="589" w:type="pct"/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10</w:t>
            </w:r>
          </w:p>
        </w:tc>
        <w:tc>
          <w:tcPr>
            <w:tcW w:w="680" w:type="pct"/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10</w:t>
            </w:r>
          </w:p>
        </w:tc>
      </w:tr>
      <w:tr w:rsidR="00B73F9D" w:rsidRPr="004268D6" w:rsidTr="00030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pct"/>
            <w:vMerge/>
            <w:vAlign w:val="center"/>
          </w:tcPr>
          <w:p w:rsidR="00B73F9D" w:rsidRPr="004268D6" w:rsidRDefault="00B73F9D">
            <w:pPr>
              <w:jc w:val="center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</w:p>
        </w:tc>
        <w:tc>
          <w:tcPr>
            <w:tcW w:w="1074" w:type="pct"/>
            <w:tcBorders>
              <w:right w:val="single" w:sz="4" w:space="0" w:color="auto"/>
            </w:tcBorders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Negative</w:t>
            </w:r>
          </w:p>
        </w:tc>
        <w:tc>
          <w:tcPr>
            <w:tcW w:w="694" w:type="pct"/>
            <w:tcBorders>
              <w:left w:val="single" w:sz="4" w:space="0" w:color="auto"/>
            </w:tcBorders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127</w:t>
            </w:r>
          </w:p>
        </w:tc>
        <w:tc>
          <w:tcPr>
            <w:tcW w:w="617" w:type="pct"/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136</w:t>
            </w:r>
          </w:p>
        </w:tc>
        <w:tc>
          <w:tcPr>
            <w:tcW w:w="709" w:type="pct"/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0</w:t>
            </w:r>
          </w:p>
        </w:tc>
        <w:tc>
          <w:tcPr>
            <w:tcW w:w="589" w:type="pct"/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0</w:t>
            </w:r>
          </w:p>
        </w:tc>
        <w:tc>
          <w:tcPr>
            <w:tcW w:w="680" w:type="pct"/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0</w:t>
            </w:r>
          </w:p>
        </w:tc>
      </w:tr>
      <w:tr w:rsidR="00B73F9D" w:rsidRPr="004268D6" w:rsidTr="00030761">
        <w:trPr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pct"/>
            <w:vMerge w:val="restart"/>
            <w:vAlign w:val="center"/>
          </w:tcPr>
          <w:p w:rsidR="00B73F9D" w:rsidRPr="004268D6" w:rsidRDefault="00B73F9D" w:rsidP="00030761">
            <w:pPr>
              <w:jc w:val="center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Ga-PSMA PET/CT indications</w:t>
            </w:r>
          </w:p>
        </w:tc>
        <w:tc>
          <w:tcPr>
            <w:tcW w:w="1074" w:type="pct"/>
            <w:tcBorders>
              <w:right w:val="single" w:sz="4" w:space="0" w:color="auto"/>
            </w:tcBorders>
            <w:vAlign w:val="center"/>
          </w:tcPr>
          <w:p w:rsidR="00B73F9D" w:rsidRPr="004268D6" w:rsidRDefault="00B73F9D" w:rsidP="000307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Staging</w:t>
            </w:r>
          </w:p>
        </w:tc>
        <w:tc>
          <w:tcPr>
            <w:tcW w:w="694" w:type="pct"/>
            <w:tcBorders>
              <w:left w:val="single" w:sz="4" w:space="0" w:color="auto"/>
            </w:tcBorders>
            <w:vAlign w:val="center"/>
          </w:tcPr>
          <w:p w:rsidR="00B73F9D" w:rsidRPr="004268D6" w:rsidRDefault="00B73F9D" w:rsidP="000307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86 (27%)</w:t>
            </w:r>
          </w:p>
        </w:tc>
        <w:tc>
          <w:tcPr>
            <w:tcW w:w="617" w:type="pct"/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79 (24%)</w:t>
            </w:r>
          </w:p>
        </w:tc>
        <w:tc>
          <w:tcPr>
            <w:tcW w:w="709" w:type="pct"/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16 (20%)</w:t>
            </w:r>
          </w:p>
        </w:tc>
        <w:tc>
          <w:tcPr>
            <w:tcW w:w="589" w:type="pct"/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2 (20%)</w:t>
            </w:r>
          </w:p>
        </w:tc>
        <w:tc>
          <w:tcPr>
            <w:tcW w:w="680" w:type="pct"/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2 (20%)</w:t>
            </w:r>
          </w:p>
        </w:tc>
      </w:tr>
      <w:tr w:rsidR="00B73F9D" w:rsidRPr="004268D6" w:rsidTr="000307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pct"/>
            <w:vMerge/>
            <w:vAlign w:val="center"/>
          </w:tcPr>
          <w:p w:rsidR="00B73F9D" w:rsidRPr="004268D6" w:rsidRDefault="00B73F9D">
            <w:pPr>
              <w:jc w:val="center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</w:p>
        </w:tc>
        <w:tc>
          <w:tcPr>
            <w:tcW w:w="1074" w:type="pct"/>
            <w:tcBorders>
              <w:right w:val="single" w:sz="4" w:space="0" w:color="auto"/>
            </w:tcBorders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Evaluation of recurrence/metastasis</w:t>
            </w:r>
          </w:p>
        </w:tc>
        <w:tc>
          <w:tcPr>
            <w:tcW w:w="694" w:type="pct"/>
            <w:tcBorders>
              <w:left w:val="single" w:sz="4" w:space="0" w:color="auto"/>
            </w:tcBorders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219 (69%)</w:t>
            </w:r>
          </w:p>
        </w:tc>
        <w:tc>
          <w:tcPr>
            <w:tcW w:w="617" w:type="pct"/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241 (72%)</w:t>
            </w:r>
          </w:p>
        </w:tc>
        <w:tc>
          <w:tcPr>
            <w:tcW w:w="709" w:type="pct"/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61 (76%)</w:t>
            </w:r>
          </w:p>
        </w:tc>
        <w:tc>
          <w:tcPr>
            <w:tcW w:w="589" w:type="pct"/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8 (80%)</w:t>
            </w:r>
          </w:p>
        </w:tc>
        <w:tc>
          <w:tcPr>
            <w:tcW w:w="680" w:type="pct"/>
            <w:vAlign w:val="center"/>
          </w:tcPr>
          <w:p w:rsidR="00B73F9D" w:rsidRPr="004268D6" w:rsidRDefault="00B7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7 (70%)</w:t>
            </w:r>
          </w:p>
        </w:tc>
      </w:tr>
      <w:tr w:rsidR="00B73F9D" w:rsidRPr="00C92FC5" w:rsidTr="00030761">
        <w:trPr>
          <w:trHeight w:val="7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" w:type="pct"/>
            <w:vMerge/>
            <w:vAlign w:val="center"/>
          </w:tcPr>
          <w:p w:rsidR="00B73F9D" w:rsidRPr="004268D6" w:rsidRDefault="00B73F9D">
            <w:pPr>
              <w:jc w:val="center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</w:p>
        </w:tc>
        <w:tc>
          <w:tcPr>
            <w:tcW w:w="1074" w:type="pct"/>
            <w:tcBorders>
              <w:right w:val="single" w:sz="4" w:space="0" w:color="auto"/>
            </w:tcBorders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Other</w:t>
            </w: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  <w:vertAlign w:val="superscript"/>
              </w:rPr>
              <w:t>2</w:t>
            </w:r>
          </w:p>
        </w:tc>
        <w:tc>
          <w:tcPr>
            <w:tcW w:w="694" w:type="pct"/>
            <w:tcBorders>
              <w:left w:val="single" w:sz="4" w:space="0" w:color="auto"/>
            </w:tcBorders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13 (4%)</w:t>
            </w:r>
          </w:p>
        </w:tc>
        <w:tc>
          <w:tcPr>
            <w:tcW w:w="617" w:type="pct"/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14 (4%)</w:t>
            </w:r>
          </w:p>
        </w:tc>
        <w:tc>
          <w:tcPr>
            <w:tcW w:w="709" w:type="pct"/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3(4%)</w:t>
            </w:r>
          </w:p>
        </w:tc>
        <w:tc>
          <w:tcPr>
            <w:tcW w:w="589" w:type="pct"/>
            <w:vAlign w:val="center"/>
          </w:tcPr>
          <w:p w:rsidR="00B73F9D" w:rsidRPr="004268D6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cyan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0 (0%)</w:t>
            </w:r>
          </w:p>
        </w:tc>
        <w:tc>
          <w:tcPr>
            <w:tcW w:w="680" w:type="pct"/>
            <w:vAlign w:val="center"/>
          </w:tcPr>
          <w:p w:rsidR="00B73F9D" w:rsidRPr="00577ED2" w:rsidRDefault="00B73F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268D6">
              <w:rPr>
                <w:rFonts w:asciiTheme="majorBidi" w:hAnsiTheme="majorBidi" w:cstheme="majorBidi"/>
                <w:sz w:val="20"/>
                <w:szCs w:val="20"/>
                <w:highlight w:val="cyan"/>
              </w:rPr>
              <w:t>1 (10%)</w:t>
            </w:r>
          </w:p>
        </w:tc>
      </w:tr>
    </w:tbl>
    <w:p w:rsidR="00B73F9D" w:rsidRPr="004268D6" w:rsidRDefault="00B73F9D" w:rsidP="00672271">
      <w:pPr>
        <w:spacing w:after="0" w:line="360" w:lineRule="auto"/>
        <w:jc w:val="both"/>
        <w:outlineLvl w:val="1"/>
        <w:rPr>
          <w:rFonts w:asciiTheme="majorBidi" w:eastAsia="Times New Roman" w:hAnsiTheme="majorBidi" w:cstheme="majorBidi"/>
          <w:sz w:val="18"/>
          <w:szCs w:val="18"/>
          <w:highlight w:val="cyan"/>
        </w:rPr>
      </w:pPr>
      <w:r w:rsidRPr="004268D6">
        <w:rPr>
          <w:rFonts w:asciiTheme="majorBidi" w:eastAsia="Times New Roman" w:hAnsiTheme="majorBidi" w:cstheme="majorBidi"/>
          <w:sz w:val="18"/>
          <w:szCs w:val="18"/>
          <w:highlight w:val="cyan"/>
          <w:vertAlign w:val="superscript"/>
        </w:rPr>
        <w:t>1</w:t>
      </w:r>
      <w:r w:rsidRPr="004268D6">
        <w:rPr>
          <w:rFonts w:asciiTheme="majorBidi" w:eastAsia="Times New Roman" w:hAnsiTheme="majorBidi" w:cstheme="majorBidi"/>
          <w:sz w:val="18"/>
          <w:szCs w:val="18"/>
          <w:highlight w:val="cyan"/>
        </w:rPr>
        <w:t>The clinical history of "Center B" was unavailable.</w:t>
      </w:r>
    </w:p>
    <w:p w:rsidR="00AD12F7" w:rsidRDefault="00B73F9D" w:rsidP="00AD12F7">
      <w:pPr>
        <w:spacing w:after="0" w:line="360" w:lineRule="auto"/>
        <w:jc w:val="both"/>
        <w:outlineLvl w:val="1"/>
        <w:rPr>
          <w:rFonts w:asciiTheme="majorBidi" w:eastAsia="Times New Roman" w:hAnsiTheme="majorBidi" w:cstheme="majorBidi"/>
          <w:sz w:val="18"/>
          <w:szCs w:val="18"/>
          <w:highlight w:val="cyan"/>
        </w:rPr>
      </w:pPr>
      <w:r w:rsidRPr="004268D6">
        <w:rPr>
          <w:rFonts w:asciiTheme="majorBidi" w:eastAsia="Times New Roman" w:hAnsiTheme="majorBidi" w:cstheme="majorBidi"/>
          <w:sz w:val="18"/>
          <w:szCs w:val="18"/>
          <w:highlight w:val="cyan"/>
          <w:vertAlign w:val="superscript"/>
        </w:rPr>
        <w:t>2</w:t>
      </w:r>
      <w:r w:rsidRPr="004268D6">
        <w:rPr>
          <w:rFonts w:asciiTheme="majorBidi" w:eastAsia="Times New Roman" w:hAnsiTheme="majorBidi" w:cstheme="majorBidi"/>
          <w:sz w:val="18"/>
          <w:szCs w:val="18"/>
          <w:highlight w:val="cyan"/>
        </w:rPr>
        <w:t xml:space="preserve">Other indications, </w:t>
      </w:r>
      <w:r w:rsidR="006C5153" w:rsidRPr="004268D6">
        <w:rPr>
          <w:rFonts w:asciiTheme="majorBidi" w:eastAsia="Times New Roman" w:hAnsiTheme="majorBidi" w:cstheme="majorBidi"/>
          <w:sz w:val="18"/>
          <w:szCs w:val="18"/>
          <w:highlight w:val="cyan"/>
        </w:rPr>
        <w:t>including evaluation of response to treatment</w:t>
      </w:r>
      <w:r w:rsidR="006C5153">
        <w:rPr>
          <w:rFonts w:asciiTheme="majorBidi" w:eastAsia="Times New Roman" w:hAnsiTheme="majorBidi" w:cstheme="majorBidi"/>
          <w:sz w:val="18"/>
          <w:szCs w:val="18"/>
          <w:highlight w:val="cyan"/>
        </w:rPr>
        <w:t>, restaging, surveillance, etc</w:t>
      </w:r>
      <w:r w:rsidR="00672271">
        <w:rPr>
          <w:rFonts w:asciiTheme="majorBidi" w:eastAsia="Times New Roman" w:hAnsiTheme="majorBidi" w:cstheme="majorBidi"/>
          <w:sz w:val="18"/>
          <w:szCs w:val="18"/>
          <w:highlight w:val="cyan"/>
        </w:rPr>
        <w:t>.</w:t>
      </w:r>
    </w:p>
    <w:p w:rsidR="00AD12F7" w:rsidRDefault="00AD12F7" w:rsidP="00AD12F7">
      <w:pPr>
        <w:spacing w:after="0" w:line="360" w:lineRule="auto"/>
        <w:jc w:val="both"/>
        <w:outlineLvl w:val="1"/>
        <w:rPr>
          <w:rFonts w:asciiTheme="majorBidi" w:eastAsia="Times New Roman" w:hAnsiTheme="majorBidi" w:cstheme="majorBidi"/>
          <w:sz w:val="18"/>
          <w:szCs w:val="18"/>
          <w:highlight w:val="cyan"/>
        </w:rPr>
      </w:pPr>
    </w:p>
    <w:p w:rsidR="00672271" w:rsidRPr="00AD12F7" w:rsidRDefault="00672271" w:rsidP="00AD12F7">
      <w:pPr>
        <w:spacing w:after="0" w:line="360" w:lineRule="auto"/>
        <w:jc w:val="both"/>
        <w:outlineLvl w:val="1"/>
        <w:rPr>
          <w:rFonts w:asciiTheme="majorBidi" w:eastAsia="Times New Roman" w:hAnsiTheme="majorBidi" w:cstheme="majorBidi"/>
          <w:sz w:val="18"/>
          <w:szCs w:val="18"/>
          <w:highlight w:val="cyan"/>
        </w:rPr>
      </w:pPr>
      <w:r w:rsidRPr="00FE050D">
        <w:rPr>
          <w:rFonts w:asciiTheme="majorBidi" w:eastAsia="Times New Roman" w:hAnsiTheme="majorBidi" w:cstheme="majorBidi"/>
          <w:sz w:val="24"/>
          <w:szCs w:val="24"/>
          <w:highlight w:val="cyan"/>
        </w:rPr>
        <w:t>Considering that only mCRPC patients are treated in the nuclear medicine department, we assessed this specific patient group. Hormone-sensitive prostate cancer patients or those with biochemical recurrence were not included in our evaluations. Our primary focus was to document indications for PET/CT scans, encompassing all available scans and patient information, without specifically considering the disease stage.</w:t>
      </w:r>
      <w:r w:rsidRPr="00FE050D">
        <w:rPr>
          <w:rFonts w:asciiTheme="majorBidi" w:eastAsia="Times New Roman" w:hAnsiTheme="majorBidi" w:cstheme="majorBidi"/>
          <w:sz w:val="28"/>
          <w:szCs w:val="28"/>
        </w:rPr>
        <w:tab/>
      </w:r>
    </w:p>
    <w:p w:rsidR="00672271" w:rsidRDefault="00672271" w:rsidP="00FC63F7">
      <w:pPr>
        <w:spacing w:before="400" w:after="12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  <w:highlight w:val="cyan"/>
        </w:rPr>
      </w:pPr>
    </w:p>
    <w:p w:rsidR="000C75CE" w:rsidRDefault="000C75CE" w:rsidP="00FC63F7">
      <w:pPr>
        <w:spacing w:before="400" w:after="12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  <w:highlight w:val="cyan"/>
        </w:rPr>
      </w:pPr>
    </w:p>
    <w:p w:rsidR="008453B5" w:rsidRPr="00F763E4" w:rsidRDefault="008453B5" w:rsidP="00FC63F7">
      <w:pPr>
        <w:spacing w:before="400" w:after="12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463CF">
        <w:rPr>
          <w:rFonts w:asciiTheme="majorBidi" w:eastAsia="Times New Roman" w:hAnsiTheme="majorBidi" w:cstheme="majorBidi"/>
          <w:b/>
          <w:bCs/>
          <w:sz w:val="28"/>
          <w:szCs w:val="28"/>
          <w:highlight w:val="cyan"/>
        </w:rPr>
        <w:lastRenderedPageBreak/>
        <w:t>S</w:t>
      </w:r>
      <w:r w:rsidR="00D237A9">
        <w:rPr>
          <w:rFonts w:asciiTheme="majorBidi" w:eastAsia="Times New Roman" w:hAnsiTheme="majorBidi" w:cstheme="majorBidi"/>
          <w:b/>
          <w:bCs/>
          <w:sz w:val="28"/>
          <w:szCs w:val="28"/>
          <w:highlight w:val="cyan"/>
        </w:rPr>
        <w:t>2</w:t>
      </w:r>
      <w:r w:rsidRPr="00D463CF">
        <w:rPr>
          <w:rFonts w:asciiTheme="majorBidi" w:eastAsia="Times New Roman" w:hAnsiTheme="majorBidi" w:cstheme="majorBidi"/>
          <w:b/>
          <w:bCs/>
          <w:sz w:val="28"/>
          <w:szCs w:val="28"/>
          <w:highlight w:val="cyan"/>
        </w:rPr>
        <w:t>. Pre-training loss function calculation</w:t>
      </w:r>
    </w:p>
    <w:p w:rsidR="00FC63F7" w:rsidRPr="004F639D" w:rsidRDefault="00FC63F7" w:rsidP="00FC63F7">
      <w:pPr>
        <w:spacing w:before="400" w:after="12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F639D">
        <w:rPr>
          <w:rFonts w:asciiTheme="majorBidi" w:eastAsia="Times New Roman" w:hAnsiTheme="majorBidi" w:cstheme="majorBidi"/>
          <w:b/>
          <w:bCs/>
          <w:sz w:val="24"/>
          <w:szCs w:val="24"/>
        </w:rPr>
        <w:t>Masked volume inpainting</w:t>
      </w:r>
    </w:p>
    <w:p w:rsidR="00FC63F7" w:rsidRPr="00A662C4" w:rsidRDefault="00FC63F7" w:rsidP="00530B96">
      <w:pPr>
        <w:spacing w:before="400" w:after="120" w:line="480" w:lineRule="auto"/>
        <w:jc w:val="both"/>
        <w:outlineLvl w:val="1"/>
        <w:rPr>
          <w:rFonts w:asciiTheme="majorBidi" w:eastAsia="Times New Roman" w:hAnsiTheme="majorBidi" w:cstheme="majorBidi"/>
          <w:sz w:val="24"/>
          <w:szCs w:val="24"/>
        </w:rPr>
      </w:pP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Inspired by 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fldChar w:fldCharType="begin"/>
      </w:r>
      <w:r w:rsidR="00530B96">
        <w:rPr>
          <w:rFonts w:asciiTheme="majorBidi" w:eastAsia="Times New Roman" w:hAnsiTheme="majorBidi" w:cstheme="majorBidi"/>
          <w:sz w:val="24"/>
          <w:szCs w:val="24"/>
        </w:rPr>
        <w:instrText xml:space="preserve"> ADDIN EN.CITE &lt;EndNote&gt;&lt;Cite&gt;&lt;Author&gt;Pathak&lt;/Author&gt;&lt;Year&gt;2016&lt;/Year&gt;&lt;RecNum&gt;480&lt;/RecNum&gt;&lt;DisplayText&gt;[1]&lt;/DisplayText&gt;&lt;record&gt;&lt;rec-number&gt;480&lt;/rec-number&gt;&lt;foreign-keys&gt;&lt;key app="EN" db-id="95sa2evsm0px99eet96psr50wf5ttd9asrs2" timestamp="1698402903"&gt;480&lt;/key&gt;&lt;/foreign-keys&gt;&lt;ref-type name="Conference Proceedings"&gt;10&lt;/ref-type&gt;&lt;contributors&gt;&lt;authors&gt;&lt;author&gt;Pathak, Deepak&lt;/author&gt;&lt;author&gt;Krahenbuhl, Philipp&lt;/author&gt;&lt;author&gt;Donahue, Jeff&lt;/author&gt;&lt;author&gt;Darrell, Trevor&lt;/author&gt;&lt;author&gt;Efros, Alexei A&lt;/author&gt;&lt;/authors&gt;&lt;/contributors&gt;&lt;titles&gt;&lt;title&gt;Context encoders: Feature learning by inpainting&lt;/title&gt;&lt;secondary-title&gt;Proceedings of the IEEE conference on computer vision and pattern recognition&lt;/secondary-title&gt;&lt;/titles&gt;&lt;pages&gt;2536-2544&lt;/pages&gt;&lt;dates&gt;&lt;year&gt;2016&lt;/year&gt;&lt;/dates&gt;&lt;urls&gt;&lt;/urls&gt;&lt;/record&gt;&lt;/Cite&gt;&lt;/EndNote&gt;</w:instrText>
      </w:r>
      <w:r w:rsidRPr="00A662C4">
        <w:rPr>
          <w:rFonts w:asciiTheme="majorBidi" w:eastAsia="Times New Roman" w:hAnsiTheme="majorBidi" w:cstheme="majorBidi"/>
          <w:sz w:val="24"/>
          <w:szCs w:val="24"/>
        </w:rPr>
        <w:fldChar w:fldCharType="separate"/>
      </w:r>
      <w:r w:rsidR="00530B96">
        <w:rPr>
          <w:rFonts w:asciiTheme="majorBidi" w:eastAsia="Times New Roman" w:hAnsiTheme="majorBidi" w:cstheme="majorBidi"/>
          <w:noProof/>
          <w:sz w:val="24"/>
          <w:szCs w:val="24"/>
        </w:rPr>
        <w:t>[1]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fldChar w:fldCharType="end"/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, inpainting applied to 3D volumes, the cutout augmentation randomly masks out regions of interest within the sub-volume </w:t>
      </w:r>
      <m:oMath>
        <m:r>
          <w:rPr>
            <w:rFonts w:ascii="Cambria Math" w:eastAsia="Times New Roman" w:hAnsi="Cambria Math" w:cstheme="majorBidi"/>
            <w:sz w:val="24"/>
            <w:szCs w:val="24"/>
          </w:rPr>
          <m:t>χ</m:t>
        </m:r>
        <m:r>
          <m:rPr>
            <m:sty m:val="p"/>
          </m:rPr>
          <w:rPr>
            <w:rFonts w:ascii="Cambria Math" w:eastAsia="Times New Roman" w:hAnsi="Cambria Math" w:cstheme="majorBidi"/>
            <w:sz w:val="24"/>
            <w:szCs w:val="24"/>
          </w:rPr>
          <m:t>ϵ</m:t>
        </m:r>
        <m:r>
          <w:rPr>
            <w:rFonts w:ascii="Cambria Math" w:eastAsia="Times New Roman" w:hAnsi="Cambria Math" w:cstheme="majorBid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="Times New Roman" w:hAnsi="Cambria Math" w:cstheme="majorBidi"/>
                <w:sz w:val="24"/>
                <w:szCs w:val="24"/>
              </w:rPr>
              <m:t>R</m:t>
            </m:r>
          </m:e>
          <m:sup>
            <m:r>
              <w:rPr>
                <w:rFonts w:ascii="Cambria Math" w:eastAsia="Times New Roman" w:hAnsi="Cambria Math" w:cstheme="majorBidi"/>
                <w:sz w:val="24"/>
                <w:szCs w:val="24"/>
              </w:rPr>
              <m:t>H×W×D×C</m:t>
            </m:r>
          </m:sup>
        </m:sSup>
      </m:oMath>
      <w:r w:rsidRPr="00A662C4">
        <w:rPr>
          <w:rFonts w:asciiTheme="majorBidi" w:eastAsia="Times New Roman" w:hAnsiTheme="majorBidi" w:cstheme="majorBidi"/>
          <w:sz w:val="24"/>
          <w:szCs w:val="24"/>
        </w:rPr>
        <w:t>, with a volume ratio denoted as s. A transpose convolution layer was employed as the reconstruction head attached to the encoder for the reconstruction. The output of this reconstruction process is represented as</w:t>
      </w:r>
      <w:r w:rsidRPr="00326166">
        <w:rPr>
          <w:rFonts w:asciiTheme="majorBidi" w:eastAsia="Times New Roman" w:hAnsiTheme="majorBidi" w:cstheme="majorBidi"/>
          <w:sz w:val="24"/>
          <w:szCs w:val="24"/>
          <w:highlight w:val="cyan"/>
        </w:rPr>
        <w:t>: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</w:rPr>
            </m:ctrlPr>
          </m:sSupPr>
          <m:e>
            <m:acc>
              <m:acc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</w:rPr>
                  <m:t>χ</m:t>
                </m:r>
              </m:e>
            </m:acc>
          </m:e>
          <m:sup>
            <m:r>
              <m:rPr>
                <m:scr m:val="script"/>
              </m:rPr>
              <w:rPr>
                <w:rFonts w:ascii="Cambria Math" w:eastAsia="Times New Roman" w:hAnsi="Cambria Math" w:cstheme="majorBidi"/>
                <w:sz w:val="24"/>
                <w:szCs w:val="24"/>
              </w:rPr>
              <m:t>M</m:t>
            </m:r>
          </m:sup>
        </m:sSup>
      </m:oMath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. The reconstruction objectives </w:t>
      </w:r>
      <w:r w:rsidRPr="00F23B74">
        <w:rPr>
          <w:rFonts w:asciiTheme="majorBidi" w:eastAsia="Times New Roman" w:hAnsiTheme="majorBidi" w:cstheme="majorBidi"/>
          <w:sz w:val="24"/>
          <w:szCs w:val="24"/>
          <w:highlight w:val="cyan"/>
        </w:rPr>
        <w:t>are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 measured using an L</w:t>
      </w:r>
      <w:r w:rsidRPr="00A662C4">
        <w:rPr>
          <w:rFonts w:asciiTheme="majorBidi" w:eastAsia="Times New Roman" w:hAnsiTheme="majorBidi" w:cstheme="majorBidi"/>
          <w:sz w:val="24"/>
          <w:szCs w:val="24"/>
          <w:vertAlign w:val="subscript"/>
        </w:rPr>
        <w:t>1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 loss between </w:t>
      </w:r>
      <m:oMath>
        <m:r>
          <w:rPr>
            <w:rFonts w:ascii="Cambria Math" w:eastAsia="Times New Roman" w:hAnsi="Cambria Math" w:cstheme="majorBidi"/>
            <w:sz w:val="24"/>
            <w:szCs w:val="24"/>
          </w:rPr>
          <m:t>χ</m:t>
        </m:r>
      </m:oMath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 and </w:t>
      </w:r>
      <m:oMath>
        <m:sSup>
          <m:sSup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</w:rPr>
            </m:ctrlPr>
          </m:sSupPr>
          <m:e>
            <m:acc>
              <m:acc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</w:rPr>
                  <m:t>χ</m:t>
                </m:r>
              </m:e>
            </m:acc>
          </m:e>
          <m:sup>
            <m:r>
              <m:rPr>
                <m:scr m:val="script"/>
              </m:rPr>
              <w:rPr>
                <w:rFonts w:ascii="Cambria Math" w:eastAsia="Times New Roman" w:hAnsi="Cambria Math" w:cstheme="majorBidi"/>
                <w:sz w:val="24"/>
                <w:szCs w:val="24"/>
              </w:rPr>
              <m:t>M</m:t>
            </m:r>
          </m:sup>
        </m:sSup>
      </m:oMath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 according to</w:t>
      </w:r>
      <w:r w:rsidRPr="00F23B74">
        <w:rPr>
          <w:rFonts w:asciiTheme="majorBidi" w:eastAsia="Times New Roman" w:hAnsiTheme="majorBidi" w:cstheme="majorBidi"/>
          <w:sz w:val="24"/>
          <w:szCs w:val="24"/>
          <w:highlight w:val="cyan"/>
        </w:rPr>
        <w:t xml:space="preserve"> Eq. </w:t>
      </w:r>
      <w:r w:rsidR="00F23B74">
        <w:rPr>
          <w:rFonts w:asciiTheme="majorBidi" w:eastAsia="Times New Roman" w:hAnsiTheme="majorBidi" w:cstheme="majorBidi"/>
          <w:sz w:val="24"/>
          <w:szCs w:val="24"/>
          <w:highlight w:val="cyan"/>
        </w:rPr>
        <w:t>S</w:t>
      </w:r>
      <w:r w:rsidRPr="00F23B74">
        <w:rPr>
          <w:rFonts w:asciiTheme="majorBidi" w:eastAsia="Times New Roman" w:hAnsiTheme="majorBidi" w:cstheme="majorBidi"/>
          <w:sz w:val="24"/>
          <w:szCs w:val="24"/>
          <w:highlight w:val="cyan"/>
        </w:rPr>
        <w:t>1.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FC63F7" w:rsidRPr="00A662C4" w:rsidTr="0061351C">
        <w:tc>
          <w:tcPr>
            <w:tcW w:w="2500" w:type="pct"/>
          </w:tcPr>
          <w:p w:rsidR="00FC63F7" w:rsidRPr="00A662C4" w:rsidRDefault="00342F9F" w:rsidP="0061351C">
            <w:pPr>
              <w:spacing w:before="400" w:after="120" w:line="480" w:lineRule="auto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  <w:vertAlign w:val="subscript"/>
                    </w:rPr>
                    <m:t>inpaint</m:t>
                  </m:r>
                </m:sub>
              </m:sSub>
              <m:r>
                <w:rPr>
                  <w:rFonts w:ascii="Cambria Math" w:eastAsia="Times New Roman" w:hAnsi="Cambria Math" w:cstheme="majorBidi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eastAsia="Times New Roman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theme="majorBidi"/>
                          <w:sz w:val="24"/>
                          <w:szCs w:val="24"/>
                        </w:rPr>
                        <m:t>χ-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eastAsia="Times New Roman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theme="majorBidi"/>
                                  <w:sz w:val="24"/>
                                  <w:szCs w:val="24"/>
                                </w:rPr>
                                <m:t>χ</m:t>
                              </m:r>
                            </m:e>
                          </m:acc>
                        </m:e>
                        <m:sup>
                          <m:r>
                            <m:rPr>
                              <m:scr m:val="script"/>
                            </m:rPr>
                            <w:rPr>
                              <w:rFonts w:ascii="Cambria Math" w:eastAsia="Times New Roman" w:hAnsi="Cambria Math" w:cstheme="majorBidi"/>
                              <w:sz w:val="24"/>
                              <w:szCs w:val="24"/>
                            </w:rPr>
                            <m:t>M</m:t>
                          </m:r>
                        </m:sup>
                      </m:sSup>
                    </m:e>
                  </m:d>
                </m:e>
                <m:sub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</m:oMath>
            <w:r w:rsidR="00FC63F7" w:rsidRPr="00A662C4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500" w:type="pct"/>
          </w:tcPr>
          <w:p w:rsidR="00FC63F7" w:rsidRPr="00A662C4" w:rsidRDefault="00FC63F7" w:rsidP="0061351C">
            <w:pPr>
              <w:bidi/>
              <w:spacing w:before="400" w:after="120" w:line="480" w:lineRule="auto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662C4">
              <w:rPr>
                <w:rFonts w:asciiTheme="majorBidi" w:eastAsia="Times New Roman" w:hAnsiTheme="majorBidi" w:cstheme="majorBidi"/>
                <w:sz w:val="24"/>
                <w:szCs w:val="24"/>
              </w:rPr>
              <w:t>(</w:t>
            </w:r>
            <w:r w:rsidR="00F23B74" w:rsidRPr="004312C8">
              <w:rPr>
                <w:rFonts w:asciiTheme="majorBidi" w:eastAsia="Times New Roman" w:hAnsiTheme="majorBidi" w:cstheme="majorBidi"/>
                <w:sz w:val="24"/>
                <w:szCs w:val="24"/>
                <w:highlight w:val="cyan"/>
              </w:rPr>
              <w:t>S</w:t>
            </w:r>
            <w:r w:rsidRPr="004312C8">
              <w:rPr>
                <w:rFonts w:asciiTheme="majorBidi" w:eastAsia="Times New Roman" w:hAnsiTheme="majorBidi" w:cstheme="majorBidi"/>
                <w:sz w:val="24"/>
                <w:szCs w:val="24"/>
                <w:highlight w:val="cyan"/>
              </w:rPr>
              <w:t>1</w:t>
            </w:r>
            <w:r w:rsidRPr="00A662C4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</w:p>
        </w:tc>
      </w:tr>
    </w:tbl>
    <w:p w:rsidR="00FC63F7" w:rsidRPr="004F639D" w:rsidRDefault="00FC63F7" w:rsidP="00FC63F7">
      <w:pPr>
        <w:spacing w:before="400" w:after="12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F639D">
        <w:rPr>
          <w:rFonts w:asciiTheme="majorBidi" w:eastAsia="Times New Roman" w:hAnsiTheme="majorBidi" w:cstheme="majorBidi"/>
          <w:b/>
          <w:bCs/>
          <w:sz w:val="24"/>
          <w:szCs w:val="24"/>
        </w:rPr>
        <w:t>Image rotating</w:t>
      </w:r>
    </w:p>
    <w:p w:rsidR="00FC63F7" w:rsidRPr="00A662C4" w:rsidRDefault="00FC63F7" w:rsidP="00F23B74">
      <w:pPr>
        <w:spacing w:before="400" w:after="120" w:line="480" w:lineRule="auto"/>
        <w:jc w:val="both"/>
        <w:outlineLvl w:val="1"/>
        <w:rPr>
          <w:rFonts w:asciiTheme="majorBidi" w:eastAsia="Times New Roman" w:hAnsiTheme="majorBidi" w:cstheme="majorBidi"/>
          <w:sz w:val="24"/>
          <w:szCs w:val="24"/>
        </w:rPr>
      </w:pPr>
      <w:r w:rsidRPr="00A662C4">
        <w:rPr>
          <w:rFonts w:asciiTheme="majorBidi" w:eastAsia="Times New Roman" w:hAnsiTheme="majorBidi" w:cstheme="majorBidi"/>
          <w:sz w:val="24"/>
          <w:szCs w:val="24"/>
        </w:rPr>
        <w:t>The input sub-volume is rotated by a class of 0, 90, 180, and 270 degrees along the z-axis, and the rotation prediction task predicts the class, achieved through an MLP classification head that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>outputs the softmax probabilities (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</w:rPr>
            </m:ctrlPr>
          </m:sSubPr>
          <m:e>
            <m:acc>
              <m:accPr>
                <m:ctrlPr>
                  <w:rPr>
                    <w:rFonts w:ascii="Cambria Math" w:eastAsia="Times New Roman" w:hAnsi="Cambria Math" w:cstheme="majorBidi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sz w:val="24"/>
                    <w:szCs w:val="24"/>
                  </w:rPr>
                  <m:t>y</m:t>
                </m:r>
              </m:e>
            </m:acc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</w:rPr>
              <m:t>r</m:t>
            </m:r>
          </m:sub>
        </m:sSub>
      </m:oMath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) corresponding to these rotation classes. With the known ground truth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</w:rPr>
              <m:t>y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</w:rPr>
              <m:t>r</m:t>
            </m:r>
          </m:sub>
        </m:sSub>
      </m:oMath>
      <w:r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cross-entropy loss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was used 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>for rotation prediction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as 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defined </w:t>
      </w:r>
      <w:r>
        <w:rPr>
          <w:rFonts w:asciiTheme="majorBidi" w:eastAsia="Times New Roman" w:hAnsiTheme="majorBidi" w:cstheme="majorBidi"/>
          <w:sz w:val="24"/>
          <w:szCs w:val="24"/>
        </w:rPr>
        <w:t>in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 Eq. </w:t>
      </w:r>
      <w:r w:rsidR="00F23B74"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>S</w:t>
      </w:r>
      <w:r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>2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0C75CE" w:rsidRPr="00A662C4" w:rsidTr="00DA7599">
        <w:tc>
          <w:tcPr>
            <w:tcW w:w="2500" w:type="pct"/>
          </w:tcPr>
          <w:p w:rsidR="000C75CE" w:rsidRPr="00A662C4" w:rsidRDefault="00342F9F" w:rsidP="00DA7599">
            <w:pPr>
              <w:spacing w:before="400" w:after="120" w:line="480" w:lineRule="auto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rot</m:t>
                  </m:r>
                </m:sub>
              </m:sSub>
              <m:r>
                <w:rPr>
                  <w:rFonts w:ascii="Cambria Math" w:eastAsia="Times New Roman" w:hAnsi="Cambria Math" w:cstheme="majorBidi"/>
                  <w:sz w:val="24"/>
                  <w:szCs w:val="24"/>
                </w:rPr>
                <m:t>=-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theme="majorBidi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r=1</m:t>
                  </m:r>
                </m:sub>
                <m:sup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R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theme="majorBidi"/>
                          <w:sz w:val="24"/>
                          <w:szCs w:val="24"/>
                        </w:rPr>
                        <m:t>r</m:t>
                      </m:r>
                    </m:sub>
                  </m:sSub>
                  <m:func>
                    <m:funcPr>
                      <m:ctrlPr>
                        <w:rPr>
                          <w:rFonts w:ascii="Cambria Math" w:eastAsia="Times New Roman" w:hAnsi="Cambria Math" w:cstheme="majorBidi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sz w:val="24"/>
                          <w:szCs w:val="24"/>
                        </w:rPr>
                        <m:t>log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acc>
                                <m:accPr>
                                  <m:ctrlPr>
                                    <w:rPr>
                                      <w:rFonts w:ascii="Cambria Math" w:eastAsia="Times New Roman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="Times New Roman" w:hAnsi="Cambria Math" w:cstheme="majorBidi"/>
                                      <w:sz w:val="24"/>
                                      <w:szCs w:val="24"/>
                                    </w:rPr>
                                    <m:t>y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eastAsia="Times New Roman" w:hAnsi="Cambria Math" w:cstheme="majorBidi"/>
                                  <w:sz w:val="24"/>
                                  <w:szCs w:val="24"/>
                                </w:rPr>
                                <m:t>r</m:t>
                              </m:r>
                            </m:sub>
                          </m:sSub>
                        </m:e>
                      </m:d>
                    </m:e>
                  </m:func>
                </m:e>
              </m:nary>
            </m:oMath>
            <w:r w:rsidR="000C75CE" w:rsidRPr="00A662C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. </w:t>
            </w:r>
          </w:p>
        </w:tc>
        <w:tc>
          <w:tcPr>
            <w:tcW w:w="2500" w:type="pct"/>
          </w:tcPr>
          <w:p w:rsidR="000C75CE" w:rsidRPr="00A662C4" w:rsidRDefault="000C75CE" w:rsidP="00DA7599">
            <w:pPr>
              <w:bidi/>
              <w:spacing w:before="400" w:after="120" w:line="480" w:lineRule="auto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12C8">
              <w:rPr>
                <w:rFonts w:asciiTheme="majorBidi" w:eastAsia="Times New Roman" w:hAnsiTheme="majorBidi" w:cstheme="majorBidi"/>
                <w:sz w:val="24"/>
                <w:szCs w:val="24"/>
                <w:highlight w:val="cyan"/>
              </w:rPr>
              <w:t>(S2)</w:t>
            </w:r>
          </w:p>
        </w:tc>
      </w:tr>
    </w:tbl>
    <w:p w:rsidR="00FC63F7" w:rsidRPr="004F639D" w:rsidRDefault="00FC63F7" w:rsidP="00FC63F7">
      <w:pPr>
        <w:spacing w:before="400" w:after="12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F639D">
        <w:rPr>
          <w:rFonts w:asciiTheme="majorBidi" w:eastAsia="Times New Roman" w:hAnsiTheme="majorBidi" w:cstheme="majorBidi"/>
          <w:b/>
          <w:bCs/>
          <w:sz w:val="24"/>
          <w:szCs w:val="24"/>
        </w:rPr>
        <w:t>Contrastive coding</w:t>
      </w:r>
    </w:p>
    <w:p w:rsidR="00FC63F7" w:rsidRPr="00A662C4" w:rsidRDefault="00FC63F7" w:rsidP="00530B96">
      <w:pPr>
        <w:spacing w:before="400" w:after="120" w:line="480" w:lineRule="auto"/>
        <w:jc w:val="both"/>
        <w:outlineLvl w:val="1"/>
        <w:rPr>
          <w:rFonts w:asciiTheme="majorBidi" w:eastAsia="Times New Roman" w:hAnsiTheme="majorBidi" w:cstheme="majorBidi"/>
          <w:sz w:val="24"/>
          <w:szCs w:val="24"/>
        </w:rPr>
      </w:pP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Self-supervised contrastive coding shows considerable promise in visual representation learning, mainly when applied to subsequent tasks 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fldChar w:fldCharType="begin"/>
      </w:r>
      <w:r w:rsidR="00530B96">
        <w:rPr>
          <w:rFonts w:asciiTheme="majorBidi" w:eastAsia="Times New Roman" w:hAnsiTheme="majorBidi" w:cstheme="majorBidi"/>
          <w:sz w:val="24"/>
          <w:szCs w:val="24"/>
        </w:rPr>
        <w:instrText xml:space="preserve"> ADDIN EN.CITE &lt;EndNote&gt;&lt;Cite&gt;&lt;Author&gt;Chen&lt;/Author&gt;&lt;Year&gt;2020&lt;/Year&gt;&lt;RecNum&gt;481&lt;/RecNum&gt;&lt;DisplayText&gt;[2]&lt;/DisplayText&gt;&lt;record&gt;&lt;rec-number&gt;481&lt;/rec-number&gt;&lt;foreign-keys&gt;&lt;key app="EN" db-id="95sa2evsm0px99eet96psr50wf5ttd9asrs2" timestamp="1698403594"&gt;481&lt;/key&gt;&lt;/foreign-keys&gt;&lt;ref-type name="Conference Proceedings"&gt;10&lt;/ref-type&gt;&lt;contributors&gt;&lt;authors&gt;&lt;author&gt;Chen, Ting&lt;/author&gt;&lt;author&gt;Kornblith, Simon&lt;/author&gt;&lt;author&gt;Norouzi, Mohammad&lt;/author&gt;&lt;author&gt;Hinton, Geoffrey&lt;/author&gt;&lt;/authors&gt;&lt;/contributors&gt;&lt;titles&gt;&lt;title&gt;A simple framework for contrastive learning of visual representations&lt;/title&gt;&lt;secondary-title&gt;International conference on machine learning&lt;/secondary-title&gt;&lt;/titles&gt;&lt;pages&gt;1597-1607&lt;/pages&gt;&lt;dates&gt;&lt;year&gt;2020&lt;/year&gt;&lt;/dates&gt;&lt;publisher&gt;PMLR&lt;/publisher&gt;&lt;isbn&gt;2640-3498&lt;/isbn&gt;&lt;urls&gt;&lt;/urls&gt;&lt;/record&gt;&lt;/Cite&gt;&lt;/EndNote&gt;</w:instrText>
      </w:r>
      <w:r w:rsidRPr="00A662C4">
        <w:rPr>
          <w:rFonts w:asciiTheme="majorBidi" w:eastAsia="Times New Roman" w:hAnsiTheme="majorBidi" w:cstheme="majorBidi"/>
          <w:sz w:val="24"/>
          <w:szCs w:val="24"/>
        </w:rPr>
        <w:fldChar w:fldCharType="separate"/>
      </w:r>
      <w:r w:rsidR="00530B96">
        <w:rPr>
          <w:rFonts w:asciiTheme="majorBidi" w:eastAsia="Times New Roman" w:hAnsiTheme="majorBidi" w:cstheme="majorBidi"/>
          <w:noProof/>
          <w:sz w:val="24"/>
          <w:szCs w:val="24"/>
        </w:rPr>
        <w:t>[2]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fldChar w:fldCharType="end"/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>
        <w:rPr>
          <w:rFonts w:asciiTheme="majorBidi" w:eastAsia="Times New Roman" w:hAnsiTheme="majorBidi" w:cstheme="majorBidi"/>
          <w:sz w:val="24"/>
          <w:szCs w:val="24"/>
        </w:rPr>
        <w:t>This approach achieves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 contrastive coding through 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lastRenderedPageBreak/>
        <w:t xml:space="preserve">a linear layer attached to the Swin UNETR encoder, mapping each augmented sub-volume into a latent representation </w:t>
      </w:r>
      <m:oMath>
        <m:r>
          <w:rPr>
            <w:rFonts w:ascii="Cambria Math" w:eastAsia="Times New Roman" w:hAnsi="Cambria Math" w:cstheme="majorBidi"/>
            <w:sz w:val="24"/>
            <w:szCs w:val="24"/>
          </w:rPr>
          <m:t>v</m:t>
        </m:r>
      </m:oMath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. It learns better representations by maximizing the mutual information between augmented samples from the same sub-volume (positive pairs) while minimizing it between views from different sub-volumes (negative pairs). The 3D rotation and cutout techniques were employed to produce augmented samples from the same sub-volumes. Cosine similarity is employed to measure the distance between encoded representations, as detailed in 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fldChar w:fldCharType="begin"/>
      </w:r>
      <w:r w:rsidR="00530B96">
        <w:rPr>
          <w:rFonts w:asciiTheme="majorBidi" w:eastAsia="Times New Roman" w:hAnsiTheme="majorBidi" w:cstheme="majorBidi"/>
          <w:sz w:val="24"/>
          <w:szCs w:val="24"/>
        </w:rPr>
        <w:instrText xml:space="preserve"> ADDIN EN.CITE &lt;EndNote&gt;&lt;Cite&gt;&lt;Author&gt;Chen&lt;/Author&gt;&lt;Year&gt;2020&lt;/Year&gt;&lt;RecNum&gt;481&lt;/RecNum&gt;&lt;DisplayText&gt;[2]&lt;/DisplayText&gt;&lt;record&gt;&lt;rec-number&gt;481&lt;/rec-number&gt;&lt;foreign-keys&gt;&lt;key app="EN" db-id="95sa2evsm0px99eet96psr50wf5ttd9asrs2" timestamp="1698403594"&gt;481&lt;/key&gt;&lt;/foreign-keys&gt;&lt;ref-type name="Conference Proceedings"&gt;10&lt;/ref-type&gt;&lt;contributors&gt;&lt;authors&gt;&lt;author&gt;Chen, Ting&lt;/author&gt;&lt;author&gt;Kornblith, Simon&lt;/author&gt;&lt;author&gt;Norouzi, Mohammad&lt;/author&gt;&lt;author&gt;Hinton, Geoffrey&lt;/author&gt;&lt;/authors&gt;&lt;/contributors&gt;&lt;titles&gt;&lt;title&gt;A simple framework for contrastive learning of visual representations&lt;/title&gt;&lt;secondary-title&gt;International conference on machine learning&lt;/secondary-title&gt;&lt;/titles&gt;&lt;pages&gt;1597-1607&lt;/pages&gt;&lt;dates&gt;&lt;year&gt;2020&lt;/year&gt;&lt;/dates&gt;&lt;publisher&gt;PMLR&lt;/publisher&gt;&lt;isbn&gt;2640-3498&lt;/isbn&gt;&lt;urls&gt;&lt;/urls&gt;&lt;/record&gt;&lt;/Cite&gt;&lt;/EndNote&gt;</w:instrText>
      </w:r>
      <w:r w:rsidRPr="00A662C4">
        <w:rPr>
          <w:rFonts w:asciiTheme="majorBidi" w:eastAsia="Times New Roman" w:hAnsiTheme="majorBidi" w:cstheme="majorBidi"/>
          <w:sz w:val="24"/>
          <w:szCs w:val="24"/>
        </w:rPr>
        <w:fldChar w:fldCharType="separate"/>
      </w:r>
      <w:r w:rsidR="00530B96">
        <w:rPr>
          <w:rFonts w:asciiTheme="majorBidi" w:eastAsia="Times New Roman" w:hAnsiTheme="majorBidi" w:cstheme="majorBidi"/>
          <w:noProof/>
          <w:sz w:val="24"/>
          <w:szCs w:val="24"/>
        </w:rPr>
        <w:t>[2]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fldChar w:fldCharType="end"/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. For 3D volumes, the contrastive loss is defined as Eq. </w:t>
      </w:r>
      <w:r w:rsidR="00F23B74"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>S</w:t>
      </w:r>
      <w:r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>3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 between a pair of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</w:rPr>
              <m:t>i</m:t>
            </m:r>
          </m:sub>
        </m:sSub>
      </m:oMath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theme="majorBidi"/>
                <w:sz w:val="24"/>
                <w:szCs w:val="24"/>
              </w:rPr>
              <m:t>v</m:t>
            </m:r>
          </m:e>
          <m:sub>
            <m:r>
              <w:rPr>
                <w:rFonts w:ascii="Cambria Math" w:eastAsia="Times New Roman" w:hAnsi="Cambria Math" w:cstheme="majorBidi"/>
                <w:sz w:val="24"/>
                <w:szCs w:val="24"/>
              </w:rPr>
              <m:t>j</m:t>
            </m:r>
          </m:sub>
        </m:sSub>
      </m:oMath>
      <w:r w:rsidRPr="00A662C4">
        <w:rPr>
          <w:rFonts w:asciiTheme="majorBidi" w:eastAsia="Times New Roman" w:hAnsiTheme="majorBidi" w:cstheme="majorBidi"/>
          <w:sz w:val="24"/>
          <w:szCs w:val="24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FC63F7" w:rsidRPr="00A662C4" w:rsidTr="0061351C">
        <w:tc>
          <w:tcPr>
            <w:tcW w:w="2500" w:type="pct"/>
          </w:tcPr>
          <w:p w:rsidR="00FC63F7" w:rsidRPr="00A662C4" w:rsidRDefault="00FC63F7" w:rsidP="0061351C">
            <w:pPr>
              <w:spacing w:before="400" w:after="120" w:line="480" w:lineRule="auto"/>
              <w:jc w:val="both"/>
              <w:outlineLvl w:val="1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</w:pPr>
            <w:r w:rsidRPr="00A662C4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contrast</m:t>
                  </m:r>
                </m:sub>
              </m:sSub>
              <m:r>
                <w:rPr>
                  <w:rFonts w:ascii="Cambria Math" w:eastAsia="Times New Roman" w:hAnsi="Cambria Math" w:cstheme="majorBidi"/>
                  <w:sz w:val="24"/>
                  <w:szCs w:val="24"/>
                </w:rPr>
                <m:t>=-</m:t>
              </m:r>
              <m:func>
                <m:funcPr>
                  <m:ctrlPr>
                    <w:rPr>
                      <w:rFonts w:ascii="Cambria Math" w:eastAsia="Times New Roman" w:hAnsi="Cambria Math" w:cstheme="majorBidi"/>
                      <w:i/>
                      <w:iCs/>
                      <w:sz w:val="24"/>
                      <w:szCs w:val="24"/>
                    </w:rPr>
                  </m:ctrlPr>
                </m:funcPr>
                <m:fName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log</m:t>
                  </m:r>
                </m:fName>
                <m:e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eastAsia="Times New Roman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theme="majorBidi"/>
                          <w:sz w:val="24"/>
                          <w:szCs w:val="24"/>
                        </w:rPr>
                        <m:t>exp⁡(sim(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theme="majorBidi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theme="majorBidi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theme="majorBidi"/>
                          <w:sz w:val="24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theme="majorBidi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theme="majorBidi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theme="majorBidi"/>
                          <w:sz w:val="24"/>
                          <w:szCs w:val="24"/>
                        </w:rPr>
                        <m:t>)/t)</m:t>
                      </m:r>
                    </m:num>
                    <m:den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Times New Roman" w:hAnsi="Cambria Math" w:cstheme="majorBidi"/>
                              <w:sz w:val="24"/>
                              <w:szCs w:val="24"/>
                            </w:rPr>
                            <m:t>k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theme="majorBidi"/>
                              <w:sz w:val="24"/>
                              <w:szCs w:val="24"/>
                            </w:rPr>
                            <m:t>2N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 w:cstheme="majorBidi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 w:cstheme="majorBidi"/>
                                  <w:sz w:val="24"/>
                                  <w:szCs w:val="24"/>
                                </w:rPr>
                                <m:t>1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 w:cstheme="majorBidi"/>
                                  <w:sz w:val="24"/>
                                  <w:szCs w:val="24"/>
                                </w:rPr>
                                <m:t>k≠i</m:t>
                              </m:r>
                            </m:sub>
                          </m:sSub>
                        </m:e>
                      </m:nary>
                      <m:r>
                        <w:rPr>
                          <w:rFonts w:ascii="Cambria Math" w:eastAsia="Times New Roman" w:hAnsi="Cambria Math" w:cstheme="majorBidi"/>
                          <w:sz w:val="24"/>
                          <w:szCs w:val="24"/>
                        </w:rPr>
                        <m:t>exp⁡(sim(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theme="majorBidi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theme="majorBidi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theme="majorBidi"/>
                          <w:sz w:val="24"/>
                          <w:szCs w:val="24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theme="majorBidi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theme="majorBidi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theme="majorBidi"/>
                              <w:sz w:val="24"/>
                              <w:szCs w:val="24"/>
                            </w:rPr>
                            <m:t>k</m:t>
                          </m:r>
                        </m:sub>
                      </m:sSub>
                      <m:r>
                        <w:rPr>
                          <w:rFonts w:ascii="Cambria Math" w:eastAsia="Times New Roman" w:hAnsi="Cambria Math" w:cstheme="majorBidi"/>
                          <w:sz w:val="24"/>
                          <w:szCs w:val="24"/>
                        </w:rPr>
                        <m:t>)/t)</m:t>
                      </m:r>
                    </m:den>
                  </m:f>
                </m:e>
              </m:func>
            </m:oMath>
          </w:p>
        </w:tc>
        <w:tc>
          <w:tcPr>
            <w:tcW w:w="2500" w:type="pct"/>
          </w:tcPr>
          <w:p w:rsidR="00FC63F7" w:rsidRPr="00A662C4" w:rsidRDefault="00FC63F7" w:rsidP="0061351C">
            <w:pPr>
              <w:bidi/>
              <w:spacing w:before="400" w:after="120" w:line="480" w:lineRule="auto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312C8">
              <w:rPr>
                <w:rFonts w:asciiTheme="majorBidi" w:eastAsia="Times New Roman" w:hAnsiTheme="majorBidi" w:cstheme="majorBidi"/>
                <w:sz w:val="24"/>
                <w:szCs w:val="24"/>
                <w:highlight w:val="cyan"/>
              </w:rPr>
              <w:t>(</w:t>
            </w:r>
            <w:r w:rsidR="00F23B74" w:rsidRPr="004312C8">
              <w:rPr>
                <w:rFonts w:asciiTheme="majorBidi" w:eastAsia="Times New Roman" w:hAnsiTheme="majorBidi" w:cstheme="majorBidi"/>
                <w:sz w:val="24"/>
                <w:szCs w:val="24"/>
                <w:highlight w:val="cyan"/>
              </w:rPr>
              <w:t>S</w:t>
            </w:r>
            <w:r w:rsidRPr="004312C8">
              <w:rPr>
                <w:rFonts w:asciiTheme="majorBidi" w:eastAsia="Times New Roman" w:hAnsiTheme="majorBidi" w:cstheme="majorBidi"/>
                <w:sz w:val="24"/>
                <w:szCs w:val="24"/>
                <w:highlight w:val="cyan"/>
              </w:rPr>
              <w:t>3)</w:t>
            </w:r>
          </w:p>
        </w:tc>
      </w:tr>
    </w:tbl>
    <w:p w:rsidR="00FC63F7" w:rsidRPr="00A662C4" w:rsidRDefault="00FC63F7" w:rsidP="00FC63F7">
      <w:pPr>
        <w:spacing w:before="240" w:after="120" w:line="480" w:lineRule="auto"/>
        <w:jc w:val="both"/>
        <w:outlineLvl w:val="1"/>
        <w:rPr>
          <w:rFonts w:asciiTheme="majorBidi" w:eastAsia="Times New Roman" w:hAnsiTheme="majorBidi" w:cstheme="majorBidi"/>
          <w:sz w:val="24"/>
          <w:szCs w:val="24"/>
        </w:rPr>
      </w:pP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Here, t represents the normalized temperature scale measurement. The indicator function, denoted as 1, evaluates to 1 only when </w:t>
      </w:r>
      <m:oMath>
        <m:r>
          <w:rPr>
            <w:rFonts w:ascii="Cambria Math" w:eastAsia="Times New Roman" w:hAnsi="Cambria Math" w:cstheme="majorBidi"/>
            <w:sz w:val="24"/>
            <w:szCs w:val="24"/>
          </w:rPr>
          <m:t>k≠i</m:t>
        </m:r>
      </m:oMath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. Meanwhile, </w:t>
      </w:r>
      <m:oMath>
        <m:r>
          <w:rPr>
            <w:rFonts w:ascii="Cambria Math" w:eastAsia="Times New Roman" w:hAnsi="Cambria Math" w:cstheme="majorBidi"/>
            <w:sz w:val="24"/>
            <w:szCs w:val="24"/>
          </w:rPr>
          <m:t>sim</m:t>
        </m:r>
      </m:oMath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 signifies the dot product of the normalized embedding vectors.</w:t>
      </w:r>
      <w:r w:rsidRPr="00A662C4">
        <w:t xml:space="preserve"> 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>The loss function of contrastive learning enhances the intra-class compactness and the inter-class separability.</w:t>
      </w:r>
    </w:p>
    <w:p w:rsidR="00FC63F7" w:rsidRPr="004F639D" w:rsidRDefault="00FC63F7" w:rsidP="00FC63F7">
      <w:pPr>
        <w:spacing w:before="240" w:line="48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4F639D">
        <w:rPr>
          <w:rFonts w:asciiTheme="majorBidi" w:eastAsia="Times New Roman" w:hAnsiTheme="majorBidi" w:cstheme="majorBidi"/>
          <w:b/>
          <w:bCs/>
          <w:sz w:val="24"/>
          <w:szCs w:val="24"/>
        </w:rPr>
        <w:t>Final loss function</w:t>
      </w:r>
    </w:p>
    <w:p w:rsidR="00FC63F7" w:rsidRPr="00A662C4" w:rsidRDefault="00FC63F7" w:rsidP="00F23B74">
      <w:pPr>
        <w:spacing w:after="120" w:line="480" w:lineRule="auto"/>
        <w:jc w:val="both"/>
        <w:outlineLvl w:val="1"/>
        <w:rPr>
          <w:rFonts w:asciiTheme="majorBidi" w:eastAsia="Times New Roman" w:hAnsiTheme="majorBidi" w:cstheme="majorBidi"/>
          <w:sz w:val="24"/>
          <w:szCs w:val="24"/>
        </w:rPr>
      </w:pP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The Swin UNETR’s encoder is trained by minimizing Eq. </w:t>
      </w:r>
      <w:r w:rsidR="00F23B74"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>S</w:t>
      </w:r>
      <w:r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>4</w:t>
      </w:r>
      <w:r w:rsidRPr="00234575">
        <w:rPr>
          <w:rFonts w:asciiTheme="majorBidi" w:eastAsia="Times New Roman" w:hAnsiTheme="majorBidi" w:cstheme="majorBidi"/>
          <w:sz w:val="24"/>
          <w:szCs w:val="24"/>
          <w:highlight w:val="cyan"/>
        </w:rPr>
        <w:t>,</w:t>
      </w:r>
      <w:r w:rsidRPr="00326166">
        <w:rPr>
          <w:rFonts w:asciiTheme="majorBidi" w:eastAsia="Times New Roman" w:hAnsiTheme="majorBidi" w:cstheme="majorBidi"/>
          <w:sz w:val="24"/>
          <w:szCs w:val="24"/>
          <w:highlight w:val="cyan"/>
        </w:rPr>
        <w:t xml:space="preserve"> 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which is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the 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>sum of the aforementioned multiple pre-training objectives as the loss function</w:t>
      </w:r>
      <w:r>
        <w:rPr>
          <w:rFonts w:asciiTheme="majorBidi" w:eastAsia="Times New Roman" w:hAnsiTheme="majorBidi" w:cstheme="majorBidi"/>
          <w:sz w:val="24"/>
          <w:szCs w:val="24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FC63F7" w:rsidRPr="00234575" w:rsidTr="0061351C">
        <w:tc>
          <w:tcPr>
            <w:tcW w:w="2500" w:type="pct"/>
          </w:tcPr>
          <w:p w:rsidR="00FC63F7" w:rsidRPr="00A662C4" w:rsidRDefault="00342F9F" w:rsidP="0061351C">
            <w:pPr>
              <w:spacing w:before="400" w:after="120" w:line="480" w:lineRule="auto"/>
              <w:jc w:val="both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tot</m:t>
                  </m:r>
                </m:sub>
              </m:sSub>
              <m:r>
                <w:rPr>
                  <w:rFonts w:ascii="Cambria Math" w:eastAsia="Times New Roman" w:hAnsi="Cambria Math" w:cstheme="majorBidi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inpaint</m:t>
                  </m:r>
                </m:sub>
              </m:sSub>
              <m:r>
                <w:rPr>
                  <w:rFonts w:ascii="Cambria Math" w:eastAsia="Times New Roman" w:hAnsi="Cambria Math" w:cstheme="majorBidi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contrast</m:t>
                  </m:r>
                </m:sub>
              </m:sSub>
              <m:r>
                <w:rPr>
                  <w:rFonts w:ascii="Cambria Math" w:eastAsia="Times New Roman" w:hAnsi="Cambria Math" w:cstheme="majorBidi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sz w:val="24"/>
                      <w:szCs w:val="24"/>
                    </w:rPr>
                    <m:t>rot</m:t>
                  </m:r>
                </m:sub>
              </m:sSub>
            </m:oMath>
            <w:r w:rsidR="00FC63F7" w:rsidRPr="00A662C4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500" w:type="pct"/>
          </w:tcPr>
          <w:p w:rsidR="00FC63F7" w:rsidRPr="004312C8" w:rsidRDefault="00FC63F7" w:rsidP="0061351C">
            <w:pPr>
              <w:bidi/>
              <w:spacing w:before="400" w:after="120" w:line="480" w:lineRule="auto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  <w:highlight w:val="cyan"/>
              </w:rPr>
            </w:pPr>
            <w:r w:rsidRPr="004312C8">
              <w:rPr>
                <w:rFonts w:asciiTheme="majorBidi" w:eastAsia="Times New Roman" w:hAnsiTheme="majorBidi" w:cstheme="majorBidi"/>
                <w:sz w:val="24"/>
                <w:szCs w:val="24"/>
                <w:highlight w:val="cyan"/>
              </w:rPr>
              <w:t>(</w:t>
            </w:r>
            <w:r w:rsidR="00F23B74" w:rsidRPr="004312C8">
              <w:rPr>
                <w:rFonts w:asciiTheme="majorBidi" w:eastAsia="Times New Roman" w:hAnsiTheme="majorBidi" w:cstheme="majorBidi"/>
                <w:sz w:val="24"/>
                <w:szCs w:val="24"/>
                <w:highlight w:val="cyan"/>
              </w:rPr>
              <w:t>S</w:t>
            </w:r>
            <w:r w:rsidRPr="004312C8">
              <w:rPr>
                <w:rFonts w:asciiTheme="majorBidi" w:eastAsia="Times New Roman" w:hAnsiTheme="majorBidi" w:cstheme="majorBidi"/>
                <w:sz w:val="24"/>
                <w:szCs w:val="24"/>
                <w:highlight w:val="cyan"/>
              </w:rPr>
              <w:t>4)</w:t>
            </w:r>
          </w:p>
        </w:tc>
      </w:tr>
    </w:tbl>
    <w:p w:rsidR="00FC63F7" w:rsidRDefault="00D237A9" w:rsidP="00FC63F7">
      <w:pPr>
        <w:spacing w:before="400" w:after="12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>S3</w:t>
      </w:r>
      <w:r w:rsidR="00F23B74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. </w:t>
      </w:r>
      <w:r w:rsidR="00FC63F7" w:rsidRPr="00F23B74">
        <w:rPr>
          <w:rFonts w:asciiTheme="majorBidi" w:eastAsia="Times New Roman" w:hAnsiTheme="majorBidi" w:cstheme="majorBidi"/>
          <w:b/>
          <w:bCs/>
          <w:sz w:val="28"/>
          <w:szCs w:val="28"/>
        </w:rPr>
        <w:t>Evaluation metrics</w:t>
      </w:r>
    </w:p>
    <w:p w:rsidR="00BA2D17" w:rsidRDefault="00BA2D17" w:rsidP="00BA2D17">
      <w:pPr>
        <w:spacing w:before="400" w:after="120" w:line="360" w:lineRule="auto"/>
        <w:jc w:val="both"/>
        <w:outlineLvl w:val="1"/>
        <w:rPr>
          <w:rFonts w:asciiTheme="majorBidi" w:eastAsia="Times New Roman" w:hAnsiTheme="majorBidi" w:cstheme="majorBidi"/>
          <w:sz w:val="24"/>
          <w:szCs w:val="24"/>
        </w:rPr>
      </w:pPr>
      <w:r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lastRenderedPageBreak/>
        <w:t>The following metrics were used to evaluate the model per patient by averaging across all patients, resulting in a detection rate.</w:t>
      </w:r>
    </w:p>
    <w:p w:rsidR="00FC63F7" w:rsidRPr="00A662C4" w:rsidRDefault="00FC63F7" w:rsidP="00F23B74">
      <w:pPr>
        <w:spacing w:before="400" w:after="120" w:line="480" w:lineRule="auto"/>
        <w:jc w:val="both"/>
        <w:outlineLvl w:val="1"/>
        <w:rPr>
          <w:rFonts w:asciiTheme="majorBidi" w:eastAsia="Times New Roman" w:hAnsiTheme="majorBidi" w:cstheme="majorBidi"/>
          <w:sz w:val="24"/>
          <w:szCs w:val="24"/>
        </w:rPr>
      </w:pP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In Eq. </w:t>
      </w:r>
      <w:r w:rsidR="00F23B74"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>S</w:t>
      </w:r>
      <w:r w:rsidR="00E33D70"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>5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, N represents the total test images.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The 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>overlap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between predicted segmentation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 and ground truth masks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was determined 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using the DSC employed in the loss function. The precision metric </w:t>
      </w:r>
      <w:r w:rsidR="00E33D70"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 xml:space="preserve">(Eq. </w:t>
      </w:r>
      <w:r w:rsidR="00F23B74"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>S</w:t>
      </w:r>
      <w:r w:rsidR="00E33D70"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>6)</w:t>
      </w:r>
      <w:r w:rsidR="00E33D7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>calculates the ratio of true positive (TP) results to all positive ones, which includes both TP and false positive (FP) results. Recall</w:t>
      </w:r>
      <w:r w:rsidR="00E33D7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E33D70"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>(Eq.</w:t>
      </w:r>
      <w:r w:rsidR="00F23B74"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 xml:space="preserve"> S</w:t>
      </w:r>
      <w:r w:rsidR="00E33D70"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>7)</w:t>
      </w:r>
      <w:r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>,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 also known as sensitivity, measures the ratio of TP outcomes to the sum of TP and false negative (FN) results. Using the confusion matrix,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as shown in Eq</w:t>
      </w:r>
      <w:r w:rsidR="00E33D70"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>.</w:t>
      </w:r>
      <w:r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 xml:space="preserve"> </w:t>
      </w:r>
      <w:r w:rsidR="00F23B74"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>S</w:t>
      </w:r>
      <w:r w:rsidR="00E33D70" w:rsidRPr="004312C8">
        <w:rPr>
          <w:rFonts w:asciiTheme="majorBidi" w:eastAsia="Times New Roman" w:hAnsiTheme="majorBidi" w:cstheme="majorBidi"/>
          <w:sz w:val="24"/>
          <w:szCs w:val="24"/>
          <w:highlight w:val="cyan"/>
        </w:rPr>
        <w:t>5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 xml:space="preserve">the DSC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can be expressed </w:t>
      </w:r>
      <w:r w:rsidRPr="00A662C4">
        <w:rPr>
          <w:rFonts w:asciiTheme="majorBidi" w:eastAsia="Times New Roman" w:hAnsiTheme="majorBidi" w:cstheme="majorBidi"/>
          <w:sz w:val="24"/>
          <w:szCs w:val="24"/>
        </w:rPr>
        <w:t>alternately based on precision and recall.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8561"/>
        <w:gridCol w:w="799"/>
      </w:tblGrid>
      <w:tr w:rsidR="00FC63F7" w:rsidRPr="00A662C4" w:rsidTr="0061351C">
        <w:trPr>
          <w:jc w:val="center"/>
        </w:trPr>
        <w:tc>
          <w:tcPr>
            <w:tcW w:w="4573" w:type="pct"/>
            <w:shd w:val="clear" w:color="auto" w:fill="FFFFFF" w:themeFill="background1"/>
            <w:vAlign w:val="center"/>
          </w:tcPr>
          <w:p w:rsidR="00FC63F7" w:rsidRPr="00A662C4" w:rsidRDefault="00FC63F7" w:rsidP="00825F60">
            <w:pPr>
              <w:pStyle w:val="ListParagraph"/>
              <w:spacing w:after="120" w:line="360" w:lineRule="auto"/>
              <w:ind w:left="0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theme="majorBidi"/>
                    <w:sz w:val="24"/>
                    <w:szCs w:val="24"/>
                  </w:rPr>
                  <m:t xml:space="preserve">DSC </m:t>
                </m:r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</w:rPr>
                      <m:t>P,G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eastAsia="Times New Roman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theme="majorBidi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theme="majorBidi"/>
                            <w:sz w:val="24"/>
                            <w:szCs w:val="24"/>
                          </w:rPr>
                          <m:t>2</m:t>
                        </m:r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sz w:val="24"/>
                                <w:szCs w:val="24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sz w:val="24"/>
                                    <w:szCs w:val="24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sz w:val="24"/>
                                    <w:szCs w:val="24"/>
                                  </w:rPr>
                                  <m:t>i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sz w:val="24"/>
                                    <w:szCs w:val="24"/>
                                  </w:rPr>
                                  <m:t>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sz w:val="24"/>
                                    <w:szCs w:val="24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num>
                      <m:den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sz w:val="24"/>
                                <w:szCs w:val="24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sz w:val="24"/>
                                    <w:szCs w:val="24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sz w:val="24"/>
                                    <w:szCs w:val="24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  <m:r>
                          <w:rPr>
                            <w:rFonts w:ascii="Cambria Math" w:eastAsia="Times New Roman" w:hAnsi="Cambria Math" w:cstheme="majorBidi"/>
                            <w:sz w:val="24"/>
                            <w:szCs w:val="24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eastAsia="Times New Roman" w:hAnsi="Cambria Math" w:cstheme="majorBidi"/>
                                <w:i/>
                                <w:sz w:val="24"/>
                                <w:szCs w:val="24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Cambria Math" w:cstheme="majorBidi"/>
                                <w:sz w:val="24"/>
                                <w:szCs w:val="24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theme="majorBidi"/>
                                <w:sz w:val="24"/>
                                <w:szCs w:val="24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theme="majorBidi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theme="majorBidi"/>
                                    <w:sz w:val="24"/>
                                    <w:szCs w:val="24"/>
                                  </w:rPr>
                                  <m:t>G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theme="majorBidi"/>
                                    <w:sz w:val="24"/>
                                    <w:szCs w:val="24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den>
                    </m:f>
                  </m:e>
                </m:d>
                <m:r>
                  <w:rPr>
                    <w:rFonts w:ascii="Cambria Math" w:eastAsia="Times New Roman" w:hAnsi="Cambria Math" w:cstheme="majorBidi"/>
                    <w:sz w:val="24"/>
                    <w:szCs w:val="24"/>
                  </w:rPr>
                  <m:t>or DSC=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</w:rPr>
                      <m:t>2TP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</w:rPr>
                      <m:t>2TP+FP+FN</m:t>
                    </m:r>
                  </m:den>
                </m:f>
              </m:oMath>
            </m:oMathPara>
          </w:p>
        </w:tc>
        <w:tc>
          <w:tcPr>
            <w:tcW w:w="427" w:type="pct"/>
            <w:vMerge w:val="restart"/>
            <w:shd w:val="clear" w:color="auto" w:fill="FFFFFF" w:themeFill="background1"/>
            <w:vAlign w:val="center"/>
          </w:tcPr>
          <w:p w:rsidR="00FC63F7" w:rsidRPr="00A662C4" w:rsidRDefault="00FC63F7" w:rsidP="0061351C">
            <w:pPr>
              <w:pStyle w:val="ListParagraph"/>
              <w:bidi/>
              <w:spacing w:after="120" w:line="360" w:lineRule="auto"/>
              <w:ind w:left="0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662C4">
              <w:rPr>
                <w:rFonts w:asciiTheme="majorBidi" w:eastAsia="Times New Roman" w:hAnsiTheme="majorBidi" w:cstheme="majorBidi"/>
                <w:sz w:val="24"/>
                <w:szCs w:val="24"/>
              </w:rPr>
              <w:t>(</w:t>
            </w:r>
            <w:r w:rsidR="00F23B74" w:rsidRPr="004312C8">
              <w:rPr>
                <w:rFonts w:asciiTheme="majorBidi" w:eastAsia="Times New Roman" w:hAnsiTheme="majorBidi" w:cstheme="majorBidi"/>
                <w:sz w:val="24"/>
                <w:szCs w:val="24"/>
                <w:highlight w:val="cyan"/>
              </w:rPr>
              <w:t>S</w:t>
            </w:r>
            <w:r w:rsidR="00E33D70" w:rsidRPr="004312C8">
              <w:rPr>
                <w:rFonts w:asciiTheme="majorBidi" w:eastAsia="Times New Roman" w:hAnsiTheme="majorBidi" w:cstheme="majorBidi"/>
                <w:sz w:val="24"/>
                <w:szCs w:val="24"/>
                <w:highlight w:val="cyan"/>
              </w:rPr>
              <w:t>5</w:t>
            </w:r>
            <w:r w:rsidRPr="00A662C4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</w:p>
          <w:p w:rsidR="00FC63F7" w:rsidRPr="00A662C4" w:rsidRDefault="00FC63F7" w:rsidP="0061351C">
            <w:pPr>
              <w:pStyle w:val="ListParagraph"/>
              <w:spacing w:after="120" w:line="360" w:lineRule="auto"/>
              <w:ind w:left="0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FC63F7" w:rsidRPr="00A662C4" w:rsidRDefault="00FC63F7" w:rsidP="0061351C">
            <w:pPr>
              <w:pStyle w:val="ListParagraph"/>
              <w:bidi/>
              <w:spacing w:after="120" w:line="360" w:lineRule="auto"/>
              <w:ind w:left="0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662C4">
              <w:rPr>
                <w:rFonts w:asciiTheme="majorBidi" w:eastAsia="Times New Roman" w:hAnsiTheme="majorBidi" w:cstheme="majorBidi"/>
                <w:sz w:val="24"/>
                <w:szCs w:val="24"/>
              </w:rPr>
              <w:t>(</w:t>
            </w:r>
            <w:r w:rsidR="00F23B74" w:rsidRPr="004312C8">
              <w:rPr>
                <w:rFonts w:asciiTheme="majorBidi" w:eastAsia="Times New Roman" w:hAnsiTheme="majorBidi" w:cstheme="majorBidi"/>
                <w:sz w:val="24"/>
                <w:szCs w:val="24"/>
                <w:highlight w:val="cyan"/>
              </w:rPr>
              <w:t>S</w:t>
            </w:r>
            <w:r w:rsidR="00E33D70" w:rsidRPr="004312C8">
              <w:rPr>
                <w:rFonts w:asciiTheme="majorBidi" w:eastAsia="Times New Roman" w:hAnsiTheme="majorBidi" w:cstheme="majorBidi"/>
                <w:sz w:val="24"/>
                <w:szCs w:val="24"/>
                <w:highlight w:val="cyan"/>
              </w:rPr>
              <w:t>6</w:t>
            </w:r>
            <w:r w:rsidRPr="00A662C4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</w:p>
          <w:p w:rsidR="00FC63F7" w:rsidRPr="00A662C4" w:rsidRDefault="00FC63F7" w:rsidP="0061351C">
            <w:pPr>
              <w:pStyle w:val="ListParagraph"/>
              <w:spacing w:after="120" w:line="360" w:lineRule="auto"/>
              <w:ind w:left="0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:rsidR="00FC63F7" w:rsidRPr="00A662C4" w:rsidRDefault="00FC63F7" w:rsidP="0061351C">
            <w:pPr>
              <w:pStyle w:val="ListParagraph"/>
              <w:bidi/>
              <w:spacing w:after="120" w:line="360" w:lineRule="auto"/>
              <w:ind w:left="0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662C4">
              <w:rPr>
                <w:rFonts w:asciiTheme="majorBidi" w:eastAsia="Times New Roman" w:hAnsiTheme="majorBidi" w:cstheme="majorBidi"/>
                <w:sz w:val="24"/>
                <w:szCs w:val="24"/>
              </w:rPr>
              <w:t>(</w:t>
            </w:r>
            <w:r w:rsidR="00F23B74" w:rsidRPr="004312C8">
              <w:rPr>
                <w:rFonts w:asciiTheme="majorBidi" w:eastAsia="Times New Roman" w:hAnsiTheme="majorBidi" w:cstheme="majorBidi"/>
                <w:sz w:val="24"/>
                <w:szCs w:val="24"/>
                <w:highlight w:val="cyan"/>
              </w:rPr>
              <w:t>S</w:t>
            </w:r>
            <w:r w:rsidR="00E33D70" w:rsidRPr="004312C8">
              <w:rPr>
                <w:rFonts w:asciiTheme="majorBidi" w:eastAsia="Times New Roman" w:hAnsiTheme="majorBidi" w:cstheme="majorBidi"/>
                <w:sz w:val="24"/>
                <w:szCs w:val="24"/>
                <w:highlight w:val="cyan"/>
              </w:rPr>
              <w:t>7</w:t>
            </w:r>
            <w:r w:rsidRPr="00A662C4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</w:p>
        </w:tc>
      </w:tr>
      <w:tr w:rsidR="00FC63F7" w:rsidRPr="00A662C4" w:rsidTr="0061351C">
        <w:trPr>
          <w:jc w:val="center"/>
        </w:trPr>
        <w:tc>
          <w:tcPr>
            <w:tcW w:w="4573" w:type="pct"/>
            <w:shd w:val="clear" w:color="auto" w:fill="FFFFFF" w:themeFill="background1"/>
            <w:vAlign w:val="center"/>
          </w:tcPr>
          <w:p w:rsidR="00FC63F7" w:rsidRPr="00A662C4" w:rsidRDefault="00FC63F7" w:rsidP="0061351C">
            <w:pPr>
              <w:pStyle w:val="ListParagraph"/>
              <w:spacing w:after="120" w:line="360" w:lineRule="auto"/>
              <w:ind w:left="0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theme="majorBidi"/>
                    <w:sz w:val="24"/>
                    <w:szCs w:val="24"/>
                  </w:rPr>
                  <m:t>Precesion=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</w:rPr>
                      <m:t>TP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</w:rPr>
                      <m:t>TP+FP</m:t>
                    </m:r>
                  </m:den>
                </m:f>
              </m:oMath>
            </m:oMathPara>
          </w:p>
        </w:tc>
        <w:tc>
          <w:tcPr>
            <w:tcW w:w="427" w:type="pct"/>
            <w:vMerge/>
            <w:shd w:val="clear" w:color="auto" w:fill="FFFFFF" w:themeFill="background1"/>
            <w:vAlign w:val="center"/>
          </w:tcPr>
          <w:p w:rsidR="00FC63F7" w:rsidRPr="00A662C4" w:rsidRDefault="00FC63F7" w:rsidP="0061351C">
            <w:pPr>
              <w:pStyle w:val="ListParagraph"/>
              <w:spacing w:after="120" w:line="360" w:lineRule="auto"/>
              <w:ind w:left="0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FC63F7" w:rsidRPr="00A662C4" w:rsidTr="0061351C">
        <w:trPr>
          <w:jc w:val="center"/>
        </w:trPr>
        <w:tc>
          <w:tcPr>
            <w:tcW w:w="4573" w:type="pct"/>
            <w:shd w:val="clear" w:color="auto" w:fill="FFFFFF" w:themeFill="background1"/>
            <w:vAlign w:val="center"/>
          </w:tcPr>
          <w:p w:rsidR="00FC63F7" w:rsidRPr="00A662C4" w:rsidRDefault="00FC63F7" w:rsidP="0061351C">
            <w:pPr>
              <w:pStyle w:val="ListParagraph"/>
              <w:spacing w:after="120" w:line="360" w:lineRule="auto"/>
              <w:ind w:left="0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theme="majorBidi"/>
                    <w:sz w:val="24"/>
                    <w:szCs w:val="24"/>
                  </w:rPr>
                  <m:t>Recall=</m:t>
                </m:r>
                <m:f>
                  <m:fPr>
                    <m:ctrlPr>
                      <w:rPr>
                        <w:rFonts w:ascii="Cambria Math" w:eastAsia="Times New Roman" w:hAnsi="Cambria Math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</w:rPr>
                      <m:t>TP</m:t>
                    </m:r>
                  </m:num>
                  <m:den>
                    <m:r>
                      <w:rPr>
                        <w:rFonts w:ascii="Cambria Math" w:eastAsia="Times New Roman" w:hAnsi="Cambria Math" w:cstheme="majorBidi"/>
                        <w:sz w:val="24"/>
                        <w:szCs w:val="24"/>
                      </w:rPr>
                      <m:t>TP+FN</m:t>
                    </m:r>
                  </m:den>
                </m:f>
              </m:oMath>
            </m:oMathPara>
          </w:p>
        </w:tc>
        <w:tc>
          <w:tcPr>
            <w:tcW w:w="427" w:type="pct"/>
            <w:vMerge/>
            <w:shd w:val="clear" w:color="auto" w:fill="FFFFFF" w:themeFill="background1"/>
            <w:vAlign w:val="center"/>
          </w:tcPr>
          <w:p w:rsidR="00FC63F7" w:rsidRPr="00A662C4" w:rsidRDefault="00FC63F7" w:rsidP="0061351C">
            <w:pPr>
              <w:pStyle w:val="ListParagraph"/>
              <w:spacing w:after="120" w:line="360" w:lineRule="auto"/>
              <w:ind w:left="0"/>
              <w:jc w:val="center"/>
              <w:outlineLvl w:val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:rsidR="00530B96" w:rsidRDefault="00530B96" w:rsidP="00D8772A">
      <w:pPr>
        <w:spacing w:before="400" w:after="12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530B96" w:rsidRDefault="009D3616" w:rsidP="00D8772A">
      <w:pPr>
        <w:spacing w:before="400" w:after="12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FC13CB">
        <w:rPr>
          <w:rFonts w:asciiTheme="majorBidi" w:eastAsia="Times New Roman" w:hAnsiTheme="majorBidi" w:cstheme="majorBidi"/>
          <w:b/>
          <w:bCs/>
          <w:sz w:val="24"/>
          <w:szCs w:val="24"/>
          <w:highlight w:val="cyan"/>
        </w:rPr>
        <w:t>References</w:t>
      </w:r>
    </w:p>
    <w:p w:rsidR="00530B96" w:rsidRPr="00530B96" w:rsidRDefault="00530B96" w:rsidP="00530B96">
      <w:pPr>
        <w:pStyle w:val="EndNoteBibliography"/>
        <w:spacing w:after="0"/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fldChar w:fldCharType="begin"/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instrText xml:space="preserve"> ADDIN EN.REFLIST </w:instrTex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fldChar w:fldCharType="separate"/>
      </w:r>
      <w:r w:rsidRPr="00530B96">
        <w:t>1.</w:t>
      </w:r>
      <w:r w:rsidRPr="00530B96">
        <w:tab/>
        <w:t>Pathak D, Krahenbuhl P, Donahue J, Darrell T, Efros AA, editors. Context encoders: Feature learning by inpainting. Proceedings of the IEEE conference on computer vision and pattern recognition; 2016.</w:t>
      </w:r>
    </w:p>
    <w:p w:rsidR="00530B96" w:rsidRPr="00530B96" w:rsidRDefault="00530B96" w:rsidP="00530B96">
      <w:pPr>
        <w:pStyle w:val="EndNoteBibliography"/>
      </w:pPr>
      <w:r w:rsidRPr="00530B96">
        <w:t>2.</w:t>
      </w:r>
      <w:r w:rsidRPr="00530B96">
        <w:tab/>
        <w:t>Chen T, Kornblith S, Norouzi M, Hinton G, editors. A simple framework for contrastive learning of visual representations. International conference on machine learning; 2020: PMLR.</w:t>
      </w:r>
    </w:p>
    <w:p w:rsidR="00C37D08" w:rsidRPr="004F639D" w:rsidRDefault="00530B96" w:rsidP="000C75CE">
      <w:pPr>
        <w:spacing w:before="400" w:after="120" w:line="36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</w:rPr>
        <w:fldChar w:fldCharType="end"/>
      </w:r>
    </w:p>
    <w:sectPr w:rsidR="00C37D08" w:rsidRPr="004F63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Vancouver (Square brackets)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5sa2evsm0px99eet96psr50wf5ttd9asrs2&quot;&gt;My Review Library&lt;record-ids&gt;&lt;item&gt;480&lt;/item&gt;&lt;item&gt;481&lt;/item&gt;&lt;/record-ids&gt;&lt;/item&gt;&lt;/Libraries&gt;"/>
  </w:docVars>
  <w:rsids>
    <w:rsidRoot w:val="00F763E4"/>
    <w:rsid w:val="00030761"/>
    <w:rsid w:val="0004046D"/>
    <w:rsid w:val="00054C64"/>
    <w:rsid w:val="00074A03"/>
    <w:rsid w:val="000A2A15"/>
    <w:rsid w:val="000B1A87"/>
    <w:rsid w:val="000C75CE"/>
    <w:rsid w:val="001666D3"/>
    <w:rsid w:val="001D2B06"/>
    <w:rsid w:val="001D7431"/>
    <w:rsid w:val="002122D8"/>
    <w:rsid w:val="00234575"/>
    <w:rsid w:val="002C22B8"/>
    <w:rsid w:val="00311169"/>
    <w:rsid w:val="00342F9F"/>
    <w:rsid w:val="00373DEF"/>
    <w:rsid w:val="0038092B"/>
    <w:rsid w:val="004312C8"/>
    <w:rsid w:val="00450D65"/>
    <w:rsid w:val="00464FC8"/>
    <w:rsid w:val="00467A4A"/>
    <w:rsid w:val="00492177"/>
    <w:rsid w:val="004A6FC3"/>
    <w:rsid w:val="004F363A"/>
    <w:rsid w:val="00530B96"/>
    <w:rsid w:val="00542635"/>
    <w:rsid w:val="0062563D"/>
    <w:rsid w:val="00642578"/>
    <w:rsid w:val="0065671B"/>
    <w:rsid w:val="00657FDB"/>
    <w:rsid w:val="00672271"/>
    <w:rsid w:val="00682B75"/>
    <w:rsid w:val="006B415F"/>
    <w:rsid w:val="006C5153"/>
    <w:rsid w:val="006E4CD2"/>
    <w:rsid w:val="007256D1"/>
    <w:rsid w:val="00794A52"/>
    <w:rsid w:val="00797A62"/>
    <w:rsid w:val="007E1C34"/>
    <w:rsid w:val="00825F60"/>
    <w:rsid w:val="008453B5"/>
    <w:rsid w:val="00962144"/>
    <w:rsid w:val="009D3616"/>
    <w:rsid w:val="009F16AC"/>
    <w:rsid w:val="00A51931"/>
    <w:rsid w:val="00AB4542"/>
    <w:rsid w:val="00AD12F7"/>
    <w:rsid w:val="00B16D41"/>
    <w:rsid w:val="00B2341F"/>
    <w:rsid w:val="00B54639"/>
    <w:rsid w:val="00B56654"/>
    <w:rsid w:val="00B73F9D"/>
    <w:rsid w:val="00BA2D17"/>
    <w:rsid w:val="00C3459B"/>
    <w:rsid w:val="00C37D08"/>
    <w:rsid w:val="00C44736"/>
    <w:rsid w:val="00C971C6"/>
    <w:rsid w:val="00D12BDC"/>
    <w:rsid w:val="00D237A9"/>
    <w:rsid w:val="00D463CF"/>
    <w:rsid w:val="00D8772A"/>
    <w:rsid w:val="00DD1568"/>
    <w:rsid w:val="00E071BF"/>
    <w:rsid w:val="00E12575"/>
    <w:rsid w:val="00E33D70"/>
    <w:rsid w:val="00E64798"/>
    <w:rsid w:val="00E91705"/>
    <w:rsid w:val="00EA0C71"/>
    <w:rsid w:val="00EA1264"/>
    <w:rsid w:val="00F23B74"/>
    <w:rsid w:val="00F763E4"/>
    <w:rsid w:val="00FC13CB"/>
    <w:rsid w:val="00FC63F7"/>
    <w:rsid w:val="00FD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3D1F02-B486-4499-B53F-7FEFA5CE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3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6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63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3F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E64798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rsid w:val="001666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530B9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30B9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30B96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30B96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6A4A3EB9-76DD-472A-AC6F-61AB49691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Yazdani</dc:creator>
  <cp:keywords/>
  <dc:description/>
  <cp:lastModifiedBy>Mahdi Sadeghi</cp:lastModifiedBy>
  <cp:revision>58</cp:revision>
  <dcterms:created xsi:type="dcterms:W3CDTF">2023-12-29T15:46:00Z</dcterms:created>
  <dcterms:modified xsi:type="dcterms:W3CDTF">2024-01-26T10:51:00Z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815fcf678768544cb0996c87e119c9e6c3fd25360697bccd5feeca5cf422f224</vt:lpwstr>
  </property>
</Properties>
</file>