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AC3F0" w14:textId="77777777" w:rsidR="004324F3" w:rsidRPr="005F1A1D" w:rsidRDefault="004324F3" w:rsidP="004324F3">
      <w:pPr>
        <w:spacing w:before="400" w:after="12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  <w:highlight w:val="cyan"/>
        </w:rPr>
      </w:pPr>
      <w:bookmarkStart w:id="0" w:name="_GoBack"/>
      <w:bookmarkEnd w:id="0"/>
      <w:r w:rsidRPr="005F1A1D">
        <w:rPr>
          <w:rFonts w:asciiTheme="majorBidi" w:eastAsia="Times New Roman" w:hAnsiTheme="majorBidi" w:cstheme="majorBidi"/>
          <w:b/>
          <w:bCs/>
          <w:sz w:val="28"/>
          <w:szCs w:val="28"/>
          <w:highlight w:val="cyan"/>
        </w:rPr>
        <w:t>Supplementary Figure</w:t>
      </w:r>
    </w:p>
    <w:p w14:paraId="291750FD" w14:textId="091983F5" w:rsidR="004324F3" w:rsidRPr="005F1A1D" w:rsidRDefault="004324F3" w:rsidP="004324F3">
      <w:pPr>
        <w:spacing w:before="400" w:after="12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5F1A1D">
        <w:rPr>
          <w:rFonts w:asciiTheme="majorBidi" w:eastAsia="Times New Roman" w:hAnsiTheme="majorBidi" w:cstheme="majorBidi"/>
          <w:b/>
          <w:bCs/>
          <w:sz w:val="24"/>
          <w:szCs w:val="24"/>
          <w:highlight w:val="cyan"/>
        </w:rPr>
        <w:t>Network architecture guideline of Fig. 2.</w:t>
      </w:r>
    </w:p>
    <w:p w14:paraId="1FF199E0" w14:textId="37DADE88" w:rsidR="00736339" w:rsidRPr="005F1A1D" w:rsidRDefault="001D7431" w:rsidP="00831A23">
      <w:pPr>
        <w:spacing w:before="400" w:after="120" w:line="360" w:lineRule="auto"/>
        <w:jc w:val="center"/>
        <w:outlineLvl w:val="1"/>
        <w:rPr>
          <w:rFonts w:asciiTheme="majorBidi" w:eastAsia="Times New Roman" w:hAnsiTheme="majorBidi" w:cstheme="majorBidi"/>
          <w:sz w:val="24"/>
          <w:szCs w:val="24"/>
          <w:highlight w:val="cyan"/>
        </w:rPr>
      </w:pPr>
      <w:r w:rsidRPr="001D7431">
        <w:rPr>
          <w:rFonts w:asciiTheme="majorBidi" w:eastAsia="Times New Roman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6C8C7D01" wp14:editId="69AB7A2B">
            <wp:extent cx="4373880" cy="4357662"/>
            <wp:effectExtent l="0" t="0" r="7620" b="5080"/>
            <wp:docPr id="3" name="Picture 3" descr="D:\CancerImaging Revise-Seg\fig\Drawin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ancerImaging Revise-Seg\fig\Drawing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353" cy="436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24F3" w:rsidRPr="005F1A1D">
        <w:rPr>
          <w:rFonts w:asciiTheme="majorBidi" w:eastAsia="Times New Roman" w:hAnsiTheme="majorBidi" w:cstheme="majorBidi"/>
          <w:b/>
          <w:bCs/>
          <w:sz w:val="24"/>
          <w:szCs w:val="24"/>
          <w:highlight w:val="cyan"/>
        </w:rPr>
        <w:t xml:space="preserve">Fig. S1. </w:t>
      </w:r>
      <w:r w:rsidR="00831A23" w:rsidRPr="0002664F">
        <w:rPr>
          <w:rFonts w:asciiTheme="majorBidi" w:eastAsia="Times New Roman" w:hAnsiTheme="majorBidi" w:cstheme="majorBidi"/>
          <w:sz w:val="24"/>
          <w:szCs w:val="24"/>
          <w:highlight w:val="cyan"/>
        </w:rPr>
        <w:t xml:space="preserve">Network architecture guideline of Fig. 2. This figure shows components of Fig. 2 and the Swin Transformer block which consists of some parts including, Linear Norm (LN), </w:t>
      </w:r>
      <w:r w:rsidR="00831A23" w:rsidRPr="0002664F">
        <w:rPr>
          <w:rFonts w:asciiTheme="majorBidi" w:hAnsiTheme="majorBidi" w:cstheme="majorBidi"/>
          <w:color w:val="000000"/>
          <w:sz w:val="24"/>
          <w:szCs w:val="24"/>
          <w:highlight w:val="cyan"/>
        </w:rPr>
        <w:t>window multi</w:t>
      </w:r>
      <w:r w:rsidR="00831A23">
        <w:rPr>
          <w:rFonts w:asciiTheme="majorBidi" w:hAnsiTheme="majorBidi" w:cstheme="majorBidi"/>
          <w:color w:val="000000"/>
          <w:sz w:val="24"/>
          <w:szCs w:val="24"/>
          <w:highlight w:val="cyan"/>
        </w:rPr>
        <w:t>-</w:t>
      </w:r>
      <w:r w:rsidR="00831A23" w:rsidRPr="0002664F">
        <w:rPr>
          <w:rFonts w:asciiTheme="majorBidi" w:hAnsiTheme="majorBidi" w:cstheme="majorBidi"/>
          <w:color w:val="000000"/>
          <w:sz w:val="24"/>
          <w:szCs w:val="24"/>
          <w:highlight w:val="cyan"/>
        </w:rPr>
        <w:t>head self-attention module (</w:t>
      </w:r>
      <w:r w:rsidR="00831A23" w:rsidRPr="0002664F">
        <w:rPr>
          <w:rFonts w:asciiTheme="majorBidi" w:eastAsia="Times New Roman" w:hAnsiTheme="majorBidi" w:cstheme="majorBidi"/>
          <w:sz w:val="24"/>
          <w:szCs w:val="24"/>
          <w:highlight w:val="cyan"/>
        </w:rPr>
        <w:t xml:space="preserve">W-MSA), Multi-Layer Perceptron, and </w:t>
      </w:r>
      <w:r w:rsidR="00831A23" w:rsidRPr="0002664F">
        <w:rPr>
          <w:rFonts w:asciiTheme="majorBidi" w:hAnsiTheme="majorBidi" w:cstheme="majorBidi"/>
          <w:color w:val="000000"/>
          <w:sz w:val="24"/>
          <w:szCs w:val="24"/>
          <w:highlight w:val="cyan"/>
        </w:rPr>
        <w:t>shifted window multi</w:t>
      </w:r>
      <w:r w:rsidR="00831A23">
        <w:rPr>
          <w:rFonts w:asciiTheme="majorBidi" w:hAnsiTheme="majorBidi" w:cstheme="majorBidi"/>
          <w:color w:val="000000"/>
          <w:sz w:val="24"/>
          <w:szCs w:val="24"/>
          <w:highlight w:val="cyan"/>
        </w:rPr>
        <w:t>-</w:t>
      </w:r>
      <w:r w:rsidR="00831A23" w:rsidRPr="0002664F">
        <w:rPr>
          <w:rFonts w:asciiTheme="majorBidi" w:hAnsiTheme="majorBidi" w:cstheme="majorBidi"/>
          <w:color w:val="000000"/>
          <w:sz w:val="24"/>
          <w:szCs w:val="24"/>
          <w:highlight w:val="cyan"/>
        </w:rPr>
        <w:t>head self-attention module (</w:t>
      </w:r>
      <w:r w:rsidR="00831A23" w:rsidRPr="0002664F">
        <w:rPr>
          <w:rFonts w:asciiTheme="majorBidi" w:eastAsia="Times New Roman" w:hAnsiTheme="majorBidi" w:cstheme="majorBidi"/>
          <w:sz w:val="24"/>
          <w:szCs w:val="24"/>
          <w:highlight w:val="cyan"/>
        </w:rPr>
        <w:t xml:space="preserve">SW-MSA). </w:t>
      </w:r>
    </w:p>
    <w:p w14:paraId="3C132EDA" w14:textId="77777777" w:rsidR="004324F3" w:rsidRPr="005F1A1D" w:rsidRDefault="004324F3" w:rsidP="00E675AA">
      <w:pPr>
        <w:spacing w:after="0" w:line="240" w:lineRule="auto"/>
        <w:rPr>
          <w:rFonts w:ascii="NimbusRomNo9L-Regu" w:hAnsi="NimbusRomNo9L-Regu"/>
          <w:color w:val="000000"/>
          <w:sz w:val="20"/>
          <w:szCs w:val="20"/>
          <w:highlight w:val="cyan"/>
        </w:rPr>
      </w:pPr>
    </w:p>
    <w:p w14:paraId="16F582B7" w14:textId="77777777" w:rsidR="00497AF2" w:rsidRDefault="00497AF2" w:rsidP="00497AF2">
      <w:pPr>
        <w:spacing w:after="0" w:line="480" w:lineRule="auto"/>
        <w:jc w:val="both"/>
        <w:rPr>
          <w:rFonts w:asciiTheme="majorBidi" w:hAnsiTheme="majorBidi" w:cstheme="majorBidi"/>
          <w:color w:val="000000"/>
          <w:sz w:val="24"/>
          <w:szCs w:val="24"/>
          <w:highlight w:val="cyan"/>
        </w:rPr>
      </w:pPr>
      <w:r w:rsidRPr="005F1A1D">
        <w:rPr>
          <w:rFonts w:asciiTheme="majorBidi" w:hAnsiTheme="majorBidi" w:cstheme="majorBidi"/>
          <w:color w:val="000000"/>
          <w:sz w:val="24"/>
          <w:szCs w:val="24"/>
          <w:highlight w:val="cyan"/>
        </w:rPr>
        <w:t xml:space="preserve">The </w:t>
      </w:r>
      <w:r w:rsidRPr="006830C2">
        <w:rPr>
          <w:rFonts w:asciiTheme="majorBidi" w:hAnsiTheme="majorBidi" w:cstheme="majorBidi"/>
          <w:color w:val="000000"/>
          <w:sz w:val="24"/>
          <w:szCs w:val="24"/>
          <w:highlight w:val="cyan"/>
        </w:rPr>
        <w:t>S</w:t>
      </w:r>
      <w:r>
        <w:rPr>
          <w:rFonts w:asciiTheme="majorBidi" w:hAnsiTheme="majorBidi" w:cstheme="majorBidi"/>
          <w:color w:val="000000"/>
          <w:sz w:val="24"/>
          <w:szCs w:val="24"/>
          <w:highlight w:val="cyan"/>
        </w:rPr>
        <w:t>win</w:t>
      </w:r>
      <w:r w:rsidRPr="006830C2">
        <w:rPr>
          <w:rFonts w:asciiTheme="majorBidi" w:hAnsiTheme="majorBidi" w:cstheme="majorBidi"/>
          <w:color w:val="000000"/>
          <w:sz w:val="24"/>
          <w:szCs w:val="24"/>
          <w:highlight w:val="cyan"/>
        </w:rPr>
        <w:t xml:space="preserve"> </w:t>
      </w:r>
      <w:r w:rsidRPr="005F1A1D">
        <w:rPr>
          <w:rFonts w:asciiTheme="majorBidi" w:hAnsiTheme="majorBidi" w:cstheme="majorBidi"/>
          <w:color w:val="000000"/>
          <w:sz w:val="24"/>
          <w:szCs w:val="24"/>
          <w:highlight w:val="cyan"/>
        </w:rPr>
        <w:t>transformer block network</w:t>
      </w:r>
      <w:r>
        <w:rPr>
          <w:rFonts w:asciiTheme="majorBidi" w:hAnsiTheme="majorBidi" w:cstheme="majorBidi"/>
          <w:color w:val="000000"/>
          <w:sz w:val="24"/>
          <w:szCs w:val="24"/>
          <w:highlight w:val="cyan"/>
        </w:rPr>
        <w:t xml:space="preserve"> can be detailed as follows:</w:t>
      </w:r>
    </w:p>
    <w:p w14:paraId="63A455D5" w14:textId="68746C1F" w:rsidR="00497AF2" w:rsidRPr="005F1A1D" w:rsidRDefault="00497AF2" w:rsidP="00F71D0E">
      <w:pPr>
        <w:spacing w:after="0" w:line="480" w:lineRule="auto"/>
        <w:jc w:val="both"/>
        <w:rPr>
          <w:rFonts w:asciiTheme="majorBidi" w:hAnsiTheme="majorBidi" w:cstheme="majorBidi"/>
          <w:color w:val="000000"/>
          <w:sz w:val="24"/>
          <w:szCs w:val="24"/>
          <w:highlight w:val="cyan"/>
        </w:rPr>
      </w:pPr>
      <w:r w:rsidRPr="005F1A1D">
        <w:rPr>
          <w:rFonts w:asciiTheme="majorBidi" w:hAnsiTheme="majorBidi" w:cstheme="majorBidi"/>
          <w:color w:val="000000"/>
          <w:sz w:val="24"/>
          <w:szCs w:val="24"/>
          <w:highlight w:val="cyan"/>
        </w:rPr>
        <w:t xml:space="preserve">The network initiates its process with the patch partitioning layer, </w:t>
      </w:r>
      <w:r>
        <w:rPr>
          <w:rFonts w:asciiTheme="majorBidi" w:hAnsiTheme="majorBidi" w:cstheme="majorBidi"/>
          <w:color w:val="000000"/>
          <w:sz w:val="24"/>
          <w:szCs w:val="24"/>
          <w:highlight w:val="cyan"/>
        </w:rPr>
        <w:t>which</w:t>
      </w:r>
      <w:r w:rsidRPr="005F1A1D">
        <w:rPr>
          <w:rFonts w:asciiTheme="majorBidi" w:hAnsiTheme="majorBidi" w:cstheme="majorBidi"/>
          <w:color w:val="000000"/>
          <w:sz w:val="24"/>
          <w:szCs w:val="24"/>
          <w:highlight w:val="cyan"/>
        </w:rPr>
        <w:t xml:space="preserve"> divide</w:t>
      </w:r>
      <w:r>
        <w:rPr>
          <w:rFonts w:asciiTheme="majorBidi" w:hAnsiTheme="majorBidi" w:cstheme="majorBidi"/>
          <w:color w:val="000000"/>
          <w:sz w:val="24"/>
          <w:szCs w:val="24"/>
          <w:highlight w:val="cyan"/>
        </w:rPr>
        <w:t>s</w:t>
      </w:r>
      <w:r w:rsidRPr="005F1A1D">
        <w:rPr>
          <w:rFonts w:asciiTheme="majorBidi" w:hAnsiTheme="majorBidi" w:cstheme="majorBidi"/>
          <w:color w:val="000000"/>
          <w:sz w:val="24"/>
          <w:szCs w:val="24"/>
          <w:highlight w:val="cyan"/>
        </w:rPr>
        <w:t xml:space="preserve"> the input image into individual patches. </w:t>
      </w:r>
      <w:r>
        <w:rPr>
          <w:rFonts w:asciiTheme="majorBidi" w:hAnsiTheme="majorBidi" w:cstheme="majorBidi"/>
          <w:color w:val="000000"/>
          <w:sz w:val="24"/>
          <w:szCs w:val="24"/>
          <w:highlight w:val="cyan"/>
        </w:rPr>
        <w:t>Subsequently</w:t>
      </w:r>
      <w:r w:rsidRPr="005F1A1D">
        <w:rPr>
          <w:rFonts w:asciiTheme="majorBidi" w:hAnsiTheme="majorBidi" w:cstheme="majorBidi"/>
          <w:color w:val="000000"/>
          <w:sz w:val="24"/>
          <w:szCs w:val="24"/>
          <w:highlight w:val="cyan"/>
        </w:rPr>
        <w:t xml:space="preserve">, the linear embedding layer reduces the dimension of the </w:t>
      </w:r>
      <w:r w:rsidRPr="005F1A1D">
        <w:rPr>
          <w:rFonts w:asciiTheme="majorBidi" w:hAnsiTheme="majorBidi" w:cstheme="majorBidi"/>
          <w:color w:val="000000"/>
          <w:sz w:val="24"/>
          <w:szCs w:val="24"/>
          <w:highlight w:val="cyan"/>
        </w:rPr>
        <w:lastRenderedPageBreak/>
        <w:t>patches by projecting them into a C-dimensional space. The Swin Transformer Block consists of two main modules: the window multi</w:t>
      </w:r>
      <w:r w:rsidR="00F71D0E">
        <w:rPr>
          <w:rFonts w:asciiTheme="majorBidi" w:hAnsiTheme="majorBidi" w:cstheme="majorBidi"/>
          <w:color w:val="000000"/>
          <w:sz w:val="24"/>
          <w:szCs w:val="24"/>
          <w:highlight w:val="cyan"/>
        </w:rPr>
        <w:t>-</w:t>
      </w:r>
      <w:r w:rsidRPr="005F1A1D">
        <w:rPr>
          <w:rFonts w:asciiTheme="majorBidi" w:hAnsiTheme="majorBidi" w:cstheme="majorBidi"/>
          <w:color w:val="000000"/>
          <w:sz w:val="24"/>
          <w:szCs w:val="24"/>
          <w:highlight w:val="cyan"/>
        </w:rPr>
        <w:t xml:space="preserve">head self-attention module (W-MSA) and the </w:t>
      </w:r>
      <w:r w:rsidR="00F71D0E">
        <w:rPr>
          <w:rFonts w:asciiTheme="majorBidi" w:hAnsiTheme="majorBidi" w:cstheme="majorBidi"/>
          <w:color w:val="000000"/>
          <w:sz w:val="24"/>
          <w:szCs w:val="24"/>
          <w:highlight w:val="cyan"/>
        </w:rPr>
        <w:t>shifted</w:t>
      </w:r>
      <w:r w:rsidRPr="005F1A1D">
        <w:rPr>
          <w:rFonts w:asciiTheme="majorBidi" w:hAnsiTheme="majorBidi" w:cstheme="majorBidi"/>
          <w:color w:val="000000"/>
          <w:sz w:val="24"/>
          <w:szCs w:val="24"/>
          <w:highlight w:val="cyan"/>
        </w:rPr>
        <w:t xml:space="preserve"> window multi</w:t>
      </w:r>
      <w:r w:rsidR="00F71D0E">
        <w:rPr>
          <w:rFonts w:asciiTheme="majorBidi" w:hAnsiTheme="majorBidi" w:cstheme="majorBidi"/>
          <w:color w:val="000000"/>
          <w:sz w:val="24"/>
          <w:szCs w:val="24"/>
          <w:highlight w:val="cyan"/>
        </w:rPr>
        <w:t>-</w:t>
      </w:r>
      <w:r w:rsidRPr="005F1A1D">
        <w:rPr>
          <w:rFonts w:asciiTheme="majorBidi" w:hAnsiTheme="majorBidi" w:cstheme="majorBidi"/>
          <w:color w:val="000000"/>
          <w:sz w:val="24"/>
          <w:szCs w:val="24"/>
          <w:highlight w:val="cyan"/>
        </w:rPr>
        <w:t xml:space="preserve">head self-attention module (SW-MSA). The input data </w:t>
      </w:r>
      <w:r>
        <w:rPr>
          <w:rFonts w:asciiTheme="majorBidi" w:hAnsiTheme="majorBidi" w:cstheme="majorBidi"/>
          <w:color w:val="000000"/>
          <w:sz w:val="24"/>
          <w:szCs w:val="24"/>
          <w:highlight w:val="cyan"/>
        </w:rPr>
        <w:t>first under</w:t>
      </w:r>
      <w:r w:rsidRPr="005F1A1D">
        <w:rPr>
          <w:rFonts w:asciiTheme="majorBidi" w:hAnsiTheme="majorBidi" w:cstheme="majorBidi"/>
          <w:color w:val="000000"/>
          <w:sz w:val="24"/>
          <w:szCs w:val="24"/>
          <w:highlight w:val="cyan"/>
        </w:rPr>
        <w:t xml:space="preserve">goes through the </w:t>
      </w:r>
      <w:proofErr w:type="spellStart"/>
      <w:r w:rsidRPr="005F1A1D">
        <w:rPr>
          <w:rFonts w:asciiTheme="majorBidi" w:hAnsiTheme="majorBidi" w:cstheme="majorBidi"/>
          <w:color w:val="000000"/>
          <w:sz w:val="24"/>
          <w:szCs w:val="24"/>
          <w:highlight w:val="cyan"/>
        </w:rPr>
        <w:t>LayerNorm</w:t>
      </w:r>
      <w:proofErr w:type="spellEnd"/>
      <w:r w:rsidRPr="005F1A1D">
        <w:rPr>
          <w:rFonts w:asciiTheme="majorBidi" w:hAnsiTheme="majorBidi" w:cstheme="majorBidi"/>
          <w:color w:val="000000"/>
          <w:sz w:val="24"/>
          <w:szCs w:val="24"/>
          <w:highlight w:val="cyan"/>
        </w:rPr>
        <w:t xml:space="preserve"> (LN) layer to normalize</w:t>
      </w:r>
      <w:r w:rsidRPr="005F1A1D">
        <w:rPr>
          <w:rFonts w:asciiTheme="majorBidi" w:eastAsia="Times New Roman" w:hAnsiTheme="majorBidi" w:cstheme="majorBidi"/>
          <w:sz w:val="24"/>
          <w:szCs w:val="24"/>
          <w:highlight w:val="cyan"/>
        </w:rPr>
        <w:t xml:space="preserve"> the activation values of the output from the previous layer and mitigate the problem of gradients vanishing. </w:t>
      </w:r>
      <w:r>
        <w:rPr>
          <w:rFonts w:asciiTheme="majorBidi" w:eastAsia="Times New Roman" w:hAnsiTheme="majorBidi" w:cstheme="majorBidi"/>
          <w:sz w:val="24"/>
          <w:szCs w:val="24"/>
          <w:highlight w:val="cyan"/>
        </w:rPr>
        <w:t>T</w:t>
      </w:r>
      <w:r w:rsidRPr="005F1A1D">
        <w:rPr>
          <w:rFonts w:asciiTheme="majorBidi" w:eastAsia="Times New Roman" w:hAnsiTheme="majorBidi" w:cstheme="majorBidi"/>
          <w:sz w:val="24"/>
          <w:szCs w:val="24"/>
          <w:highlight w:val="cyan"/>
        </w:rPr>
        <w:t xml:space="preserve">he output of LN is </w:t>
      </w:r>
      <w:r>
        <w:rPr>
          <w:rFonts w:asciiTheme="majorBidi" w:eastAsia="Times New Roman" w:hAnsiTheme="majorBidi" w:cstheme="majorBidi"/>
          <w:sz w:val="24"/>
          <w:szCs w:val="24"/>
          <w:highlight w:val="cyan"/>
        </w:rPr>
        <w:t>then directed</w:t>
      </w:r>
      <w:r w:rsidRPr="005F1A1D">
        <w:rPr>
          <w:rFonts w:asciiTheme="majorBidi" w:eastAsia="Times New Roman" w:hAnsiTheme="majorBidi" w:cstheme="majorBidi"/>
          <w:sz w:val="24"/>
          <w:szCs w:val="24"/>
          <w:highlight w:val="cyan"/>
        </w:rPr>
        <w:t xml:space="preserve"> into either the W-MSA layer or the SW-MSA layer. Compared to multi-headed self-attention (MSA), W-MSA offers significant computational savings by calculating each window independently. </w:t>
      </w:r>
    </w:p>
    <w:p w14:paraId="327DC4CA" w14:textId="77777777" w:rsidR="00497AF2" w:rsidRDefault="00497AF2" w:rsidP="00250D55">
      <w:pPr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F1A1D">
        <w:rPr>
          <w:rFonts w:asciiTheme="majorBidi" w:eastAsia="Times New Roman" w:hAnsiTheme="majorBidi" w:cstheme="majorBidi"/>
          <w:sz w:val="24"/>
          <w:szCs w:val="24"/>
          <w:highlight w:val="cyan"/>
        </w:rPr>
        <w:t>While W-MSA reduces computation, it leads to limited information exchange between windows. To address this issue, SW-MSA is computed in subsequent blocks. Shifting the window down and right by half its size and recalculating W-MSA for the moved window facilitates information communication between windows. Consequently, the pairing of W-MSA and SW-MSA becomes necessary. After passing through either the W-MSA layer or the SW-MSA layer, the sequence proceeds through a batch normalization (BN) layer and concludes with a multilayer perceptron (MLP) for feature mapping, ultimately obtaining the final output. The Swin Transformer incorporates residual links to address the challenge of gradient vanishing. A patch merging layer is utilized to reduce the resolution by a factor of 2. Within this layer, the input undergoes splitting into regions of size 4 x 4 x 4, and voxels occupying identical positions within each region are merged to create a new patch. Linking these patches along the channel dimension alter</w:t>
      </w:r>
      <w:r>
        <w:rPr>
          <w:rFonts w:asciiTheme="majorBidi" w:eastAsia="Times New Roman" w:hAnsiTheme="majorBidi" w:cstheme="majorBidi"/>
          <w:sz w:val="24"/>
          <w:szCs w:val="24"/>
          <w:highlight w:val="cyan"/>
        </w:rPr>
        <w:t>s</w:t>
      </w:r>
      <w:r w:rsidRPr="005F1A1D">
        <w:rPr>
          <w:rFonts w:asciiTheme="majorBidi" w:eastAsia="Times New Roman" w:hAnsiTheme="majorBidi" w:cstheme="majorBidi"/>
          <w:sz w:val="24"/>
          <w:szCs w:val="24"/>
          <w:highlight w:val="cyan"/>
        </w:rPr>
        <w:t xml:space="preserve"> the input image size from (W, H, D, C) to (W/2, H/2, D/2, 4C). Subsequently, a linear layer is employed to </w:t>
      </w:r>
      <w:proofErr w:type="spellStart"/>
      <w:r w:rsidRPr="005F1A1D">
        <w:rPr>
          <w:rFonts w:asciiTheme="majorBidi" w:eastAsia="Times New Roman" w:hAnsiTheme="majorBidi" w:cstheme="majorBidi"/>
          <w:sz w:val="24"/>
          <w:szCs w:val="24"/>
          <w:highlight w:val="cyan"/>
        </w:rPr>
        <w:t>downsample</w:t>
      </w:r>
      <w:proofErr w:type="spellEnd"/>
      <w:r w:rsidRPr="005F1A1D">
        <w:rPr>
          <w:rFonts w:asciiTheme="majorBidi" w:eastAsia="Times New Roman" w:hAnsiTheme="majorBidi" w:cstheme="majorBidi"/>
          <w:sz w:val="24"/>
          <w:szCs w:val="24"/>
          <w:highlight w:val="cyan"/>
        </w:rPr>
        <w:t xml:space="preserve"> the resolution by reducing the dimension to 2C.</w:t>
      </w:r>
    </w:p>
    <w:p w14:paraId="31DF6A1C" w14:textId="77777777" w:rsidR="004324F3" w:rsidRDefault="004324F3" w:rsidP="00497AF2">
      <w:pPr>
        <w:spacing w:after="0" w:line="480" w:lineRule="auto"/>
        <w:rPr>
          <w:rFonts w:ascii="NimbusRomNo9L-Regu" w:hAnsi="NimbusRomNo9L-Regu"/>
          <w:color w:val="000000"/>
          <w:sz w:val="20"/>
          <w:szCs w:val="20"/>
        </w:rPr>
      </w:pPr>
    </w:p>
    <w:sectPr w:rsidR="004324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mbusRomNo9L-Reg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E4"/>
    <w:rsid w:val="001C4726"/>
    <w:rsid w:val="001D2B06"/>
    <w:rsid w:val="001D7431"/>
    <w:rsid w:val="00250D55"/>
    <w:rsid w:val="00314F15"/>
    <w:rsid w:val="004324F3"/>
    <w:rsid w:val="00432505"/>
    <w:rsid w:val="00497AF2"/>
    <w:rsid w:val="00505B05"/>
    <w:rsid w:val="00547B88"/>
    <w:rsid w:val="00560550"/>
    <w:rsid w:val="00585F1A"/>
    <w:rsid w:val="005F1A1D"/>
    <w:rsid w:val="006830C2"/>
    <w:rsid w:val="006B75E0"/>
    <w:rsid w:val="00736339"/>
    <w:rsid w:val="00831A23"/>
    <w:rsid w:val="008453B5"/>
    <w:rsid w:val="00867879"/>
    <w:rsid w:val="00896950"/>
    <w:rsid w:val="00953F51"/>
    <w:rsid w:val="009778E1"/>
    <w:rsid w:val="00996C2B"/>
    <w:rsid w:val="009E5239"/>
    <w:rsid w:val="00AA6E03"/>
    <w:rsid w:val="00AE19D2"/>
    <w:rsid w:val="00BD0FDE"/>
    <w:rsid w:val="00BD1256"/>
    <w:rsid w:val="00C37D08"/>
    <w:rsid w:val="00C45E53"/>
    <w:rsid w:val="00C53EE5"/>
    <w:rsid w:val="00CF1EDA"/>
    <w:rsid w:val="00D3437F"/>
    <w:rsid w:val="00D8772A"/>
    <w:rsid w:val="00E33D70"/>
    <w:rsid w:val="00E4128C"/>
    <w:rsid w:val="00E675AA"/>
    <w:rsid w:val="00EA1264"/>
    <w:rsid w:val="00EF4C6C"/>
    <w:rsid w:val="00F71D0E"/>
    <w:rsid w:val="00F763E4"/>
    <w:rsid w:val="00FC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E981C5"/>
  <w15:chartTrackingRefBased/>
  <w15:docId w15:val="{9F3D1F02-B486-4499-B53F-7FEFA5CE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3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6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63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3F7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E675AA"/>
    <w:rPr>
      <w:rFonts w:ascii="NimbusRomNo9L-Regu" w:hAnsi="NimbusRomNo9L-Regu" w:hint="default"/>
      <w:b w:val="0"/>
      <w:bCs w:val="0"/>
      <w:i w:val="0"/>
      <w:iCs w:val="0"/>
      <w:color w:val="000000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432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4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4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4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7155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0632351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7149460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739159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434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94234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8381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1381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08556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48674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89603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5679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1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E94486C-7C06-4CB2-A59F-9CBE03A0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Yazdani</dc:creator>
  <cp:keywords/>
  <dc:description/>
  <cp:lastModifiedBy>Mahdi Sadeghi</cp:lastModifiedBy>
  <cp:revision>32</cp:revision>
  <dcterms:created xsi:type="dcterms:W3CDTF">2023-12-29T15:46:00Z</dcterms:created>
  <dcterms:modified xsi:type="dcterms:W3CDTF">2024-01-26T16:13:00Z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815fcf678768544cb0996c87e119c9e6c3fd25360697bccd5feeca5cf422f224</vt:lpwstr>
  </property>
</Properties>
</file>