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CFDD0D">
      <w:pPr>
        <w:keepNext w:val="0"/>
        <w:keepLines w:val="0"/>
        <w:widowControl/>
        <w:numPr>
          <w:ilvl w:val="0"/>
          <w:numId w:val="0"/>
        </w:numPr>
        <w:suppressLineNumbers w:val="0"/>
        <w:jc w:val="center"/>
        <w:rPr>
          <w:rFonts w:hint="default" w:ascii="Times New Roman Bold" w:hAnsi="Times New Roman Bold" w:eastAsia="AdvTTa9c1b374" w:cs="Times New Roman Bold"/>
          <w:b/>
          <w:bCs/>
          <w:sz w:val="21"/>
          <w:szCs w:val="21"/>
          <w:lang w:val="en-US" w:eastAsia="zh-CN"/>
        </w:rPr>
      </w:pPr>
      <w:r>
        <w:rPr>
          <w:rFonts w:hint="eastAsia" w:ascii="Times New Roman Bold" w:hAnsi="Times New Roman Bold" w:eastAsia="AdvTTa9c1b374" w:cs="Times New Roman Bold"/>
          <w:b/>
          <w:bCs/>
          <w:sz w:val="24"/>
          <w:szCs w:val="24"/>
          <w:lang w:val="en-US" w:eastAsia="zh-CN"/>
        </w:rPr>
        <w:t>Supplementary file 4</w:t>
      </w:r>
      <w:bookmarkStart w:id="0" w:name="_GoBack"/>
      <w:bookmarkEnd w:id="0"/>
    </w:p>
    <w:p w14:paraId="7E23A10F">
      <w:pPr>
        <w:keepNext w:val="0"/>
        <w:keepLines w:val="0"/>
        <w:widowControl/>
        <w:numPr>
          <w:ilvl w:val="0"/>
          <w:numId w:val="0"/>
        </w:numPr>
        <w:suppressLineNumbers w:val="0"/>
        <w:jc w:val="both"/>
        <w:rPr>
          <w:rFonts w:hint="default" w:ascii="Times New Roman Bold" w:hAnsi="Times New Roman Bold" w:eastAsia="AdvTTa9c1b374" w:cs="Times New Roman Bold"/>
          <w:b/>
          <w:bCs/>
          <w:sz w:val="21"/>
          <w:szCs w:val="21"/>
          <w:lang w:val="en-US" w:eastAsia="zh-CN"/>
        </w:rPr>
      </w:pPr>
      <w:r>
        <w:rPr>
          <w:rFonts w:hint="default" w:ascii="Times New Roman Bold" w:hAnsi="Times New Roman Bold" w:eastAsia="AdvTTa9c1b374" w:cs="Times New Roman Bold"/>
          <w:b/>
          <w:bCs/>
          <w:sz w:val="21"/>
          <w:szCs w:val="21"/>
          <w:lang w:val="en-US" w:eastAsia="zh-CN"/>
        </w:rPr>
        <w:drawing>
          <wp:inline distT="0" distB="0" distL="114300" distR="114300">
            <wp:extent cx="5266690" cy="2962910"/>
            <wp:effectExtent l="0" t="0" r="16510" b="8890"/>
            <wp:docPr id="1" name="图片 1" descr="Supplementary 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ary Figure S4"/>
                    <pic:cNvPicPr>
                      <a:picLocks noChangeAspect="1"/>
                    </pic:cNvPicPr>
                  </pic:nvPicPr>
                  <pic:blipFill>
                    <a:blip r:embed="rId4"/>
                    <a:stretch>
                      <a:fillRect/>
                    </a:stretch>
                  </pic:blipFill>
                  <pic:spPr>
                    <a:xfrm>
                      <a:off x="0" y="0"/>
                      <a:ext cx="5266690" cy="2962910"/>
                    </a:xfrm>
                    <a:prstGeom prst="rect">
                      <a:avLst/>
                    </a:prstGeom>
                  </pic:spPr>
                </pic:pic>
              </a:graphicData>
            </a:graphic>
          </wp:inline>
        </w:drawing>
      </w:r>
    </w:p>
    <w:p w14:paraId="16A26F66">
      <w:pPr>
        <w:keepNext w:val="0"/>
        <w:keepLines w:val="0"/>
        <w:widowControl/>
        <w:numPr>
          <w:ilvl w:val="0"/>
          <w:numId w:val="0"/>
        </w:numPr>
        <w:suppressLineNumbers w:val="0"/>
        <w:jc w:val="both"/>
        <w:rPr>
          <w:rFonts w:hint="eastAsia" w:ascii="Times New Roman Regular" w:hAnsi="Times New Roman Regular" w:eastAsia="AdvTTa9c1b374" w:cs="Times New Roman Regular"/>
          <w:sz w:val="21"/>
          <w:szCs w:val="21"/>
          <w:lang w:val="en-US" w:eastAsia="zh-CN"/>
        </w:rPr>
      </w:pPr>
      <w:r>
        <w:rPr>
          <w:rFonts w:hint="eastAsia" w:ascii="Times New Roman Bold" w:hAnsi="Times New Roman Bold" w:eastAsia="AdvTTa9c1b374" w:cs="Times New Roman Bold"/>
          <w:b/>
          <w:bCs/>
          <w:sz w:val="21"/>
          <w:szCs w:val="21"/>
          <w:lang w:val="en-US" w:eastAsia="zh-CN"/>
        </w:rPr>
        <w:t xml:space="preserve">Figure S4. </w:t>
      </w:r>
      <w:r>
        <w:rPr>
          <w:rFonts w:hint="default" w:ascii="Times New Roman Bold" w:hAnsi="Times New Roman Bold" w:eastAsia="AdvTTa9c1b374" w:cs="Times New Roman Bold"/>
          <w:b/>
          <w:bCs/>
          <w:sz w:val="21"/>
          <w:szCs w:val="21"/>
          <w:lang w:val="en-US" w:eastAsia="zh-CN"/>
        </w:rPr>
        <w:t>The nomogram for prediction</w:t>
      </w:r>
      <w:r>
        <w:rPr>
          <w:rFonts w:hint="eastAsia" w:ascii="Times New Roman Bold" w:hAnsi="Times New Roman Bold" w:eastAsia="AdvTTa9c1b374" w:cs="Times New Roman Bold"/>
          <w:b/>
          <w:bCs/>
          <w:sz w:val="21"/>
          <w:szCs w:val="21"/>
          <w:lang w:val="en-US" w:eastAsia="zh-CN"/>
        </w:rPr>
        <w:t xml:space="preserve"> metastatic LNs</w:t>
      </w:r>
      <w:r>
        <w:rPr>
          <w:rFonts w:hint="default" w:ascii="Times New Roman Bold" w:hAnsi="Times New Roman Bold" w:eastAsia="AdvTTa9c1b374" w:cs="Times New Roman Bold"/>
          <w:b/>
          <w:bCs/>
          <w:sz w:val="21"/>
          <w:szCs w:val="21"/>
          <w:lang w:val="en-US" w:eastAsia="zh-CN"/>
        </w:rPr>
        <w:t xml:space="preserve"> of a patient with </w:t>
      </w:r>
      <w:r>
        <w:rPr>
          <w:rFonts w:hint="eastAsia" w:ascii="Times New Roman Bold" w:hAnsi="Times New Roman Bold" w:eastAsia="AdvTTa9c1b374" w:cs="Times New Roman Bold"/>
          <w:b/>
          <w:bCs/>
          <w:sz w:val="21"/>
          <w:szCs w:val="21"/>
          <w:lang w:val="en-US" w:eastAsia="zh-CN"/>
        </w:rPr>
        <w:t xml:space="preserve">DTC. </w:t>
      </w:r>
      <w:r>
        <w:rPr>
          <w:rFonts w:hint="default" w:ascii="Times New Roman Regular" w:hAnsi="Times New Roman Regular" w:eastAsia="AdvTTa9c1b374" w:cs="Times New Roman Regular"/>
          <w:sz w:val="21"/>
          <w:szCs w:val="21"/>
        </w:rPr>
        <w:t xml:space="preserve">A </w:t>
      </w:r>
      <w:r>
        <w:rPr>
          <w:rFonts w:hint="eastAsia" w:ascii="Times New Roman Regular" w:hAnsi="Times New Roman Regular" w:eastAsia="AdvTTa9c1b374" w:cs="Times New Roman Regular"/>
          <w:sz w:val="21"/>
          <w:szCs w:val="21"/>
          <w:lang w:val="en-US" w:eastAsia="zh-CN"/>
        </w:rPr>
        <w:t>42</w:t>
      </w:r>
      <w:r>
        <w:rPr>
          <w:rFonts w:hint="default" w:ascii="Times New Roman Regular" w:hAnsi="Times New Roman Regular" w:eastAsia="AdvTTa9c1b374+20" w:cs="Times New Roman Regular"/>
          <w:sz w:val="21"/>
          <w:szCs w:val="21"/>
        </w:rPr>
        <w:t>‐</w:t>
      </w:r>
      <w:r>
        <w:rPr>
          <w:rFonts w:hint="default" w:ascii="Times New Roman Regular" w:hAnsi="Times New Roman Regular" w:eastAsia="AdvTTa9c1b374" w:cs="Times New Roman Regular"/>
          <w:sz w:val="21"/>
          <w:szCs w:val="21"/>
        </w:rPr>
        <w:t>year</w:t>
      </w:r>
      <w:r>
        <w:rPr>
          <w:rFonts w:hint="default" w:ascii="Times New Roman Regular" w:hAnsi="Times New Roman Regular" w:eastAsia="AdvTTa9c1b374+20" w:cs="Times New Roman Regular"/>
          <w:sz w:val="21"/>
          <w:szCs w:val="21"/>
        </w:rPr>
        <w:t>‐</w:t>
      </w:r>
      <w:r>
        <w:rPr>
          <w:rFonts w:hint="default" w:ascii="Times New Roman Regular" w:hAnsi="Times New Roman Regular" w:eastAsia="AdvTTa9c1b374" w:cs="Times New Roman Regular"/>
          <w:sz w:val="21"/>
          <w:szCs w:val="21"/>
        </w:rPr>
        <w:t>old patient</w:t>
      </w:r>
      <w:r>
        <w:rPr>
          <w:rFonts w:hint="eastAsia" w:ascii="Times New Roman Regular" w:hAnsi="Times New Roman Regular" w:eastAsia="AdvTTa9c1b374" w:cs="Times New Roman Regular"/>
          <w:sz w:val="21"/>
          <w:szCs w:val="21"/>
          <w:lang w:val="en-US" w:eastAsia="zh-CN"/>
        </w:rPr>
        <w:t xml:space="preserve"> (10 points)</w:t>
      </w:r>
      <w:r>
        <w:rPr>
          <w:rFonts w:hint="default" w:ascii="Times New Roman Regular" w:hAnsi="Times New Roman Regular" w:eastAsia="AdvTTa9c1b374" w:cs="Times New Roman Regular"/>
          <w:sz w:val="21"/>
          <w:szCs w:val="21"/>
        </w:rPr>
        <w:t xml:space="preserve"> had a primary </w:t>
      </w:r>
      <w:r>
        <w:rPr>
          <w:rFonts w:hint="eastAsia" w:ascii="Times New Roman Regular" w:hAnsi="Times New Roman Regular" w:eastAsia="AdvTTa9c1b374" w:cs="Times New Roman Regular"/>
          <w:sz w:val="21"/>
          <w:szCs w:val="21"/>
          <w:lang w:val="en-US" w:eastAsia="zh-CN"/>
        </w:rPr>
        <w:t>P</w:t>
      </w:r>
      <w:r>
        <w:rPr>
          <w:rFonts w:hint="default" w:ascii="Times New Roman Regular" w:hAnsi="Times New Roman Regular" w:eastAsia="AdvTTa9c1b374" w:cs="Times New Roman Regular"/>
          <w:sz w:val="21"/>
          <w:szCs w:val="21"/>
        </w:rPr>
        <w:t xml:space="preserve">TC </w:t>
      </w:r>
      <w:r>
        <w:rPr>
          <w:rFonts w:hint="eastAsia" w:ascii="Times New Roman Regular" w:hAnsi="Times New Roman Regular" w:eastAsia="AdvTTa9c1b374" w:cs="Times New Roman Regular"/>
          <w:sz w:val="21"/>
          <w:szCs w:val="21"/>
          <w:lang w:val="en-US" w:eastAsia="zh-CN"/>
        </w:rPr>
        <w:t>at right thyroid lobe (13 points).</w:t>
      </w:r>
      <w:r>
        <w:rPr>
          <w:rFonts w:hint="default" w:ascii="Times New Roman Regular" w:hAnsi="Times New Roman Regular" w:eastAsia="AdvTTa9c1b374" w:cs="Times New Roman Regular"/>
          <w:sz w:val="21"/>
          <w:szCs w:val="21"/>
        </w:rPr>
        <w:t xml:space="preserve"> </w:t>
      </w:r>
      <w:r>
        <w:rPr>
          <w:rFonts w:hint="eastAsia" w:ascii="Times New Roman Regular" w:hAnsi="Times New Roman Regular" w:eastAsia="AdvTTa9c1b374" w:cs="Times New Roman Regular"/>
          <w:sz w:val="21"/>
          <w:szCs w:val="21"/>
          <w:lang w:val="en-US" w:eastAsia="zh-CN"/>
        </w:rPr>
        <w:t xml:space="preserve">Ultrasound examination showed a suspicious LN at right III region (0 point). The long diameter and short axis of the LN were 95mm and 25mm (8 points), respectively. The LN was absence of hilum (21 points) and presence of focal hyperecho (19 points) inside. The CDFI showed mixed blood flow in LN (33 points). The Rad-score was calculated as 0.5 (50 points). </w:t>
      </w:r>
      <w:r>
        <w:rPr>
          <w:rFonts w:hint="default" w:ascii="Times New Roman Regular" w:hAnsi="Times New Roman Regular" w:eastAsia="AdvTTa9c1b374" w:cs="Times New Roman Regular"/>
          <w:sz w:val="21"/>
          <w:szCs w:val="21"/>
        </w:rPr>
        <w:t>To use the nomogram, the specific points</w:t>
      </w:r>
      <w:r>
        <w:rPr>
          <w:rFonts w:hint="eastAsia" w:ascii="Times New Roman Regular" w:hAnsi="Times New Roman Regular" w:eastAsia="AdvTTa9c1b374" w:cs="Times New Roman Regular"/>
          <w:sz w:val="21"/>
          <w:szCs w:val="21"/>
          <w:lang w:val="en-US" w:eastAsia="zh-CN"/>
        </w:rPr>
        <w:t xml:space="preserve"> </w:t>
      </w:r>
      <w:r>
        <w:rPr>
          <w:rFonts w:hint="default" w:ascii="Times New Roman Regular" w:hAnsi="Times New Roman Regular" w:eastAsia="AdvTTa9c1b374" w:cs="Times New Roman Regular"/>
          <w:sz w:val="21"/>
          <w:szCs w:val="21"/>
        </w:rPr>
        <w:t>were located on each variable axis. Red lines were drawn upward to determine the points received by each variable; the sum of these points (</w:t>
      </w:r>
      <w:r>
        <w:rPr>
          <w:rFonts w:hint="eastAsia" w:ascii="Times New Roman Regular" w:hAnsi="Times New Roman Regular" w:eastAsia="AdvTTa9c1b374" w:cs="Times New Roman Regular"/>
          <w:sz w:val="21"/>
          <w:szCs w:val="21"/>
          <w:lang w:val="en-US" w:eastAsia="zh-CN"/>
        </w:rPr>
        <w:t>154 points</w:t>
      </w:r>
      <w:r>
        <w:rPr>
          <w:rFonts w:hint="default" w:ascii="Times New Roman Regular" w:hAnsi="Times New Roman Regular" w:eastAsia="AdvTTa9c1b374" w:cs="Times New Roman Regular"/>
          <w:sz w:val="21"/>
          <w:szCs w:val="21"/>
        </w:rPr>
        <w:t xml:space="preserve">) was located on the Total Points axis, and a line was drawn downward to </w:t>
      </w:r>
      <w:r>
        <w:rPr>
          <w:rFonts w:hint="eastAsia" w:ascii="Times New Roman Regular" w:hAnsi="Times New Roman Regular" w:eastAsia="AdvTTa9c1b374" w:cs="Times New Roman Regular"/>
          <w:sz w:val="21"/>
          <w:szCs w:val="21"/>
          <w:lang w:val="en-US" w:eastAsia="zh-CN"/>
        </w:rPr>
        <w:t>Risk</w:t>
      </w:r>
      <w:r>
        <w:rPr>
          <w:rFonts w:hint="default" w:ascii="Times New Roman Regular" w:hAnsi="Times New Roman Regular" w:eastAsia="AdvTTa9c1b374" w:cs="Times New Roman Regular"/>
          <w:sz w:val="21"/>
          <w:szCs w:val="21"/>
        </w:rPr>
        <w:t xml:space="preserve"> axis to determine the probability of </w:t>
      </w:r>
      <w:r>
        <w:rPr>
          <w:rFonts w:hint="eastAsia" w:ascii="Times New Roman Regular" w:hAnsi="Times New Roman Regular" w:eastAsia="AdvTTa9c1b374" w:cs="Times New Roman Regular"/>
          <w:sz w:val="21"/>
          <w:szCs w:val="21"/>
          <w:lang w:val="en-US" w:eastAsia="zh-CN"/>
        </w:rPr>
        <w:t>metastatic LNs. DTC: differentiated thyroid cancer; LNs: lymph nodes; CDFI: color doppler flow imaging.</w:t>
      </w:r>
    </w:p>
    <w:p w14:paraId="6A9389B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panose1 w:val="020F0702030404030204"/>
    <w:charset w:val="00"/>
    <w:family w:val="swiss"/>
    <w:pitch w:val="default"/>
    <w:sig w:usb0="E10002FF" w:usb1="4000ACFF" w:usb2="00000009" w:usb3="00000000" w:csb0="2000019F" w:csb1="00000000"/>
  </w:font>
  <w:font w:name="Times New Roman Bold">
    <w:panose1 w:val="02020703060505090304"/>
    <w:charset w:val="00"/>
    <w:family w:val="auto"/>
    <w:pitch w:val="default"/>
    <w:sig w:usb0="E0000AFF" w:usb1="00007843" w:usb2="00000001" w:usb3="00000000" w:csb0="400001BF" w:csb1="DFF70000"/>
  </w:font>
  <w:font w:name="AdvTTa9c1b374">
    <w:altName w:val="苹方-简"/>
    <w:panose1 w:val="00000000000000000000"/>
    <w:charset w:val="00"/>
    <w:family w:val="auto"/>
    <w:pitch w:val="default"/>
    <w:sig w:usb0="00000000" w:usb1="00000000" w:usb2="00000000" w:usb3="00000000" w:csb0="00000000" w:csb1="00000000"/>
  </w:font>
  <w:font w:name="Times New Roman Regular">
    <w:panose1 w:val="02020703060505090304"/>
    <w:charset w:val="00"/>
    <w:family w:val="auto"/>
    <w:pitch w:val="default"/>
    <w:sig w:usb0="E0000AFF" w:usb1="00007843" w:usb2="00000001" w:usb3="00000000" w:csb0="400001BF" w:csb1="DFF70000"/>
  </w:font>
  <w:font w:name="AdvTTa9c1b374+20">
    <w:altName w:val="苹方-简"/>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A00002FF" w:usb1="7ACFFDFB" w:usb2="00000017" w:usb3="00000000" w:csb0="00040001"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E760B2"/>
    <w:rsid w:val="37F12796"/>
    <w:rsid w:val="5B3FAE80"/>
    <w:rsid w:val="7BE760B2"/>
    <w:rsid w:val="7FFF74D5"/>
    <w:rsid w:val="F6E3D729"/>
    <w:rsid w:val="F9FF82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Office_6.14.0.8924_F1E327BC-269C-435d-A152-05C5408002CA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2024-12-22T06:40:00Z</dcterms:created>
  <dc:creator>Tang Jiajia</dc:creator>
  <cp:lastModifiedBy>Tang Jiajia</cp:lastModifiedBy>
  <dcterms:modified xsi:type="dcterms:W3CDTF">2024-12-27T21:12:23Z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2052-6.14.0.8924</vt:lpwstr>
  </property>
  <property fmtid="{D5CDD505-2E9C-101B-9397-08002B2CF9AE}" pid="3" name="ICV">
    <vt:lpwstr>0D396ECADA228389CD626667EF0040EB_41</vt:lpwstr>
  </property>
</Properties>
</file>