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245006" w14:textId="77777777" w:rsidR="001862BF" w:rsidRDefault="001862BF" w:rsidP="001D6F4B">
      <w:pPr>
        <w:spacing w:line="36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1862BF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Supplemental Materials</w:t>
      </w:r>
    </w:p>
    <w:p w14:paraId="5967A48F" w14:textId="7820E467" w:rsidR="00A25596" w:rsidRDefault="00A25596" w:rsidP="001D6F4B">
      <w:pPr>
        <w:spacing w:line="36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</w:pPr>
      <w:r w:rsidRPr="001862BF">
        <w:rPr>
          <w:rFonts w:ascii="Times New Roman" w:eastAsia="宋体" w:hAnsi="Times New Roman" w:cs="Times New Roman"/>
          <w:b/>
          <w:bCs/>
          <w:color w:val="000000" w:themeColor="text1"/>
          <w:sz w:val="24"/>
          <w:szCs w:val="24"/>
        </w:rPr>
        <w:t>Materials and methods</w:t>
      </w:r>
    </w:p>
    <w:p w14:paraId="269E2E0A" w14:textId="6012A748" w:rsidR="001862BF" w:rsidRPr="00A25596" w:rsidRDefault="001862BF" w:rsidP="001D6F4B">
      <w:pPr>
        <w:spacing w:line="360" w:lineRule="auto"/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</w:pPr>
      <w:r w:rsidRPr="00A25596"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  <w:t xml:space="preserve">Dual-energy </w:t>
      </w:r>
      <w:r w:rsidR="00D43D9D" w:rsidRPr="00D43D9D"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  <w:t>computed tomography</w:t>
      </w:r>
      <w:r w:rsidR="00C13D41"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  <w:t xml:space="preserve"> (DECT)</w:t>
      </w:r>
      <w:r w:rsidRPr="00A25596"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  <w:t xml:space="preserve"> image acquisition</w:t>
      </w:r>
      <w:r w:rsidR="00587A33">
        <w:rPr>
          <w:rFonts w:ascii="Times New Roman" w:eastAsia="宋体" w:hAnsi="Times New Roman" w:cs="Times New Roman"/>
          <w:b/>
          <w:bCs/>
          <w:color w:val="000000" w:themeColor="text1"/>
          <w:szCs w:val="21"/>
        </w:rPr>
        <w:t xml:space="preserve"> and postprocessing</w:t>
      </w:r>
    </w:p>
    <w:p w14:paraId="65B19E55" w14:textId="467CC309" w:rsidR="001862BF" w:rsidRDefault="001862BF" w:rsidP="00F3674F">
      <w:pPr>
        <w:spacing w:line="360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1862B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In center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1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,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d</w:t>
      </w:r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ual-phase (non</w:t>
      </w:r>
      <w:r>
        <w:rPr>
          <w:rFonts w:ascii="Times New Roman" w:eastAsia="宋体" w:hAnsi="Times New Roman" w:cs="Times New Roman"/>
          <w:color w:val="000000" w:themeColor="text1"/>
          <w:sz w:val="24"/>
        </w:rPr>
        <w:t>-</w:t>
      </w:r>
      <w:r>
        <w:rPr>
          <w:rFonts w:ascii="Times New Roman" w:eastAsia="宋体" w:hAnsi="Times New Roman" w:cs="Times New Roman" w:hint="eastAsia"/>
          <w:color w:val="000000" w:themeColor="text1"/>
          <w:sz w:val="24"/>
        </w:rPr>
        <w:t>contrast</w:t>
      </w:r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="00B22764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CT </w:t>
      </w:r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and venous phase) scans of nasopharynx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of 252 </w:t>
      </w:r>
      <w:r w:rsidRPr="001862B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participants</w:t>
      </w:r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were acquired with a </w:t>
      </w:r>
      <w:r w:rsidR="00C13D4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DECT</w:t>
      </w:r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scanner (SOMATOM Drive, Siemens </w:t>
      </w:r>
      <w:proofErr w:type="spellStart"/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Healthineers</w:t>
      </w:r>
      <w:proofErr w:type="spellEnd"/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). The tube voltages were set at 100 </w:t>
      </w:r>
      <w:proofErr w:type="spellStart"/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kVp</w:t>
      </w:r>
      <w:proofErr w:type="spellEnd"/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and Sn140 </w:t>
      </w:r>
      <w:proofErr w:type="spellStart"/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kVp</w:t>
      </w:r>
      <w:proofErr w:type="spellEnd"/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(adding the tin filter). Advanced model-based iterative reconstruction (strength, 3) and automatic current modulation (CARE Dose 4D, Siemens </w:t>
      </w:r>
      <w:proofErr w:type="spellStart"/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Healthineers</w:t>
      </w:r>
      <w:proofErr w:type="spellEnd"/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 were used. Iodine contrast media (</w:t>
      </w:r>
      <w:proofErr w:type="spellStart"/>
      <w:r w:rsidR="00191E74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L</w:t>
      </w:r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oversol</w:t>
      </w:r>
      <w:proofErr w:type="spellEnd"/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320 mg/mL, HENGRUI Medicine) was administered through the right or left ulnar vein by a dual-head injector. The dosage was 1.5 mL/kg, and the flow rate was 2.5 mL/s, followed by 20 mL of 0.9% normal saline administered at</w:t>
      </w:r>
      <w:r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the same flow rate. </w:t>
      </w:r>
      <w:bookmarkStart w:id="0" w:name="_Hlk157093531"/>
      <w:r w:rsidRPr="00154AFB">
        <w:rPr>
          <w:rFonts w:ascii="Times New Roman" w:eastAsia="宋体" w:hAnsi="Times New Roman" w:cs="Times New Roman"/>
          <w:color w:val="000000" w:themeColor="text1"/>
          <w:sz w:val="24"/>
        </w:rPr>
        <w:t>The v</w:t>
      </w:r>
      <w:r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enous phase</w:t>
      </w:r>
      <w:bookmarkEnd w:id="0"/>
      <w:r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began 60 s </w:t>
      </w:r>
      <w:r w:rsidR="00154AFB"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after contrast injection.</w:t>
      </w:r>
      <w:r w:rsidR="00C50A1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</w:p>
    <w:p w14:paraId="74D5189A" w14:textId="345D424D" w:rsidR="00154AFB" w:rsidRDefault="001862BF" w:rsidP="00F3674F">
      <w:pPr>
        <w:spacing w:line="360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1862B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In center 2,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d</w:t>
      </w:r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ual-phase (non</w:t>
      </w:r>
      <w:r>
        <w:rPr>
          <w:rFonts w:ascii="Times New Roman" w:eastAsia="宋体" w:hAnsi="Times New Roman" w:cs="Times New Roman"/>
          <w:color w:val="000000" w:themeColor="text1"/>
          <w:sz w:val="24"/>
        </w:rPr>
        <w:t>-</w:t>
      </w:r>
      <w:r>
        <w:rPr>
          <w:rFonts w:ascii="Times New Roman" w:eastAsia="宋体" w:hAnsi="Times New Roman" w:cs="Times New Roman" w:hint="eastAsia"/>
          <w:color w:val="000000" w:themeColor="text1"/>
          <w:sz w:val="24"/>
        </w:rPr>
        <w:t>contrast</w:t>
      </w:r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="00B22764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CT </w:t>
      </w:r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and venous phase) scans of nasopharynx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of 69 </w:t>
      </w:r>
      <w:r w:rsidRPr="001862B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participants</w:t>
      </w:r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were acquired with a </w:t>
      </w:r>
      <w:r w:rsidR="00B22764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DECT</w:t>
      </w:r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scanner (SOMATOM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Force</w:t>
      </w:r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Siemens </w:t>
      </w:r>
      <w:proofErr w:type="spellStart"/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Healthineers</w:t>
      </w:r>
      <w:proofErr w:type="spellEnd"/>
      <w:r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). </w:t>
      </w:r>
      <w:r w:rsidRPr="001862B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The scanning parameters were</w:t>
      </w:r>
      <w:r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as follows: </w:t>
      </w:r>
      <w:r w:rsidR="00D15BAB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t</w:t>
      </w:r>
      <w:r w:rsidR="00191E74"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h</w:t>
      </w:r>
      <w:r w:rsidR="00191E74"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e tube voltages were set at 100 </w:t>
      </w:r>
      <w:proofErr w:type="spellStart"/>
      <w:r w:rsidR="00191E74"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kVp</w:t>
      </w:r>
      <w:proofErr w:type="spellEnd"/>
      <w:r w:rsidR="00191E74"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and Sn1</w:t>
      </w:r>
      <w:r w:rsidR="00966446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4</w:t>
      </w:r>
      <w:r w:rsidR="00191E74"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0 </w:t>
      </w:r>
      <w:proofErr w:type="spellStart"/>
      <w:r w:rsidR="00191E74"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kVp</w:t>
      </w:r>
      <w:proofErr w:type="spellEnd"/>
      <w:r w:rsidR="00191E74"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</w:t>
      </w:r>
      <w:r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="00191E74"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CARE Dose 4D</w:t>
      </w:r>
      <w:r w:rsidR="00191E74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(</w:t>
      </w:r>
      <w:r w:rsidR="00191E74"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Siemens </w:t>
      </w:r>
      <w:proofErr w:type="spellStart"/>
      <w:r w:rsidR="00191E74"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Healthineers</w:t>
      </w:r>
      <w:proofErr w:type="spellEnd"/>
      <w:r w:rsidR="00191E74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</w:t>
      </w:r>
      <w:r w:rsidR="00191E74"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was used</w:t>
      </w:r>
      <w:r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; detector collimation, 128 × 0.6</w:t>
      </w:r>
      <w:r w:rsidR="00191E74"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mm; reconstruction thickness, 1.</w:t>
      </w:r>
      <w:r w:rsidR="00191E74"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0</w:t>
      </w:r>
      <w:r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mm. Contrast material (</w:t>
      </w:r>
      <w:proofErr w:type="spellStart"/>
      <w:r w:rsidR="00191E74"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Iopromide</w:t>
      </w:r>
      <w:proofErr w:type="spellEnd"/>
      <w:r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3</w:t>
      </w:r>
      <w:r w:rsidR="00191E74"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7</w:t>
      </w:r>
      <w:r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0 mg/mL</w:t>
      </w:r>
      <w:r w:rsidR="00154AFB"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Bayer</w:t>
      </w:r>
      <w:r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 was injected at a rate of 3.5 mL/s (1.</w:t>
      </w:r>
      <w:r w:rsidR="00154AFB"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0</w:t>
      </w:r>
      <w:r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mL/kg of body weight). </w:t>
      </w:r>
      <w:r w:rsidR="00154AFB"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The v</w:t>
      </w:r>
      <w:r w:rsidR="00154AFB" w:rsidRPr="00346FD8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enous phase began 60</w:t>
      </w:r>
      <w:r w:rsidR="00C13D4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="00C13D41" w:rsidRPr="00E2086F">
        <w:rPr>
          <w:rFonts w:ascii="Times New Roman" w:eastAsia="微软雅黑" w:hAnsi="Times New Roman" w:cs="Times New Roman"/>
          <w:color w:val="000000" w:themeColor="text1"/>
          <w:sz w:val="24"/>
        </w:rPr>
        <w:t>−</w:t>
      </w:r>
      <w:r w:rsidR="003731DB">
        <w:rPr>
          <w:rFonts w:ascii="Times New Roman" w:eastAsia="微软雅黑" w:hAnsi="Times New Roman" w:cs="Times New Roman" w:hint="eastAsia"/>
          <w:color w:val="000000" w:themeColor="text1"/>
          <w:sz w:val="24"/>
        </w:rPr>
        <w:t xml:space="preserve"> </w:t>
      </w:r>
      <w:r w:rsid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70</w:t>
      </w:r>
      <w:r w:rsidR="00154AFB" w:rsidRPr="00346FD8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s</w:t>
      </w:r>
      <w:r w:rsidR="00154AFB" w:rsidRPr="00E2086F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="00154AFB" w:rsidRPr="00154AF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after contrast injection.</w:t>
      </w:r>
    </w:p>
    <w:p w14:paraId="4AB28ABC" w14:textId="78C5430F" w:rsidR="00C50A13" w:rsidRDefault="00C50A13" w:rsidP="00F3674F">
      <w:pPr>
        <w:spacing w:line="360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C50A1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The postprocessing of DECT images 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from the two </w:t>
      </w:r>
      <w:r w:rsidR="00B22764" w:rsidRPr="00B22764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institution</w:t>
      </w:r>
      <w:r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s </w:t>
      </w:r>
      <w:r w:rsidRPr="00C50A1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was performed on a </w:t>
      </w:r>
      <w:proofErr w:type="spellStart"/>
      <w:r w:rsidRPr="00C50A1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syngo.via</w:t>
      </w:r>
      <w:proofErr w:type="spellEnd"/>
      <w:r w:rsidRPr="00C50A1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workstation (</w:t>
      </w:r>
      <w:proofErr w:type="spellStart"/>
      <w:r w:rsidRPr="00C50A1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syngo.via</w:t>
      </w:r>
      <w:proofErr w:type="spellEnd"/>
      <w:r w:rsidRPr="00C50A1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VB40A, Dual Energy, Siemens </w:t>
      </w:r>
      <w:proofErr w:type="spellStart"/>
      <w:r w:rsidRPr="00C50A1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Healthineers</w:t>
      </w:r>
      <w:proofErr w:type="spellEnd"/>
      <w:r w:rsidRPr="00C50A1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). </w:t>
      </w:r>
      <w:r w:rsidRPr="009E16CE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Transverse sections were reconstructed for all series using the following</w:t>
      </w:r>
      <w:r w:rsidRPr="00C50A13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parameters: thickness, 1.5 mm; increment, 1.2 mm; and soft-tissue kernel, J30f. These series were then transmitted to the local picture archiving and communication systems.</w:t>
      </w:r>
    </w:p>
    <w:p w14:paraId="1D52236C" w14:textId="77777777" w:rsidR="00587A33" w:rsidRDefault="00587A33" w:rsidP="001D6F4B">
      <w:pPr>
        <w:spacing w:line="360" w:lineRule="auto"/>
        <w:rPr>
          <w:rFonts w:ascii="Times New Roman" w:eastAsia="宋体" w:hAnsi="Times New Roman" w:cs="Times New Roman" w:hint="eastAsia"/>
          <w:b/>
          <w:bCs/>
          <w:sz w:val="24"/>
          <w:szCs w:val="24"/>
        </w:rPr>
      </w:pPr>
    </w:p>
    <w:p w14:paraId="0988E7F8" w14:textId="508F1CD6" w:rsidR="001862BF" w:rsidRDefault="001862BF" w:rsidP="001D6F4B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  <w:r w:rsidRPr="001862BF">
        <w:rPr>
          <w:rFonts w:ascii="Times New Roman" w:eastAsia="宋体" w:hAnsi="Times New Roman" w:cs="Times New Roman"/>
          <w:b/>
          <w:bCs/>
          <w:sz w:val="24"/>
          <w:szCs w:val="24"/>
        </w:rPr>
        <w:t>Results</w:t>
      </w:r>
    </w:p>
    <w:p w14:paraId="26BE65DF" w14:textId="77777777" w:rsidR="002A6BD0" w:rsidRPr="002A6BD0" w:rsidRDefault="002A6BD0" w:rsidP="002A6BD0">
      <w:pPr>
        <w:spacing w:line="48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</w:pPr>
      <w:r w:rsidRPr="007655E6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>Patient characteristics</w:t>
      </w:r>
    </w:p>
    <w:p w14:paraId="7156EDC1" w14:textId="77777777" w:rsidR="002A6BD0" w:rsidRPr="002C4B3D" w:rsidRDefault="002A6BD0" w:rsidP="00F3674F">
      <w:pPr>
        <w:spacing w:line="360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2C4B3D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The following characteristic parameters were excluded due to significant proportions of missing data: dehydrogenase, epidermal growth factor receptor, Eastern </w:t>
      </w:r>
      <w:r w:rsidRPr="002C4B3D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lastRenderedPageBreak/>
        <w:t>Cooperative Oncology Group performance status, and patient-generated subjective global assessment, with missing proportions of 60.75% (195/321), 67.60% (217/321), 40.19% (129/321), and 79.75% (256/321), respectively.</w:t>
      </w:r>
    </w:p>
    <w:p w14:paraId="5DE09002" w14:textId="77777777" w:rsidR="002A6BD0" w:rsidRPr="002A6BD0" w:rsidRDefault="002A6BD0" w:rsidP="001D6F4B">
      <w:pPr>
        <w:spacing w:line="360" w:lineRule="auto"/>
        <w:rPr>
          <w:rFonts w:ascii="Times New Roman" w:eastAsia="宋体" w:hAnsi="Times New Roman" w:cs="Times New Roman"/>
          <w:b/>
          <w:bCs/>
          <w:sz w:val="24"/>
          <w:szCs w:val="24"/>
        </w:rPr>
      </w:pPr>
    </w:p>
    <w:p w14:paraId="312D2F28" w14:textId="04A027E9" w:rsidR="00A25596" w:rsidRDefault="00A25596" w:rsidP="00A25596">
      <w:pPr>
        <w:spacing w:line="360" w:lineRule="auto"/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</w:pPr>
      <w:r w:rsidRPr="00E2086F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>Inter</w:t>
      </w:r>
      <w:r w:rsidR="00C30F2E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>-</w:t>
      </w:r>
      <w:r w:rsidRPr="00E2086F"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 xml:space="preserve"> and intra-observer agreement</w:t>
      </w:r>
    </w:p>
    <w:p w14:paraId="71CD9482" w14:textId="58760E3A" w:rsidR="00685E4E" w:rsidRPr="00D8533B" w:rsidRDefault="00567EE9" w:rsidP="00D4527A">
      <w:pPr>
        <w:spacing w:line="360" w:lineRule="auto"/>
        <w:ind w:firstLineChars="200" w:firstLine="480"/>
        <w:rPr>
          <w:rFonts w:ascii="Times New Roman" w:eastAsia="宋体" w:hAnsi="Times New Roman" w:cs="Times New Roman"/>
          <w:color w:val="000000" w:themeColor="text1"/>
          <w:sz w:val="24"/>
          <w:szCs w:val="24"/>
        </w:rPr>
      </w:pPr>
      <w:r w:rsidRPr="0070791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Inter-observer and intra-observer reproducibility analysis was performed on 30 patients randomly selected from center 1.</w:t>
      </w:r>
      <w:r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The region</w:t>
      </w:r>
      <w:r w:rsidR="00D43D9D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s</w:t>
      </w:r>
      <w:r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of interest (ROI</w:t>
      </w:r>
      <w:r w:rsidR="00D43D9D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s</w:t>
      </w:r>
      <w:r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 of each patient w</w:t>
      </w:r>
      <w:r w:rsidR="00D43D9D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ere</w:t>
      </w:r>
      <w:r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</w:t>
      </w:r>
      <w:r w:rsidR="00F83C6B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delineate</w:t>
      </w:r>
      <w:r w:rsidR="00F83C6B" w:rsidRPr="00F83C6B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d</w:t>
      </w:r>
      <w:r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again by the same radiologist after 30 days interval and by another radiologist using the same method.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 </w:t>
      </w:r>
      <w:r w:rsidR="00685E4E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As to the intra- and interobserver reproducibility of ROI delineation, the intra-observer ICC for </w:t>
      </w:r>
      <w:proofErr w:type="spellStart"/>
      <w:r w:rsidR="003731DB">
        <w:rPr>
          <w:rFonts w:ascii="Times New Roman" w:eastAsia="宋体" w:hAnsi="Times New Roman" w:cs="Times New Roman" w:hint="eastAsia"/>
          <w:color w:val="000000" w:themeColor="text1"/>
          <w:sz w:val="24"/>
        </w:rPr>
        <w:t>Zeff</w:t>
      </w:r>
      <w:r w:rsidR="003731DB" w:rsidRPr="005C3FA2">
        <w:rPr>
          <w:rFonts w:ascii="Times New Roman" w:hAnsi="Times New Roman" w:cs="Times New Roman"/>
          <w:sz w:val="24"/>
          <w:szCs w:val="24"/>
          <w:vertAlign w:val="subscript"/>
        </w:rPr>
        <w:t>NCCT</w:t>
      </w:r>
      <w:proofErr w:type="spellEnd"/>
      <w:r w:rsidR="003731DB" w:rsidRPr="00CA0CDA">
        <w:rPr>
          <w:rFonts w:ascii="Times New Roman" w:eastAsia="宋体" w:hAnsi="Times New Roman" w:cs="Times New Roman"/>
          <w:color w:val="000000" w:themeColor="text1"/>
          <w:sz w:val="24"/>
        </w:rPr>
        <w:t>,</w:t>
      </w:r>
      <w:r w:rsidR="003731DB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</w:t>
      </w:r>
      <w:proofErr w:type="spellStart"/>
      <w:r w:rsidR="003731DB">
        <w:rPr>
          <w:rFonts w:ascii="Times New Roman" w:eastAsia="宋体" w:hAnsi="Times New Roman" w:cs="Times New Roman" w:hint="eastAsia"/>
          <w:color w:val="000000" w:themeColor="text1"/>
          <w:sz w:val="24"/>
        </w:rPr>
        <w:t>Zeff</w:t>
      </w:r>
      <w:r w:rsidR="003731DB">
        <w:rPr>
          <w:rFonts w:ascii="Times New Roman" w:hAnsi="Times New Roman" w:cs="Times New Roman" w:hint="eastAsia"/>
          <w:sz w:val="24"/>
          <w:szCs w:val="24"/>
          <w:vertAlign w:val="subscript"/>
        </w:rPr>
        <w:t>V</w:t>
      </w:r>
      <w:proofErr w:type="spellEnd"/>
      <w:r w:rsidR="003731DB" w:rsidRPr="00CA0CDA">
        <w:rPr>
          <w:rFonts w:ascii="Times New Roman" w:eastAsia="宋体" w:hAnsi="Times New Roman" w:cs="Times New Roman"/>
          <w:color w:val="000000" w:themeColor="text1"/>
          <w:sz w:val="24"/>
        </w:rPr>
        <w:t>,</w:t>
      </w:r>
      <w:r w:rsidR="003731DB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ED</w:t>
      </w:r>
      <w:r w:rsidR="003731DB">
        <w:rPr>
          <w:rFonts w:ascii="Times New Roman" w:hAnsi="Times New Roman" w:cs="Times New Roman" w:hint="eastAsia"/>
          <w:sz w:val="24"/>
          <w:szCs w:val="24"/>
          <w:vertAlign w:val="subscript"/>
        </w:rPr>
        <w:t>NCCT</w:t>
      </w:r>
      <w:r w:rsidR="003731DB" w:rsidRPr="00CA0CDA">
        <w:rPr>
          <w:rFonts w:ascii="Times New Roman" w:eastAsia="宋体" w:hAnsi="Times New Roman" w:cs="Times New Roman"/>
          <w:color w:val="000000" w:themeColor="text1"/>
          <w:sz w:val="24"/>
        </w:rPr>
        <w:t>,</w:t>
      </w:r>
      <w:r w:rsidR="003731DB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ED</w:t>
      </w:r>
      <w:r w:rsidR="003731DB">
        <w:rPr>
          <w:rFonts w:ascii="Times New Roman" w:hAnsi="Times New Roman" w:cs="Times New Roman" w:hint="eastAsia"/>
          <w:sz w:val="24"/>
          <w:szCs w:val="24"/>
          <w:vertAlign w:val="subscript"/>
        </w:rPr>
        <w:t>V</w:t>
      </w:r>
      <w:r w:rsidR="003731DB" w:rsidRPr="00CA0CDA">
        <w:rPr>
          <w:rFonts w:ascii="Times New Roman" w:eastAsia="宋体" w:hAnsi="Times New Roman" w:cs="Times New Roman"/>
          <w:color w:val="000000" w:themeColor="text1"/>
          <w:sz w:val="24"/>
        </w:rPr>
        <w:t>,</w:t>
      </w:r>
      <w:r w:rsidR="003731DB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</w:t>
      </w:r>
      <w:r w:rsidRPr="00F83C6B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slope</w:t>
      </w:r>
      <w:r w:rsidR="00685E4E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</w:t>
      </w:r>
      <w:r w:rsidR="00F83C6B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normalized </w:t>
      </w:r>
      <w:bookmarkStart w:id="1" w:name="_Hlk157691440"/>
      <w:r w:rsidR="00F83C6B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iodine concentration</w:t>
      </w:r>
      <w:bookmarkEnd w:id="1"/>
      <w:r w:rsidR="00F83C6B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(NIC)</w:t>
      </w:r>
      <w:r w:rsidR="00685E4E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and </w:t>
      </w:r>
      <w:r w:rsidR="00F83C6B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extracellular volume </w:t>
      </w:r>
      <w:r w:rsidR="00C13D4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fraction </w:t>
      </w:r>
      <w:r w:rsidR="00F83C6B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(</w:t>
      </w:r>
      <w:proofErr w:type="spellStart"/>
      <w:r w:rsidR="00F83C6B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ECV</w:t>
      </w:r>
      <w:r w:rsidR="00C13D4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f</w:t>
      </w:r>
      <w:proofErr w:type="spellEnd"/>
      <w:r w:rsidR="00F83C6B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)</w:t>
      </w:r>
      <w:r w:rsidR="00685E4E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for the first radiologist were </w:t>
      </w:r>
      <w:r w:rsidR="003731DB" w:rsidRPr="003731DB">
        <w:rPr>
          <w:rFonts w:ascii="Times New Roman" w:eastAsia="宋体" w:hAnsi="Times New Roman" w:cs="Times New Roman" w:hint="eastAsia"/>
          <w:sz w:val="24"/>
          <w:szCs w:val="24"/>
        </w:rPr>
        <w:t xml:space="preserve">0.783, 0.849, 0.754, 0.826, </w:t>
      </w:r>
      <w:r w:rsidR="00685E4E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0.8</w:t>
      </w:r>
      <w:r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73</w:t>
      </w:r>
      <w:r w:rsidR="00685E4E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0.</w:t>
      </w:r>
      <w:r w:rsidR="001E1BF7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878</w:t>
      </w:r>
      <w:r w:rsidR="00685E4E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</w:t>
      </w:r>
      <w:r w:rsidR="00C8023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and </w:t>
      </w:r>
      <w:r w:rsidR="00685E4E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0.</w:t>
      </w:r>
      <w:r w:rsidR="001E1BF7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904</w:t>
      </w:r>
      <w:r w:rsidR="00685E4E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 Meanwhile, the inter</w:t>
      </w:r>
      <w:r w:rsidR="001E1BF7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-</w:t>
      </w:r>
      <w:r w:rsidR="00685E4E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observer agreement for </w:t>
      </w:r>
      <w:proofErr w:type="spellStart"/>
      <w:r w:rsidR="003731DB">
        <w:rPr>
          <w:rFonts w:ascii="Times New Roman" w:eastAsia="宋体" w:hAnsi="Times New Roman" w:cs="Times New Roman" w:hint="eastAsia"/>
          <w:color w:val="000000" w:themeColor="text1"/>
          <w:sz w:val="24"/>
        </w:rPr>
        <w:t>Zeff</w:t>
      </w:r>
      <w:r w:rsidR="003731DB" w:rsidRPr="005C3FA2">
        <w:rPr>
          <w:rFonts w:ascii="Times New Roman" w:hAnsi="Times New Roman" w:cs="Times New Roman"/>
          <w:sz w:val="24"/>
          <w:szCs w:val="24"/>
          <w:vertAlign w:val="subscript"/>
        </w:rPr>
        <w:t>NCCT</w:t>
      </w:r>
      <w:proofErr w:type="spellEnd"/>
      <w:r w:rsidR="003731DB" w:rsidRPr="00CA0CDA">
        <w:rPr>
          <w:rFonts w:ascii="Times New Roman" w:eastAsia="宋体" w:hAnsi="Times New Roman" w:cs="Times New Roman"/>
          <w:color w:val="000000" w:themeColor="text1"/>
          <w:sz w:val="24"/>
        </w:rPr>
        <w:t>,</w:t>
      </w:r>
      <w:r w:rsidR="003731DB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</w:t>
      </w:r>
      <w:proofErr w:type="spellStart"/>
      <w:r w:rsidR="003731DB">
        <w:rPr>
          <w:rFonts w:ascii="Times New Roman" w:eastAsia="宋体" w:hAnsi="Times New Roman" w:cs="Times New Roman" w:hint="eastAsia"/>
          <w:color w:val="000000" w:themeColor="text1"/>
          <w:sz w:val="24"/>
        </w:rPr>
        <w:t>Zeff</w:t>
      </w:r>
      <w:r w:rsidR="003731DB">
        <w:rPr>
          <w:rFonts w:ascii="Times New Roman" w:hAnsi="Times New Roman" w:cs="Times New Roman" w:hint="eastAsia"/>
          <w:sz w:val="24"/>
          <w:szCs w:val="24"/>
          <w:vertAlign w:val="subscript"/>
        </w:rPr>
        <w:t>V</w:t>
      </w:r>
      <w:proofErr w:type="spellEnd"/>
      <w:r w:rsidR="003731DB" w:rsidRPr="00CA0CDA">
        <w:rPr>
          <w:rFonts w:ascii="Times New Roman" w:eastAsia="宋体" w:hAnsi="Times New Roman" w:cs="Times New Roman"/>
          <w:color w:val="000000" w:themeColor="text1"/>
          <w:sz w:val="24"/>
        </w:rPr>
        <w:t>,</w:t>
      </w:r>
      <w:r w:rsidR="003731DB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ED</w:t>
      </w:r>
      <w:r w:rsidR="003731DB">
        <w:rPr>
          <w:rFonts w:ascii="Times New Roman" w:hAnsi="Times New Roman" w:cs="Times New Roman" w:hint="eastAsia"/>
          <w:sz w:val="24"/>
          <w:szCs w:val="24"/>
          <w:vertAlign w:val="subscript"/>
        </w:rPr>
        <w:t>NCCT</w:t>
      </w:r>
      <w:r w:rsidR="003731DB" w:rsidRPr="00CA0CDA">
        <w:rPr>
          <w:rFonts w:ascii="Times New Roman" w:eastAsia="宋体" w:hAnsi="Times New Roman" w:cs="Times New Roman"/>
          <w:color w:val="000000" w:themeColor="text1"/>
          <w:sz w:val="24"/>
        </w:rPr>
        <w:t>,</w:t>
      </w:r>
      <w:r w:rsidR="003731DB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ED</w:t>
      </w:r>
      <w:r w:rsidR="003731DB">
        <w:rPr>
          <w:rFonts w:ascii="Times New Roman" w:hAnsi="Times New Roman" w:cs="Times New Roman" w:hint="eastAsia"/>
          <w:sz w:val="24"/>
          <w:szCs w:val="24"/>
          <w:vertAlign w:val="subscript"/>
        </w:rPr>
        <w:t>V</w:t>
      </w:r>
      <w:r w:rsidR="003731DB" w:rsidRPr="00CA0CDA">
        <w:rPr>
          <w:rFonts w:ascii="Times New Roman" w:eastAsia="宋体" w:hAnsi="Times New Roman" w:cs="Times New Roman"/>
          <w:color w:val="000000" w:themeColor="text1"/>
          <w:sz w:val="24"/>
        </w:rPr>
        <w:t>,</w:t>
      </w:r>
      <w:r w:rsidR="003731DB">
        <w:rPr>
          <w:rFonts w:ascii="Times New Roman" w:eastAsia="宋体" w:hAnsi="Times New Roman" w:cs="Times New Roman" w:hint="eastAsia"/>
          <w:color w:val="000000" w:themeColor="text1"/>
          <w:sz w:val="24"/>
        </w:rPr>
        <w:t xml:space="preserve"> </w:t>
      </w:r>
      <w:r w:rsidR="00F83C6B" w:rsidRPr="00F83C6B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slope</w:t>
      </w:r>
      <w:r w:rsidR="00F83C6B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NIC, and </w:t>
      </w:r>
      <w:proofErr w:type="spellStart"/>
      <w:r w:rsidR="00F83C6B" w:rsidRPr="00F83C6B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>E</w:t>
      </w:r>
      <w:r w:rsidR="00F83C6B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CV</w:t>
      </w:r>
      <w:r w:rsidR="00C13D41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f</w:t>
      </w:r>
      <w:proofErr w:type="spellEnd"/>
      <w:r w:rsidR="00685E4E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 between the two radiologists were </w:t>
      </w:r>
      <w:r w:rsidR="003731DB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0.776, 0.843, 0.785, 0.809, </w:t>
      </w:r>
      <w:r w:rsidR="00685E4E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0.</w:t>
      </w:r>
      <w:r w:rsidR="00F83C6B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847</w:t>
      </w:r>
      <w:r w:rsidR="00685E4E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, 0.</w:t>
      </w:r>
      <w:r w:rsidR="00F83C6B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836</w:t>
      </w:r>
      <w:r w:rsidR="00685E4E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</w:t>
      </w:r>
      <w:r w:rsidR="00C80230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and </w:t>
      </w:r>
      <w:r w:rsidR="00685E4E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0.</w:t>
      </w:r>
      <w:r w:rsidR="00F83C6B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892</w:t>
      </w:r>
      <w:r w:rsidR="00685E4E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 xml:space="preserve">, respectively. The results indicated </w:t>
      </w:r>
      <w:r w:rsidR="003731DB">
        <w:rPr>
          <w:rFonts w:ascii="Times New Roman" w:eastAsia="宋体" w:hAnsi="Times New Roman" w:cs="Times New Roman" w:hint="eastAsia"/>
          <w:color w:val="000000" w:themeColor="text1"/>
          <w:sz w:val="24"/>
          <w:szCs w:val="24"/>
        </w:rPr>
        <w:t xml:space="preserve">good or </w:t>
      </w:r>
      <w:r w:rsidR="00685E4E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excellent intra- and interobserver ROI delineation reproducibility</w:t>
      </w:r>
      <w:r w:rsidR="00C30F2E" w:rsidRPr="00F83C6B">
        <w:rPr>
          <w:rFonts w:ascii="Times New Roman" w:eastAsia="宋体" w:hAnsi="Times New Roman" w:cs="Times New Roman"/>
          <w:color w:val="000000" w:themeColor="text1"/>
          <w:sz w:val="24"/>
          <w:szCs w:val="24"/>
        </w:rPr>
        <w:t>.</w:t>
      </w:r>
    </w:p>
    <w:p w14:paraId="1FB6219D" w14:textId="77777777" w:rsidR="00D8533B" w:rsidRPr="00D8533B" w:rsidRDefault="00D8533B" w:rsidP="001D6F4B">
      <w:pPr>
        <w:spacing w:line="360" w:lineRule="auto"/>
        <w:rPr>
          <w:rFonts w:ascii="Times New Roman" w:eastAsia="宋体" w:hAnsi="Times New Roman" w:cs="Times New Roman"/>
          <w:b/>
          <w:bCs/>
          <w:color w:val="FF0000"/>
          <w:sz w:val="24"/>
          <w:szCs w:val="24"/>
        </w:rPr>
      </w:pPr>
    </w:p>
    <w:p w14:paraId="67370207" w14:textId="77777777" w:rsidR="001862BF" w:rsidRPr="001862BF" w:rsidRDefault="001862BF" w:rsidP="001D6F4B">
      <w:pPr>
        <w:spacing w:line="360" w:lineRule="auto"/>
        <w:rPr>
          <w:rFonts w:ascii="Times New Roman" w:eastAsia="宋体" w:hAnsi="Times New Roman" w:cs="Times New Roman"/>
          <w:color w:val="FF0000"/>
          <w:sz w:val="24"/>
          <w:szCs w:val="24"/>
        </w:rPr>
      </w:pPr>
    </w:p>
    <w:sectPr w:rsidR="001862BF" w:rsidRPr="001862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13A5F0" w14:textId="77777777" w:rsidR="00ED5C43" w:rsidRDefault="00ED5C43" w:rsidP="001D6F4B">
      <w:pPr>
        <w:rPr>
          <w:rFonts w:hint="eastAsia"/>
        </w:rPr>
      </w:pPr>
      <w:r>
        <w:separator/>
      </w:r>
    </w:p>
  </w:endnote>
  <w:endnote w:type="continuationSeparator" w:id="0">
    <w:p w14:paraId="06C5FDFB" w14:textId="77777777" w:rsidR="00ED5C43" w:rsidRDefault="00ED5C43" w:rsidP="001D6F4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239CAE4" w14:textId="77777777" w:rsidR="00ED5C43" w:rsidRDefault="00ED5C43" w:rsidP="001D6F4B">
      <w:pPr>
        <w:rPr>
          <w:rFonts w:hint="eastAsia"/>
        </w:rPr>
      </w:pPr>
      <w:r>
        <w:separator/>
      </w:r>
    </w:p>
  </w:footnote>
  <w:footnote w:type="continuationSeparator" w:id="0">
    <w:p w14:paraId="447FC95D" w14:textId="77777777" w:rsidR="00ED5C43" w:rsidRDefault="00ED5C43" w:rsidP="001D6F4B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B2A"/>
    <w:rsid w:val="00061A88"/>
    <w:rsid w:val="000A07AF"/>
    <w:rsid w:val="00124EBC"/>
    <w:rsid w:val="00154AFB"/>
    <w:rsid w:val="001862BF"/>
    <w:rsid w:val="00191E74"/>
    <w:rsid w:val="001D6F4B"/>
    <w:rsid w:val="001E1BF7"/>
    <w:rsid w:val="0023342C"/>
    <w:rsid w:val="00276FB6"/>
    <w:rsid w:val="002A6BD0"/>
    <w:rsid w:val="002E34B3"/>
    <w:rsid w:val="00361F83"/>
    <w:rsid w:val="003731DB"/>
    <w:rsid w:val="003F3B72"/>
    <w:rsid w:val="00401A94"/>
    <w:rsid w:val="004B56BE"/>
    <w:rsid w:val="00567EE9"/>
    <w:rsid w:val="00585267"/>
    <w:rsid w:val="00587A33"/>
    <w:rsid w:val="005C31DB"/>
    <w:rsid w:val="00601943"/>
    <w:rsid w:val="0060421F"/>
    <w:rsid w:val="00623B2C"/>
    <w:rsid w:val="00685E4E"/>
    <w:rsid w:val="006960CC"/>
    <w:rsid w:val="006E7C7E"/>
    <w:rsid w:val="0070791B"/>
    <w:rsid w:val="00771745"/>
    <w:rsid w:val="0084595D"/>
    <w:rsid w:val="008B4D38"/>
    <w:rsid w:val="00966446"/>
    <w:rsid w:val="009E16CE"/>
    <w:rsid w:val="00A25596"/>
    <w:rsid w:val="00B16F81"/>
    <w:rsid w:val="00B22764"/>
    <w:rsid w:val="00B51923"/>
    <w:rsid w:val="00C13D41"/>
    <w:rsid w:val="00C30F2E"/>
    <w:rsid w:val="00C41622"/>
    <w:rsid w:val="00C50A13"/>
    <w:rsid w:val="00C80230"/>
    <w:rsid w:val="00D15BAB"/>
    <w:rsid w:val="00D43D9D"/>
    <w:rsid w:val="00D4527A"/>
    <w:rsid w:val="00D8533B"/>
    <w:rsid w:val="00EA051A"/>
    <w:rsid w:val="00EC5A6E"/>
    <w:rsid w:val="00ED5C43"/>
    <w:rsid w:val="00ED6B2A"/>
    <w:rsid w:val="00F3674F"/>
    <w:rsid w:val="00F83C6B"/>
    <w:rsid w:val="00F94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469D0C"/>
  <w15:chartTrackingRefBased/>
  <w15:docId w15:val="{AD788816-46F6-46A9-A22B-0FB6200072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D6F4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D6F4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D6F4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D6F4B"/>
    <w:rPr>
      <w:sz w:val="18"/>
      <w:szCs w:val="18"/>
    </w:rPr>
  </w:style>
  <w:style w:type="table" w:styleId="a7">
    <w:name w:val="Table Grid"/>
    <w:basedOn w:val="a1"/>
    <w:uiPriority w:val="39"/>
    <w:rsid w:val="00C30F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F94A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2</Pages>
  <Words>466</Words>
  <Characters>2658</Characters>
  <Application>Microsoft Office Word</Application>
  <DocSecurity>0</DocSecurity>
  <Lines>22</Lines>
  <Paragraphs>6</Paragraphs>
  <ScaleCrop>false</ScaleCrop>
  <Company/>
  <LinksUpToDate>false</LinksUpToDate>
  <CharactersWithSpaces>3118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huanhuan ren</dc:creator>
  <cp:keywords/>
  <dc:description/>
  <cp:lastModifiedBy>huanhuan ren</cp:lastModifiedBy>
  <cp:revision>22</cp:revision>
  <dcterms:created xsi:type="dcterms:W3CDTF">2024-02-02T03:02:00Z</dcterms:created>
  <dcterms:modified xsi:type="dcterms:W3CDTF">2024-07-17T10:56:00Z</dcterms:modified>
</cp:coreProperties>
</file>