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3B587">
      <w:pPr>
        <w:rPr>
          <w:color w:val="000000" w:themeColor="text1"/>
          <w14:textFill>
            <w14:solidFill>
              <w14:schemeClr w14:val="tx1"/>
            </w14:solidFill>
          </w14:textFill>
        </w:rPr>
      </w:pPr>
      <w:r>
        <w:drawing>
          <wp:inline distT="0" distB="0" distL="0" distR="0">
            <wp:extent cx="5274310" cy="3826510"/>
            <wp:effectExtent l="0" t="0" r="2540" b="2540"/>
            <wp:docPr id="8880925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092570"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74310" cy="3826542"/>
                    </a:xfrm>
                    <a:prstGeom prst="rect">
                      <a:avLst/>
                    </a:prstGeom>
                    <a:noFill/>
                    <a:ln>
                      <a:noFill/>
                    </a:ln>
                  </pic:spPr>
                </pic:pic>
              </a:graphicData>
            </a:graphic>
          </wp:inline>
        </w:drawing>
      </w:r>
    </w:p>
    <w:p w14:paraId="7887DB33">
      <w:pPr>
        <w:spacing w:line="480" w:lineRule="auto"/>
        <w:rPr>
          <w:color w:val="000000" w:themeColor="text1"/>
          <w14:textFill>
            <w14:solidFill>
              <w14:schemeClr w14:val="tx1"/>
            </w14:solidFill>
          </w14:textFill>
        </w:rPr>
      </w:pPr>
      <w:bookmarkStart w:id="0" w:name="_Hlk186807409"/>
      <w:r>
        <w:rPr>
          <w:color w:val="000000" w:themeColor="text1"/>
          <w14:textFill>
            <w14:solidFill>
              <w14:schemeClr w14:val="tx1"/>
            </w14:solidFill>
          </w14:textFill>
        </w:rPr>
        <w:t>Figure S1 Convergence of the loss curve</w:t>
      </w:r>
    </w:p>
    <w:bookmarkEnd w:id="0"/>
    <w:p w14:paraId="687A7BAF">
      <w:pPr>
        <w:spacing w:line="480" w:lineRule="auto"/>
        <w:rPr>
          <w:color w:val="000000" w:themeColor="text1"/>
          <w14:textFill>
            <w14:solidFill>
              <w14:schemeClr w14:val="tx1"/>
            </w14:solidFill>
          </w14:textFill>
        </w:rPr>
      </w:pPr>
      <w:r>
        <w:rPr>
          <w:b/>
          <w:bCs/>
          <w:color w:val="000000" w:themeColor="text1"/>
          <w14:textFill>
            <w14:solidFill>
              <w14:schemeClr w14:val="tx1"/>
            </w14:solidFill>
          </w14:textFill>
        </w:rPr>
        <w:t>Table S1</w:t>
      </w:r>
      <w:r>
        <w:rPr>
          <w:color w:val="000000" w:themeColor="text1"/>
          <w14:textFill>
            <w14:solidFill>
              <w14:schemeClr w14:val="tx1"/>
            </w14:solidFill>
          </w14:textFill>
        </w:rPr>
        <w:t xml:space="preserve"> Parameters used for CT imaging at the two medical centers.</w:t>
      </w:r>
    </w:p>
    <w:tbl>
      <w:tblPr>
        <w:tblStyle w:val="4"/>
        <w:tblpPr w:leftFromText="180" w:rightFromText="180" w:vertAnchor="text" w:horzAnchor="margin" w:tblpXSpec="center" w:tblpY="166"/>
        <w:tblW w:w="82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972"/>
        <w:gridCol w:w="2410"/>
        <w:gridCol w:w="2840"/>
      </w:tblGrid>
      <w:tr w14:paraId="2E8E0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4" w:hRule="atLeast"/>
        </w:trPr>
        <w:tc>
          <w:tcPr>
            <w:tcW w:w="2972" w:type="dxa"/>
            <w:tcBorders>
              <w:top w:val="single" w:color="auto" w:sz="4" w:space="0"/>
              <w:left w:val="nil"/>
              <w:bottom w:val="single" w:color="auto" w:sz="4" w:space="0"/>
              <w:right w:val="nil"/>
            </w:tcBorders>
          </w:tcPr>
          <w:p w14:paraId="3DE7CA5B">
            <w:pPr>
              <w:jc w:val="center"/>
              <w:rPr>
                <w:kern w:val="0"/>
              </w:rPr>
            </w:pPr>
            <w:r>
              <w:rPr>
                <w:kern w:val="0"/>
              </w:rPr>
              <w:t>Parameters</w:t>
            </w:r>
          </w:p>
        </w:tc>
        <w:tc>
          <w:tcPr>
            <w:tcW w:w="2410" w:type="dxa"/>
            <w:tcBorders>
              <w:top w:val="single" w:color="auto" w:sz="4" w:space="0"/>
              <w:left w:val="nil"/>
              <w:bottom w:val="single" w:color="auto" w:sz="4" w:space="0"/>
              <w:right w:val="nil"/>
            </w:tcBorders>
          </w:tcPr>
          <w:p w14:paraId="004AE07A">
            <w:pPr>
              <w:jc w:val="center"/>
              <w:rPr>
                <w:kern w:val="0"/>
              </w:rPr>
            </w:pPr>
            <w:bookmarkStart w:id="1" w:name="OLE_LINK15"/>
            <w:r>
              <w:rPr>
                <w:kern w:val="0"/>
              </w:rPr>
              <w:t>Affiliated Hospital of Qingdao University</w:t>
            </w:r>
            <w:bookmarkEnd w:id="1"/>
          </w:p>
        </w:tc>
        <w:tc>
          <w:tcPr>
            <w:tcW w:w="2840" w:type="dxa"/>
            <w:tcBorders>
              <w:top w:val="single" w:color="auto" w:sz="4" w:space="0"/>
              <w:left w:val="nil"/>
              <w:bottom w:val="single" w:color="auto" w:sz="4" w:space="0"/>
              <w:right w:val="nil"/>
            </w:tcBorders>
          </w:tcPr>
          <w:p w14:paraId="53924C83">
            <w:pPr>
              <w:jc w:val="center"/>
              <w:rPr>
                <w:kern w:val="0"/>
              </w:rPr>
            </w:pPr>
            <w:r>
              <w:rPr>
                <w:kern w:val="0"/>
              </w:rPr>
              <w:t>Shandong Provincial Hospital Affiliated to Shandong First Medical University</w:t>
            </w:r>
          </w:p>
        </w:tc>
      </w:tr>
      <w:tr w14:paraId="2FAB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 w:hRule="atLeast"/>
        </w:trPr>
        <w:tc>
          <w:tcPr>
            <w:tcW w:w="2972" w:type="dxa"/>
            <w:tcBorders>
              <w:top w:val="single" w:color="auto" w:sz="4" w:space="0"/>
              <w:left w:val="nil"/>
              <w:bottom w:val="nil"/>
              <w:right w:val="nil"/>
            </w:tcBorders>
          </w:tcPr>
          <w:p w14:paraId="1A9BE8BD">
            <w:pPr>
              <w:rPr>
                <w:kern w:val="0"/>
              </w:rPr>
            </w:pPr>
            <w:r>
              <w:rPr>
                <w:kern w:val="0"/>
              </w:rPr>
              <w:t>CT version</w:t>
            </w:r>
          </w:p>
        </w:tc>
        <w:tc>
          <w:tcPr>
            <w:tcW w:w="2410" w:type="dxa"/>
            <w:tcBorders>
              <w:top w:val="single" w:color="auto" w:sz="4" w:space="0"/>
              <w:left w:val="nil"/>
              <w:bottom w:val="nil"/>
              <w:right w:val="nil"/>
            </w:tcBorders>
          </w:tcPr>
          <w:p w14:paraId="6A3C6463">
            <w:pPr>
              <w:rPr>
                <w:kern w:val="0"/>
              </w:rPr>
            </w:pPr>
            <w:r>
              <w:rPr>
                <w:kern w:val="0"/>
              </w:rPr>
              <w:t>Aquilion ONE 640, TOSHIBA; Discovery 750, GE Healthcare; Somatom Sensation Cardiac 64, Siemens Healthcare</w:t>
            </w:r>
          </w:p>
        </w:tc>
        <w:tc>
          <w:tcPr>
            <w:tcW w:w="2840" w:type="dxa"/>
            <w:tcBorders>
              <w:top w:val="single" w:color="auto" w:sz="4" w:space="0"/>
              <w:left w:val="nil"/>
              <w:bottom w:val="nil"/>
              <w:right w:val="nil"/>
            </w:tcBorders>
          </w:tcPr>
          <w:p w14:paraId="29E41FFB">
            <w:pPr>
              <w:rPr>
                <w:kern w:val="0"/>
              </w:rPr>
            </w:pPr>
            <w:r>
              <w:rPr>
                <w:kern w:val="0"/>
              </w:rPr>
              <w:t>Aquilion ONE, TOSHIBA; Discovery 750, GE Healthcare; Somatom Definition Flash, Siemens Healthcare</w:t>
            </w:r>
          </w:p>
        </w:tc>
      </w:tr>
      <w:tr w14:paraId="52750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2972" w:type="dxa"/>
          </w:tcPr>
          <w:p w14:paraId="64C82681">
            <w:pPr>
              <w:rPr>
                <w:kern w:val="0"/>
              </w:rPr>
            </w:pPr>
            <w:r>
              <w:rPr>
                <w:kern w:val="0"/>
              </w:rPr>
              <w:t>Tube voltage</w:t>
            </w:r>
          </w:p>
        </w:tc>
        <w:tc>
          <w:tcPr>
            <w:tcW w:w="2410" w:type="dxa"/>
          </w:tcPr>
          <w:p w14:paraId="6D7A0ADC">
            <w:pPr>
              <w:rPr>
                <w:kern w:val="0"/>
              </w:rPr>
            </w:pPr>
            <w:r>
              <w:rPr>
                <w:kern w:val="0"/>
              </w:rPr>
              <w:t>120kV</w:t>
            </w:r>
          </w:p>
        </w:tc>
        <w:tc>
          <w:tcPr>
            <w:tcW w:w="2840" w:type="dxa"/>
          </w:tcPr>
          <w:p w14:paraId="7DFF9E9E">
            <w:pPr>
              <w:rPr>
                <w:kern w:val="0"/>
              </w:rPr>
            </w:pPr>
            <w:r>
              <w:rPr>
                <w:kern w:val="0"/>
              </w:rPr>
              <w:t>120kV</w:t>
            </w:r>
          </w:p>
        </w:tc>
      </w:tr>
      <w:tr w14:paraId="5421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2" w:hRule="atLeast"/>
        </w:trPr>
        <w:tc>
          <w:tcPr>
            <w:tcW w:w="2972" w:type="dxa"/>
          </w:tcPr>
          <w:p w14:paraId="6EB1E162">
            <w:pPr>
              <w:rPr>
                <w:kern w:val="0"/>
              </w:rPr>
            </w:pPr>
            <w:r>
              <w:rPr>
                <w:kern w:val="0"/>
              </w:rPr>
              <w:t>Tube current</w:t>
            </w:r>
          </w:p>
          <w:p w14:paraId="39205427">
            <w:pPr>
              <w:rPr>
                <w:kern w:val="0"/>
              </w:rPr>
            </w:pPr>
          </w:p>
          <w:p w14:paraId="28493735">
            <w:pPr>
              <w:rPr>
                <w:kern w:val="0"/>
              </w:rPr>
            </w:pPr>
          </w:p>
          <w:p w14:paraId="1BD7BA55">
            <w:pPr>
              <w:rPr>
                <w:kern w:val="0"/>
              </w:rPr>
            </w:pPr>
          </w:p>
        </w:tc>
        <w:tc>
          <w:tcPr>
            <w:tcW w:w="2410" w:type="dxa"/>
          </w:tcPr>
          <w:p w14:paraId="3E140CB2">
            <w:pPr>
              <w:rPr>
                <w:kern w:val="0"/>
              </w:rPr>
            </w:pPr>
            <w:r>
              <w:rPr>
                <w:kern w:val="0"/>
              </w:rPr>
              <w:t>automatic tube current modulation</w:t>
            </w:r>
          </w:p>
        </w:tc>
        <w:tc>
          <w:tcPr>
            <w:tcW w:w="2840" w:type="dxa"/>
          </w:tcPr>
          <w:p w14:paraId="2237DCE3">
            <w:pPr>
              <w:rPr>
                <w:kern w:val="0"/>
              </w:rPr>
            </w:pPr>
            <w:r>
              <w:rPr>
                <w:kern w:val="0"/>
              </w:rPr>
              <w:t>automatic tube current modulation</w:t>
            </w:r>
          </w:p>
        </w:tc>
      </w:tr>
      <w:tr w14:paraId="5353E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2" w:hRule="atLeast"/>
        </w:trPr>
        <w:tc>
          <w:tcPr>
            <w:tcW w:w="2972" w:type="dxa"/>
          </w:tcPr>
          <w:p w14:paraId="2A8C9B5C">
            <w:pPr>
              <w:rPr>
                <w:kern w:val="0"/>
              </w:rPr>
            </w:pPr>
            <w:r>
              <w:rPr>
                <w:kern w:val="0"/>
              </w:rPr>
              <w:t>Detector collimation</w:t>
            </w:r>
          </w:p>
        </w:tc>
        <w:tc>
          <w:tcPr>
            <w:tcW w:w="2410" w:type="dxa"/>
          </w:tcPr>
          <w:p w14:paraId="6F30F0E9">
            <w:pPr>
              <w:rPr>
                <w:kern w:val="0"/>
              </w:rPr>
            </w:pPr>
            <w:r>
              <w:rPr>
                <w:kern w:val="0"/>
              </w:rPr>
              <w:t>64×0.6mm</w:t>
            </w:r>
          </w:p>
          <w:p w14:paraId="43970857">
            <w:pPr>
              <w:rPr>
                <w:kern w:val="0"/>
              </w:rPr>
            </w:pPr>
            <w:r>
              <w:rPr>
                <w:kern w:val="0"/>
              </w:rPr>
              <w:t>or 64×0.625mm</w:t>
            </w:r>
          </w:p>
        </w:tc>
        <w:tc>
          <w:tcPr>
            <w:tcW w:w="2840" w:type="dxa"/>
          </w:tcPr>
          <w:p w14:paraId="1427C873">
            <w:pPr>
              <w:rPr>
                <w:kern w:val="0"/>
              </w:rPr>
            </w:pPr>
            <w:r>
              <w:rPr>
                <w:kern w:val="0"/>
              </w:rPr>
              <w:t>64×0.6mm</w:t>
            </w:r>
          </w:p>
          <w:p w14:paraId="5541AB42">
            <w:pPr>
              <w:rPr>
                <w:kern w:val="0"/>
              </w:rPr>
            </w:pPr>
            <w:r>
              <w:rPr>
                <w:kern w:val="0"/>
              </w:rPr>
              <w:t>or 64×0.625mm</w:t>
            </w:r>
          </w:p>
        </w:tc>
      </w:tr>
      <w:tr w14:paraId="47FE8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2972" w:type="dxa"/>
          </w:tcPr>
          <w:p w14:paraId="54EEBCB7">
            <w:pPr>
              <w:rPr>
                <w:kern w:val="0"/>
              </w:rPr>
            </w:pPr>
            <w:r>
              <w:rPr>
                <w:kern w:val="0"/>
              </w:rPr>
              <w:t>Image matrix</w:t>
            </w:r>
          </w:p>
        </w:tc>
        <w:tc>
          <w:tcPr>
            <w:tcW w:w="2410" w:type="dxa"/>
          </w:tcPr>
          <w:p w14:paraId="65CA9E02">
            <w:pPr>
              <w:rPr>
                <w:kern w:val="0"/>
              </w:rPr>
            </w:pPr>
            <w:r>
              <w:rPr>
                <w:kern w:val="0"/>
              </w:rPr>
              <w:t>512×512</w:t>
            </w:r>
          </w:p>
        </w:tc>
        <w:tc>
          <w:tcPr>
            <w:tcW w:w="2840" w:type="dxa"/>
          </w:tcPr>
          <w:p w14:paraId="291C914A">
            <w:pPr>
              <w:rPr>
                <w:kern w:val="0"/>
              </w:rPr>
            </w:pPr>
            <w:r>
              <w:rPr>
                <w:kern w:val="0"/>
              </w:rPr>
              <w:t>512×512</w:t>
            </w:r>
          </w:p>
        </w:tc>
      </w:tr>
      <w:tr w14:paraId="10BD0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1" w:hRule="atLeast"/>
        </w:trPr>
        <w:tc>
          <w:tcPr>
            <w:tcW w:w="2972" w:type="dxa"/>
          </w:tcPr>
          <w:p w14:paraId="098906D6">
            <w:pPr>
              <w:rPr>
                <w:kern w:val="0"/>
              </w:rPr>
            </w:pPr>
            <w:r>
              <w:rPr>
                <w:kern w:val="0"/>
              </w:rPr>
              <w:t>Pitch</w:t>
            </w:r>
          </w:p>
        </w:tc>
        <w:tc>
          <w:tcPr>
            <w:tcW w:w="2410" w:type="dxa"/>
          </w:tcPr>
          <w:p w14:paraId="68D7FF34">
            <w:pPr>
              <w:rPr>
                <w:kern w:val="0"/>
              </w:rPr>
            </w:pPr>
            <w:r>
              <w:rPr>
                <w:kern w:val="0"/>
              </w:rPr>
              <w:t>0.9</w:t>
            </w:r>
          </w:p>
        </w:tc>
        <w:tc>
          <w:tcPr>
            <w:tcW w:w="2840" w:type="dxa"/>
          </w:tcPr>
          <w:p w14:paraId="41666853">
            <w:pPr>
              <w:rPr>
                <w:kern w:val="0"/>
              </w:rPr>
            </w:pPr>
            <w:r>
              <w:rPr>
                <w:kern w:val="0"/>
              </w:rPr>
              <w:t>0.9</w:t>
            </w:r>
          </w:p>
        </w:tc>
      </w:tr>
      <w:tr w14:paraId="15819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2972" w:type="dxa"/>
          </w:tcPr>
          <w:p w14:paraId="3F42DC23">
            <w:pPr>
              <w:rPr>
                <w:kern w:val="0"/>
              </w:rPr>
            </w:pPr>
            <w:r>
              <w:rPr>
                <w:kern w:val="0"/>
              </w:rPr>
              <w:t>Contrast material</w:t>
            </w:r>
          </w:p>
        </w:tc>
        <w:tc>
          <w:tcPr>
            <w:tcW w:w="2410" w:type="dxa"/>
          </w:tcPr>
          <w:p w14:paraId="03040276">
            <w:pPr>
              <w:rPr>
                <w:kern w:val="0"/>
              </w:rPr>
            </w:pPr>
            <w:r>
              <w:rPr>
                <w:kern w:val="0"/>
              </w:rPr>
              <w:t>Ultravist 370</w:t>
            </w:r>
          </w:p>
          <w:p w14:paraId="4BDF10E1">
            <w:pPr>
              <w:rPr>
                <w:kern w:val="0"/>
              </w:rPr>
            </w:pPr>
            <w:r>
              <w:rPr>
                <w:kern w:val="0"/>
              </w:rPr>
              <w:t>or Omnipaque 350</w:t>
            </w:r>
          </w:p>
        </w:tc>
        <w:tc>
          <w:tcPr>
            <w:tcW w:w="2840" w:type="dxa"/>
          </w:tcPr>
          <w:p w14:paraId="4797616E">
            <w:pPr>
              <w:rPr>
                <w:kern w:val="0"/>
              </w:rPr>
            </w:pPr>
            <w:r>
              <w:rPr>
                <w:kern w:val="0"/>
              </w:rPr>
              <w:t>Omnipaque 350</w:t>
            </w:r>
          </w:p>
        </w:tc>
      </w:tr>
      <w:tr w14:paraId="18D7BB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2972" w:type="dxa"/>
          </w:tcPr>
          <w:p w14:paraId="270C1298">
            <w:pPr>
              <w:rPr>
                <w:kern w:val="0"/>
              </w:rPr>
            </w:pPr>
            <w:r>
              <w:rPr>
                <w:kern w:val="0"/>
              </w:rPr>
              <w:t>Contrast medium dose</w:t>
            </w:r>
          </w:p>
        </w:tc>
        <w:tc>
          <w:tcPr>
            <w:tcW w:w="2410" w:type="dxa"/>
          </w:tcPr>
          <w:p w14:paraId="15321F86">
            <w:pPr>
              <w:rPr>
                <w:kern w:val="0"/>
              </w:rPr>
            </w:pPr>
            <w:r>
              <w:rPr>
                <w:kern w:val="0"/>
              </w:rPr>
              <w:t>80ml</w:t>
            </w:r>
          </w:p>
        </w:tc>
        <w:tc>
          <w:tcPr>
            <w:tcW w:w="2840" w:type="dxa"/>
          </w:tcPr>
          <w:p w14:paraId="3EF0040A">
            <w:pPr>
              <w:rPr>
                <w:kern w:val="0"/>
              </w:rPr>
            </w:pPr>
            <w:r>
              <w:rPr>
                <w:kern w:val="0"/>
              </w:rPr>
              <w:t>80~90ml</w:t>
            </w:r>
          </w:p>
        </w:tc>
      </w:tr>
      <w:tr w14:paraId="4904D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2972" w:type="dxa"/>
          </w:tcPr>
          <w:p w14:paraId="27408BAB">
            <w:pPr>
              <w:rPr>
                <w:kern w:val="0"/>
              </w:rPr>
            </w:pPr>
            <w:r>
              <w:rPr>
                <w:kern w:val="0"/>
              </w:rPr>
              <w:t>Injection rate</w:t>
            </w:r>
          </w:p>
        </w:tc>
        <w:tc>
          <w:tcPr>
            <w:tcW w:w="2410" w:type="dxa"/>
          </w:tcPr>
          <w:p w14:paraId="723AF01E">
            <w:pPr>
              <w:rPr>
                <w:kern w:val="0"/>
              </w:rPr>
            </w:pPr>
            <w:r>
              <w:rPr>
                <w:kern w:val="0"/>
              </w:rPr>
              <w:t>3.0ml/s</w:t>
            </w:r>
          </w:p>
        </w:tc>
        <w:tc>
          <w:tcPr>
            <w:tcW w:w="2840" w:type="dxa"/>
          </w:tcPr>
          <w:p w14:paraId="5A1A964C">
            <w:pPr>
              <w:rPr>
                <w:kern w:val="0"/>
              </w:rPr>
            </w:pPr>
            <w:r>
              <w:rPr>
                <w:kern w:val="0"/>
              </w:rPr>
              <w:t>3.0ml/s</w:t>
            </w:r>
          </w:p>
        </w:tc>
      </w:tr>
      <w:tr w14:paraId="621AA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2972" w:type="dxa"/>
            <w:tcBorders>
              <w:top w:val="nil"/>
              <w:left w:val="nil"/>
              <w:bottom w:val="single" w:color="auto" w:sz="4" w:space="0"/>
              <w:right w:val="nil"/>
            </w:tcBorders>
          </w:tcPr>
          <w:p w14:paraId="5969507A">
            <w:pPr>
              <w:rPr>
                <w:kern w:val="0"/>
              </w:rPr>
            </w:pPr>
            <w:r>
              <w:rPr>
                <w:kern w:val="0"/>
              </w:rPr>
              <w:t>Reconstruction slice thickness</w:t>
            </w:r>
          </w:p>
        </w:tc>
        <w:tc>
          <w:tcPr>
            <w:tcW w:w="2410" w:type="dxa"/>
            <w:tcBorders>
              <w:top w:val="nil"/>
              <w:left w:val="nil"/>
              <w:bottom w:val="single" w:color="auto" w:sz="4" w:space="0"/>
              <w:right w:val="nil"/>
            </w:tcBorders>
          </w:tcPr>
          <w:p w14:paraId="384143FE">
            <w:pPr>
              <w:rPr>
                <w:kern w:val="0"/>
              </w:rPr>
            </w:pPr>
            <w:r>
              <w:rPr>
                <w:kern w:val="0"/>
              </w:rPr>
              <w:t>5mm</w:t>
            </w:r>
          </w:p>
        </w:tc>
        <w:tc>
          <w:tcPr>
            <w:tcW w:w="2840" w:type="dxa"/>
            <w:tcBorders>
              <w:top w:val="nil"/>
              <w:left w:val="nil"/>
              <w:bottom w:val="single" w:color="auto" w:sz="4" w:space="0"/>
              <w:right w:val="nil"/>
            </w:tcBorders>
          </w:tcPr>
          <w:p w14:paraId="3ADA41CA">
            <w:pPr>
              <w:rPr>
                <w:kern w:val="0"/>
              </w:rPr>
            </w:pPr>
            <w:r>
              <w:rPr>
                <w:kern w:val="0"/>
              </w:rPr>
              <w:t>5mm</w:t>
            </w:r>
          </w:p>
        </w:tc>
      </w:tr>
    </w:tbl>
    <w:p w14:paraId="3360CEA9">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 xml:space="preserve">Note: kV = kilovolt, mm = millimeter </w:t>
      </w:r>
    </w:p>
    <w:p w14:paraId="6008833E"/>
    <w:p w14:paraId="43469573">
      <w:pPr>
        <w:spacing w:line="480" w:lineRule="auto"/>
        <w:rPr>
          <w:color w:val="000000" w:themeColor="text1"/>
          <w14:textFill>
            <w14:solidFill>
              <w14:schemeClr w14:val="tx1"/>
            </w14:solidFill>
          </w14:textFill>
        </w:rPr>
      </w:pPr>
      <w:r>
        <w:rPr>
          <w:b/>
          <w:bCs/>
          <w:color w:val="000000" w:themeColor="text1"/>
          <w14:textFill>
            <w14:solidFill>
              <w14:schemeClr w14:val="tx1"/>
            </w14:solidFill>
          </w14:textFill>
        </w:rPr>
        <w:t>Table S</w:t>
      </w:r>
      <w:r>
        <w:rPr>
          <w:rFonts w:hint="eastAsia"/>
          <w:b/>
          <w:bCs/>
          <w:color w:val="000000" w:themeColor="text1"/>
          <w14:textFill>
            <w14:solidFill>
              <w14:schemeClr w14:val="tx1"/>
            </w14:solidFill>
          </w14:textFill>
        </w:rPr>
        <w:t>2</w:t>
      </w:r>
      <w:r>
        <w:rPr>
          <w:b/>
          <w:bCs/>
          <w:color w:val="000000" w:themeColor="text1"/>
          <w14:textFill>
            <w14:solidFill>
              <w14:schemeClr w14:val="tx1"/>
            </w14:solidFill>
          </w14:textFill>
        </w:rPr>
        <w:t xml:space="preserve"> </w:t>
      </w:r>
      <w:r>
        <w:rPr>
          <w:color w:val="000000" w:themeColor="text1"/>
          <w14:textFill>
            <w14:solidFill>
              <w14:schemeClr w14:val="tx1"/>
            </w14:solidFill>
          </w14:textFill>
        </w:rPr>
        <w:t>The</w:t>
      </w:r>
      <w:r>
        <w:rPr>
          <w:b/>
          <w:bCs/>
          <w:color w:val="000000" w:themeColor="text1"/>
          <w14:textFill>
            <w14:solidFill>
              <w14:schemeClr w14:val="tx1"/>
            </w14:solidFill>
          </w14:textFill>
        </w:rPr>
        <w:t xml:space="preserve"> </w:t>
      </w:r>
      <w:r>
        <w:rPr>
          <w:color w:val="000000" w:themeColor="text1"/>
          <w14:textFill>
            <w14:solidFill>
              <w14:schemeClr w14:val="tx1"/>
            </w14:solidFill>
          </w14:textFill>
        </w:rPr>
        <w:t>performance of the different radiomics machine learning signatures</w:t>
      </w:r>
    </w:p>
    <w:tbl>
      <w:tblPr>
        <w:tblStyle w:val="4"/>
        <w:tblW w:w="89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7"/>
        <w:gridCol w:w="1970"/>
        <w:gridCol w:w="1340"/>
        <w:gridCol w:w="2360"/>
        <w:gridCol w:w="1202"/>
      </w:tblGrid>
      <w:tr w14:paraId="455C6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2127" w:type="dxa"/>
            <w:tcBorders>
              <w:top w:val="single" w:color="auto" w:sz="4" w:space="0"/>
              <w:left w:val="nil"/>
              <w:bottom w:val="nil"/>
              <w:right w:val="nil"/>
            </w:tcBorders>
          </w:tcPr>
          <w:p w14:paraId="05E02683">
            <w:pPr>
              <w:spacing w:line="240" w:lineRule="auto"/>
              <w:jc w:val="center"/>
              <w:rPr>
                <w:kern w:val="0"/>
                <w:sz w:val="22"/>
                <w:szCs w:val="22"/>
              </w:rPr>
            </w:pPr>
          </w:p>
        </w:tc>
        <w:tc>
          <w:tcPr>
            <w:tcW w:w="3310" w:type="dxa"/>
            <w:gridSpan w:val="2"/>
            <w:tcBorders>
              <w:top w:val="single" w:color="000000" w:sz="4" w:space="0"/>
              <w:left w:val="nil"/>
              <w:bottom w:val="single" w:color="auto" w:sz="4" w:space="0"/>
              <w:right w:val="nil"/>
            </w:tcBorders>
          </w:tcPr>
          <w:p w14:paraId="033218E1">
            <w:pPr>
              <w:spacing w:line="240" w:lineRule="auto"/>
              <w:jc w:val="center"/>
              <w:rPr>
                <w:kern w:val="0"/>
                <w:sz w:val="22"/>
                <w:szCs w:val="22"/>
              </w:rPr>
            </w:pPr>
            <w:r>
              <w:rPr>
                <w:kern w:val="0"/>
                <w:sz w:val="22"/>
                <w:szCs w:val="22"/>
              </w:rPr>
              <w:t>Training set</w:t>
            </w:r>
          </w:p>
        </w:tc>
        <w:tc>
          <w:tcPr>
            <w:tcW w:w="3562" w:type="dxa"/>
            <w:gridSpan w:val="2"/>
            <w:tcBorders>
              <w:top w:val="single" w:color="000000" w:sz="4" w:space="0"/>
              <w:left w:val="nil"/>
              <w:bottom w:val="single" w:color="auto" w:sz="4" w:space="0"/>
              <w:right w:val="nil"/>
            </w:tcBorders>
          </w:tcPr>
          <w:p w14:paraId="33F12670">
            <w:pPr>
              <w:spacing w:line="240" w:lineRule="auto"/>
              <w:jc w:val="center"/>
              <w:rPr>
                <w:kern w:val="0"/>
                <w:sz w:val="22"/>
                <w:szCs w:val="22"/>
              </w:rPr>
            </w:pPr>
            <w:r>
              <w:rPr>
                <w:kern w:val="0"/>
                <w:sz w:val="22"/>
                <w:szCs w:val="22"/>
              </w:rPr>
              <w:t>Validation set</w:t>
            </w:r>
          </w:p>
        </w:tc>
      </w:tr>
      <w:tr w14:paraId="5F5A5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single" w:color="auto" w:sz="4" w:space="0"/>
              <w:right w:val="nil"/>
            </w:tcBorders>
          </w:tcPr>
          <w:p w14:paraId="0405AE5D">
            <w:pPr>
              <w:spacing w:line="240" w:lineRule="auto"/>
              <w:jc w:val="center"/>
              <w:rPr>
                <w:kern w:val="0"/>
                <w:sz w:val="22"/>
                <w:szCs w:val="22"/>
              </w:rPr>
            </w:pPr>
            <w:r>
              <w:rPr>
                <w:kern w:val="0"/>
                <w:sz w:val="22"/>
                <w:szCs w:val="22"/>
              </w:rPr>
              <w:t>classifier</w:t>
            </w:r>
          </w:p>
        </w:tc>
        <w:tc>
          <w:tcPr>
            <w:tcW w:w="1970" w:type="dxa"/>
            <w:tcBorders>
              <w:top w:val="single" w:color="auto" w:sz="4" w:space="0"/>
              <w:left w:val="nil"/>
              <w:bottom w:val="single" w:color="auto" w:sz="4" w:space="0"/>
              <w:right w:val="nil"/>
            </w:tcBorders>
          </w:tcPr>
          <w:p w14:paraId="68FED4B0">
            <w:pPr>
              <w:spacing w:line="240" w:lineRule="auto"/>
              <w:jc w:val="center"/>
              <w:rPr>
                <w:kern w:val="0"/>
                <w:sz w:val="22"/>
                <w:szCs w:val="22"/>
              </w:rPr>
            </w:pPr>
            <w:r>
              <w:rPr>
                <w:rFonts w:hint="eastAsia"/>
                <w:kern w:val="0"/>
                <w:sz w:val="22"/>
                <w:szCs w:val="22"/>
              </w:rPr>
              <w:t>AUC(95%CI)</w:t>
            </w:r>
          </w:p>
        </w:tc>
        <w:tc>
          <w:tcPr>
            <w:tcW w:w="1340" w:type="dxa"/>
            <w:tcBorders>
              <w:top w:val="single" w:color="auto" w:sz="4" w:space="0"/>
              <w:left w:val="nil"/>
              <w:bottom w:val="single" w:color="auto" w:sz="4" w:space="0"/>
              <w:right w:val="nil"/>
            </w:tcBorders>
          </w:tcPr>
          <w:p w14:paraId="133258E7">
            <w:pPr>
              <w:spacing w:line="240" w:lineRule="auto"/>
              <w:jc w:val="center"/>
              <w:rPr>
                <w:kern w:val="0"/>
                <w:sz w:val="22"/>
                <w:szCs w:val="22"/>
              </w:rPr>
            </w:pPr>
            <w:r>
              <w:rPr>
                <w:rFonts w:hint="eastAsia"/>
                <w:kern w:val="0"/>
                <w:sz w:val="22"/>
                <w:szCs w:val="22"/>
              </w:rPr>
              <w:t>ACC</w:t>
            </w:r>
          </w:p>
        </w:tc>
        <w:tc>
          <w:tcPr>
            <w:tcW w:w="2360" w:type="dxa"/>
            <w:tcBorders>
              <w:top w:val="single" w:color="auto" w:sz="4" w:space="0"/>
              <w:left w:val="nil"/>
              <w:bottom w:val="single" w:color="auto" w:sz="4" w:space="0"/>
              <w:right w:val="nil"/>
            </w:tcBorders>
          </w:tcPr>
          <w:p w14:paraId="0D895E27">
            <w:pPr>
              <w:spacing w:line="240" w:lineRule="auto"/>
              <w:jc w:val="center"/>
              <w:rPr>
                <w:kern w:val="0"/>
                <w:sz w:val="22"/>
                <w:szCs w:val="22"/>
              </w:rPr>
            </w:pPr>
            <w:r>
              <w:rPr>
                <w:rFonts w:hint="eastAsia"/>
                <w:kern w:val="0"/>
                <w:sz w:val="22"/>
                <w:szCs w:val="22"/>
              </w:rPr>
              <w:t>AUC(95%CI)</w:t>
            </w:r>
          </w:p>
        </w:tc>
        <w:tc>
          <w:tcPr>
            <w:tcW w:w="1202" w:type="dxa"/>
            <w:tcBorders>
              <w:top w:val="single" w:color="auto" w:sz="4" w:space="0"/>
              <w:left w:val="nil"/>
              <w:bottom w:val="single" w:color="auto" w:sz="4" w:space="0"/>
              <w:right w:val="nil"/>
            </w:tcBorders>
          </w:tcPr>
          <w:p w14:paraId="69EDB58A">
            <w:pPr>
              <w:spacing w:line="240" w:lineRule="auto"/>
              <w:jc w:val="center"/>
              <w:rPr>
                <w:kern w:val="0"/>
                <w:sz w:val="22"/>
                <w:szCs w:val="22"/>
              </w:rPr>
            </w:pPr>
            <w:r>
              <w:rPr>
                <w:rFonts w:hint="eastAsia"/>
                <w:kern w:val="0"/>
                <w:sz w:val="22"/>
                <w:szCs w:val="22"/>
              </w:rPr>
              <w:t>ACC</w:t>
            </w:r>
          </w:p>
        </w:tc>
      </w:tr>
      <w:tr w14:paraId="51373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2127" w:type="dxa"/>
            <w:tcBorders>
              <w:top w:val="single" w:color="auto" w:sz="4" w:space="0"/>
              <w:left w:val="nil"/>
              <w:bottom w:val="nil"/>
              <w:right w:val="nil"/>
            </w:tcBorders>
          </w:tcPr>
          <w:p w14:paraId="27045ABE">
            <w:pPr>
              <w:jc w:val="center"/>
              <w:rPr>
                <w:kern w:val="0"/>
                <w:sz w:val="22"/>
                <w:szCs w:val="22"/>
              </w:rPr>
            </w:pPr>
            <w:r>
              <w:rPr>
                <w:kern w:val="0"/>
                <w:sz w:val="22"/>
                <w:szCs w:val="22"/>
              </w:rPr>
              <w:t>L</w:t>
            </w:r>
            <w:r>
              <w:rPr>
                <w:rFonts w:hint="eastAsia"/>
                <w:kern w:val="0"/>
                <w:sz w:val="22"/>
                <w:szCs w:val="22"/>
              </w:rPr>
              <w:t>ogistic regression</w:t>
            </w:r>
          </w:p>
        </w:tc>
        <w:tc>
          <w:tcPr>
            <w:tcW w:w="1970" w:type="dxa"/>
            <w:tcBorders>
              <w:top w:val="single" w:color="auto" w:sz="4" w:space="0"/>
              <w:left w:val="nil"/>
              <w:bottom w:val="nil"/>
              <w:right w:val="nil"/>
            </w:tcBorders>
          </w:tcPr>
          <w:p w14:paraId="6D19E65D">
            <w:pPr>
              <w:jc w:val="center"/>
              <w:rPr>
                <w:kern w:val="0"/>
                <w:sz w:val="22"/>
                <w:szCs w:val="22"/>
              </w:rPr>
            </w:pPr>
            <w:r>
              <w:rPr>
                <w:rFonts w:hint="eastAsia"/>
                <w:kern w:val="0"/>
                <w:sz w:val="22"/>
                <w:szCs w:val="22"/>
              </w:rPr>
              <w:t>0.881(0.825-0.938)</w:t>
            </w:r>
          </w:p>
        </w:tc>
        <w:tc>
          <w:tcPr>
            <w:tcW w:w="1340" w:type="dxa"/>
            <w:tcBorders>
              <w:top w:val="single" w:color="auto" w:sz="4" w:space="0"/>
              <w:left w:val="nil"/>
              <w:bottom w:val="nil"/>
              <w:right w:val="nil"/>
            </w:tcBorders>
          </w:tcPr>
          <w:p w14:paraId="15A77898">
            <w:pPr>
              <w:jc w:val="center"/>
              <w:rPr>
                <w:kern w:val="0"/>
                <w:sz w:val="22"/>
                <w:szCs w:val="22"/>
              </w:rPr>
            </w:pPr>
            <w:r>
              <w:rPr>
                <w:rFonts w:hint="eastAsia"/>
                <w:kern w:val="0"/>
                <w:sz w:val="22"/>
                <w:szCs w:val="22"/>
              </w:rPr>
              <w:t>0.811</w:t>
            </w:r>
          </w:p>
        </w:tc>
        <w:tc>
          <w:tcPr>
            <w:tcW w:w="2360" w:type="dxa"/>
            <w:tcBorders>
              <w:top w:val="single" w:color="auto" w:sz="4" w:space="0"/>
              <w:left w:val="nil"/>
              <w:bottom w:val="nil"/>
              <w:right w:val="nil"/>
            </w:tcBorders>
          </w:tcPr>
          <w:p w14:paraId="54CA2DF8">
            <w:pPr>
              <w:jc w:val="center"/>
              <w:rPr>
                <w:kern w:val="0"/>
                <w:sz w:val="22"/>
                <w:szCs w:val="22"/>
              </w:rPr>
            </w:pPr>
            <w:r>
              <w:rPr>
                <w:rFonts w:hint="eastAsia"/>
                <w:kern w:val="0"/>
                <w:sz w:val="22"/>
                <w:szCs w:val="22"/>
              </w:rPr>
              <w:t>0.646(0.503-0.789)</w:t>
            </w:r>
          </w:p>
        </w:tc>
        <w:tc>
          <w:tcPr>
            <w:tcW w:w="1202" w:type="dxa"/>
            <w:tcBorders>
              <w:top w:val="single" w:color="auto" w:sz="4" w:space="0"/>
              <w:left w:val="nil"/>
              <w:bottom w:val="nil"/>
              <w:right w:val="nil"/>
            </w:tcBorders>
          </w:tcPr>
          <w:p w14:paraId="6B525942">
            <w:pPr>
              <w:jc w:val="center"/>
              <w:rPr>
                <w:kern w:val="0"/>
                <w:sz w:val="22"/>
                <w:szCs w:val="22"/>
              </w:rPr>
            </w:pPr>
            <w:r>
              <w:rPr>
                <w:rFonts w:hint="eastAsia"/>
                <w:kern w:val="0"/>
                <w:sz w:val="22"/>
                <w:szCs w:val="22"/>
              </w:rPr>
              <w:t>0.667</w:t>
            </w:r>
          </w:p>
        </w:tc>
      </w:tr>
      <w:tr w14:paraId="298C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4DF2B2F5">
            <w:pPr>
              <w:jc w:val="center"/>
              <w:rPr>
                <w:kern w:val="0"/>
                <w:sz w:val="22"/>
                <w:szCs w:val="22"/>
              </w:rPr>
            </w:pPr>
            <w:r>
              <w:rPr>
                <w:rFonts w:hint="eastAsia"/>
                <w:kern w:val="0"/>
                <w:sz w:val="22"/>
                <w:szCs w:val="22"/>
              </w:rPr>
              <w:t>Naivebayes</w:t>
            </w:r>
          </w:p>
        </w:tc>
        <w:tc>
          <w:tcPr>
            <w:tcW w:w="1970" w:type="dxa"/>
            <w:tcBorders>
              <w:top w:val="nil"/>
              <w:left w:val="nil"/>
              <w:bottom w:val="nil"/>
              <w:right w:val="nil"/>
            </w:tcBorders>
          </w:tcPr>
          <w:p w14:paraId="72C84A33">
            <w:pPr>
              <w:jc w:val="center"/>
              <w:rPr>
                <w:kern w:val="0"/>
                <w:sz w:val="22"/>
                <w:szCs w:val="22"/>
              </w:rPr>
            </w:pPr>
            <w:r>
              <w:rPr>
                <w:rFonts w:hint="eastAsia"/>
                <w:kern w:val="0"/>
                <w:sz w:val="22"/>
                <w:szCs w:val="22"/>
              </w:rPr>
              <w:t>0.806(0.727-0.886)</w:t>
            </w:r>
          </w:p>
        </w:tc>
        <w:tc>
          <w:tcPr>
            <w:tcW w:w="1340" w:type="dxa"/>
            <w:tcBorders>
              <w:top w:val="nil"/>
              <w:left w:val="nil"/>
              <w:bottom w:val="nil"/>
              <w:right w:val="nil"/>
            </w:tcBorders>
          </w:tcPr>
          <w:p w14:paraId="08D387A2">
            <w:pPr>
              <w:jc w:val="center"/>
              <w:rPr>
                <w:kern w:val="0"/>
                <w:sz w:val="22"/>
                <w:szCs w:val="22"/>
              </w:rPr>
            </w:pPr>
            <w:r>
              <w:rPr>
                <w:rFonts w:hint="eastAsia"/>
                <w:kern w:val="0"/>
                <w:sz w:val="22"/>
                <w:szCs w:val="22"/>
              </w:rPr>
              <w:t>0.772</w:t>
            </w:r>
          </w:p>
        </w:tc>
        <w:tc>
          <w:tcPr>
            <w:tcW w:w="2360" w:type="dxa"/>
            <w:tcBorders>
              <w:top w:val="nil"/>
              <w:left w:val="nil"/>
              <w:bottom w:val="nil"/>
              <w:right w:val="nil"/>
            </w:tcBorders>
          </w:tcPr>
          <w:p w14:paraId="36070421">
            <w:pPr>
              <w:jc w:val="center"/>
              <w:rPr>
                <w:kern w:val="0"/>
                <w:sz w:val="22"/>
                <w:szCs w:val="22"/>
              </w:rPr>
            </w:pPr>
            <w:r>
              <w:rPr>
                <w:rFonts w:hint="eastAsia"/>
                <w:kern w:val="0"/>
                <w:sz w:val="22"/>
                <w:szCs w:val="22"/>
              </w:rPr>
              <w:t>0.472(0.321-0.623)</w:t>
            </w:r>
          </w:p>
        </w:tc>
        <w:tc>
          <w:tcPr>
            <w:tcW w:w="1202" w:type="dxa"/>
            <w:tcBorders>
              <w:top w:val="nil"/>
              <w:left w:val="nil"/>
              <w:bottom w:val="nil"/>
              <w:right w:val="nil"/>
            </w:tcBorders>
          </w:tcPr>
          <w:p w14:paraId="46363B42">
            <w:pPr>
              <w:jc w:val="center"/>
              <w:rPr>
                <w:kern w:val="0"/>
                <w:sz w:val="22"/>
                <w:szCs w:val="22"/>
              </w:rPr>
            </w:pPr>
            <w:r>
              <w:rPr>
                <w:rFonts w:hint="eastAsia"/>
                <w:kern w:val="0"/>
                <w:sz w:val="22"/>
                <w:szCs w:val="22"/>
              </w:rPr>
              <w:t>0.571</w:t>
            </w:r>
          </w:p>
        </w:tc>
      </w:tr>
      <w:tr w14:paraId="58AB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7FF0F2FE">
            <w:pPr>
              <w:jc w:val="center"/>
              <w:rPr>
                <w:kern w:val="0"/>
                <w:sz w:val="22"/>
                <w:szCs w:val="22"/>
              </w:rPr>
            </w:pPr>
            <w:r>
              <w:rPr>
                <w:kern w:val="0"/>
                <w:sz w:val="22"/>
                <w:szCs w:val="22"/>
              </w:rPr>
              <w:t>S</w:t>
            </w:r>
            <w:r>
              <w:rPr>
                <w:rFonts w:hint="eastAsia"/>
                <w:kern w:val="0"/>
                <w:sz w:val="22"/>
                <w:szCs w:val="22"/>
              </w:rPr>
              <w:t>upport vector machine</w:t>
            </w:r>
          </w:p>
        </w:tc>
        <w:tc>
          <w:tcPr>
            <w:tcW w:w="1970" w:type="dxa"/>
            <w:tcBorders>
              <w:top w:val="nil"/>
              <w:left w:val="nil"/>
              <w:bottom w:val="nil"/>
              <w:right w:val="nil"/>
            </w:tcBorders>
          </w:tcPr>
          <w:p w14:paraId="59A6FE5F">
            <w:pPr>
              <w:jc w:val="center"/>
              <w:rPr>
                <w:kern w:val="0"/>
                <w:sz w:val="22"/>
                <w:szCs w:val="22"/>
              </w:rPr>
            </w:pPr>
            <w:r>
              <w:rPr>
                <w:rFonts w:hint="eastAsia"/>
                <w:kern w:val="0"/>
                <w:sz w:val="22"/>
                <w:szCs w:val="22"/>
              </w:rPr>
              <w:t>0.917(0.867-0.967)</w:t>
            </w:r>
          </w:p>
        </w:tc>
        <w:tc>
          <w:tcPr>
            <w:tcW w:w="1340" w:type="dxa"/>
            <w:tcBorders>
              <w:top w:val="nil"/>
              <w:left w:val="nil"/>
              <w:bottom w:val="nil"/>
              <w:right w:val="nil"/>
            </w:tcBorders>
          </w:tcPr>
          <w:p w14:paraId="76796557">
            <w:pPr>
              <w:jc w:val="center"/>
              <w:rPr>
                <w:kern w:val="0"/>
                <w:sz w:val="22"/>
                <w:szCs w:val="22"/>
              </w:rPr>
            </w:pPr>
            <w:r>
              <w:rPr>
                <w:rFonts w:hint="eastAsia"/>
                <w:kern w:val="0"/>
                <w:sz w:val="22"/>
                <w:szCs w:val="22"/>
              </w:rPr>
              <w:t>0.843</w:t>
            </w:r>
          </w:p>
        </w:tc>
        <w:tc>
          <w:tcPr>
            <w:tcW w:w="2360" w:type="dxa"/>
            <w:tcBorders>
              <w:top w:val="nil"/>
              <w:left w:val="nil"/>
              <w:bottom w:val="nil"/>
              <w:right w:val="nil"/>
            </w:tcBorders>
          </w:tcPr>
          <w:p w14:paraId="2A31AADA">
            <w:pPr>
              <w:jc w:val="center"/>
              <w:rPr>
                <w:kern w:val="0"/>
                <w:sz w:val="22"/>
                <w:szCs w:val="22"/>
              </w:rPr>
            </w:pPr>
            <w:r>
              <w:rPr>
                <w:rFonts w:hint="eastAsia"/>
                <w:kern w:val="0"/>
                <w:sz w:val="22"/>
                <w:szCs w:val="22"/>
              </w:rPr>
              <w:t>0.652(0.509-0.794)</w:t>
            </w:r>
          </w:p>
        </w:tc>
        <w:tc>
          <w:tcPr>
            <w:tcW w:w="1202" w:type="dxa"/>
            <w:tcBorders>
              <w:top w:val="nil"/>
              <w:left w:val="nil"/>
              <w:bottom w:val="nil"/>
              <w:right w:val="nil"/>
            </w:tcBorders>
          </w:tcPr>
          <w:p w14:paraId="4E742491">
            <w:pPr>
              <w:jc w:val="center"/>
              <w:rPr>
                <w:kern w:val="0"/>
                <w:sz w:val="22"/>
                <w:szCs w:val="22"/>
              </w:rPr>
            </w:pPr>
            <w:r>
              <w:rPr>
                <w:rFonts w:hint="eastAsia"/>
                <w:kern w:val="0"/>
                <w:sz w:val="22"/>
                <w:szCs w:val="22"/>
              </w:rPr>
              <w:t>0.667</w:t>
            </w:r>
          </w:p>
        </w:tc>
      </w:tr>
      <w:tr w14:paraId="40BB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4DC2B23C">
            <w:pPr>
              <w:jc w:val="center"/>
              <w:rPr>
                <w:kern w:val="0"/>
                <w:sz w:val="22"/>
                <w:szCs w:val="22"/>
              </w:rPr>
            </w:pPr>
            <w:r>
              <w:rPr>
                <w:rFonts w:hint="eastAsia"/>
                <w:kern w:val="0"/>
                <w:sz w:val="22"/>
                <w:szCs w:val="22"/>
              </w:rPr>
              <w:t>K nearest neighbor</w:t>
            </w:r>
          </w:p>
        </w:tc>
        <w:tc>
          <w:tcPr>
            <w:tcW w:w="1970" w:type="dxa"/>
            <w:tcBorders>
              <w:top w:val="nil"/>
              <w:left w:val="nil"/>
              <w:bottom w:val="nil"/>
              <w:right w:val="nil"/>
            </w:tcBorders>
          </w:tcPr>
          <w:p w14:paraId="413C8981">
            <w:pPr>
              <w:jc w:val="center"/>
              <w:rPr>
                <w:kern w:val="0"/>
                <w:sz w:val="22"/>
                <w:szCs w:val="22"/>
              </w:rPr>
            </w:pPr>
            <w:r>
              <w:rPr>
                <w:rFonts w:hint="eastAsia"/>
                <w:kern w:val="0"/>
                <w:sz w:val="22"/>
                <w:szCs w:val="22"/>
              </w:rPr>
              <w:t>0.895(0.845-0.946)</w:t>
            </w:r>
          </w:p>
        </w:tc>
        <w:tc>
          <w:tcPr>
            <w:tcW w:w="1340" w:type="dxa"/>
            <w:tcBorders>
              <w:top w:val="nil"/>
              <w:left w:val="nil"/>
              <w:bottom w:val="nil"/>
              <w:right w:val="nil"/>
            </w:tcBorders>
          </w:tcPr>
          <w:p w14:paraId="4A73EE4F">
            <w:pPr>
              <w:jc w:val="center"/>
              <w:rPr>
                <w:kern w:val="0"/>
                <w:sz w:val="22"/>
                <w:szCs w:val="22"/>
              </w:rPr>
            </w:pPr>
            <w:r>
              <w:rPr>
                <w:rFonts w:hint="eastAsia"/>
                <w:kern w:val="0"/>
                <w:sz w:val="22"/>
                <w:szCs w:val="22"/>
              </w:rPr>
              <w:t>0.630</w:t>
            </w:r>
          </w:p>
        </w:tc>
        <w:tc>
          <w:tcPr>
            <w:tcW w:w="2360" w:type="dxa"/>
            <w:tcBorders>
              <w:top w:val="nil"/>
              <w:left w:val="nil"/>
              <w:bottom w:val="nil"/>
              <w:right w:val="nil"/>
            </w:tcBorders>
          </w:tcPr>
          <w:p w14:paraId="5C8A1B5F">
            <w:pPr>
              <w:jc w:val="center"/>
              <w:rPr>
                <w:kern w:val="0"/>
                <w:sz w:val="22"/>
                <w:szCs w:val="22"/>
              </w:rPr>
            </w:pPr>
            <w:r>
              <w:rPr>
                <w:rFonts w:hint="eastAsia"/>
                <w:kern w:val="0"/>
                <w:sz w:val="22"/>
                <w:szCs w:val="22"/>
              </w:rPr>
              <w:t>0.593(0.453-0.733)</w:t>
            </w:r>
          </w:p>
        </w:tc>
        <w:tc>
          <w:tcPr>
            <w:tcW w:w="1202" w:type="dxa"/>
            <w:tcBorders>
              <w:top w:val="nil"/>
              <w:left w:val="nil"/>
              <w:bottom w:val="nil"/>
              <w:right w:val="nil"/>
            </w:tcBorders>
          </w:tcPr>
          <w:p w14:paraId="39490113">
            <w:pPr>
              <w:jc w:val="center"/>
              <w:rPr>
                <w:kern w:val="0"/>
                <w:sz w:val="22"/>
                <w:szCs w:val="22"/>
              </w:rPr>
            </w:pPr>
            <w:r>
              <w:rPr>
                <w:rFonts w:hint="eastAsia"/>
                <w:kern w:val="0"/>
                <w:sz w:val="22"/>
                <w:szCs w:val="22"/>
              </w:rPr>
              <w:t>0.460</w:t>
            </w:r>
          </w:p>
        </w:tc>
      </w:tr>
      <w:tr w14:paraId="0DA0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634F1E15">
            <w:pPr>
              <w:jc w:val="center"/>
              <w:rPr>
                <w:kern w:val="0"/>
                <w:sz w:val="22"/>
                <w:szCs w:val="22"/>
              </w:rPr>
            </w:pPr>
            <w:r>
              <w:rPr>
                <w:rFonts w:hint="eastAsia"/>
                <w:kern w:val="0"/>
                <w:sz w:val="22"/>
                <w:szCs w:val="22"/>
              </w:rPr>
              <w:t>Randomforest</w:t>
            </w:r>
          </w:p>
        </w:tc>
        <w:tc>
          <w:tcPr>
            <w:tcW w:w="1970" w:type="dxa"/>
            <w:tcBorders>
              <w:top w:val="nil"/>
              <w:left w:val="nil"/>
              <w:bottom w:val="nil"/>
              <w:right w:val="nil"/>
            </w:tcBorders>
          </w:tcPr>
          <w:p w14:paraId="6D41F161">
            <w:pPr>
              <w:jc w:val="center"/>
              <w:rPr>
                <w:kern w:val="0"/>
                <w:sz w:val="22"/>
                <w:szCs w:val="22"/>
              </w:rPr>
            </w:pPr>
            <w:r>
              <w:rPr>
                <w:rFonts w:hint="eastAsia"/>
                <w:kern w:val="0"/>
                <w:sz w:val="22"/>
                <w:szCs w:val="22"/>
              </w:rPr>
              <w:t>0.997(0.991-1.000)</w:t>
            </w:r>
          </w:p>
        </w:tc>
        <w:tc>
          <w:tcPr>
            <w:tcW w:w="1340" w:type="dxa"/>
            <w:tcBorders>
              <w:top w:val="nil"/>
              <w:left w:val="nil"/>
              <w:bottom w:val="nil"/>
              <w:right w:val="nil"/>
            </w:tcBorders>
          </w:tcPr>
          <w:p w14:paraId="15D609B5">
            <w:pPr>
              <w:jc w:val="center"/>
              <w:rPr>
                <w:kern w:val="0"/>
                <w:sz w:val="22"/>
                <w:szCs w:val="22"/>
              </w:rPr>
            </w:pPr>
            <w:r>
              <w:rPr>
                <w:rFonts w:hint="eastAsia"/>
                <w:kern w:val="0"/>
                <w:sz w:val="22"/>
                <w:szCs w:val="22"/>
              </w:rPr>
              <w:t>0.945</w:t>
            </w:r>
          </w:p>
        </w:tc>
        <w:tc>
          <w:tcPr>
            <w:tcW w:w="2360" w:type="dxa"/>
            <w:tcBorders>
              <w:top w:val="nil"/>
              <w:left w:val="nil"/>
              <w:bottom w:val="nil"/>
              <w:right w:val="nil"/>
            </w:tcBorders>
          </w:tcPr>
          <w:p w14:paraId="4F3F14C8">
            <w:pPr>
              <w:jc w:val="center"/>
              <w:rPr>
                <w:kern w:val="0"/>
                <w:sz w:val="22"/>
                <w:szCs w:val="22"/>
              </w:rPr>
            </w:pPr>
            <w:r>
              <w:rPr>
                <w:rFonts w:hint="eastAsia"/>
                <w:kern w:val="0"/>
                <w:sz w:val="22"/>
                <w:szCs w:val="22"/>
              </w:rPr>
              <w:t>0.587(0.441-0.733)</w:t>
            </w:r>
          </w:p>
        </w:tc>
        <w:tc>
          <w:tcPr>
            <w:tcW w:w="1202" w:type="dxa"/>
            <w:tcBorders>
              <w:top w:val="nil"/>
              <w:left w:val="nil"/>
              <w:bottom w:val="nil"/>
              <w:right w:val="nil"/>
            </w:tcBorders>
          </w:tcPr>
          <w:p w14:paraId="420D270E">
            <w:pPr>
              <w:jc w:val="center"/>
              <w:rPr>
                <w:kern w:val="0"/>
                <w:sz w:val="22"/>
                <w:szCs w:val="22"/>
              </w:rPr>
            </w:pPr>
            <w:r>
              <w:rPr>
                <w:rFonts w:hint="eastAsia"/>
                <w:kern w:val="0"/>
                <w:sz w:val="22"/>
                <w:szCs w:val="22"/>
              </w:rPr>
              <w:t>0.429</w:t>
            </w:r>
          </w:p>
        </w:tc>
      </w:tr>
      <w:tr w14:paraId="31FC8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5241636D">
            <w:pPr>
              <w:jc w:val="center"/>
              <w:rPr>
                <w:kern w:val="0"/>
                <w:sz w:val="22"/>
                <w:szCs w:val="22"/>
              </w:rPr>
            </w:pPr>
            <w:r>
              <w:rPr>
                <w:rFonts w:hint="eastAsia"/>
                <w:kern w:val="0"/>
                <w:sz w:val="22"/>
                <w:szCs w:val="22"/>
              </w:rPr>
              <w:t>Extremely randomized trees</w:t>
            </w:r>
          </w:p>
        </w:tc>
        <w:tc>
          <w:tcPr>
            <w:tcW w:w="1970" w:type="dxa"/>
            <w:tcBorders>
              <w:top w:val="nil"/>
              <w:left w:val="nil"/>
              <w:bottom w:val="nil"/>
              <w:right w:val="nil"/>
            </w:tcBorders>
          </w:tcPr>
          <w:p w14:paraId="319020E5">
            <w:pPr>
              <w:jc w:val="center"/>
              <w:rPr>
                <w:kern w:val="0"/>
                <w:sz w:val="22"/>
                <w:szCs w:val="22"/>
              </w:rPr>
            </w:pPr>
            <w:r>
              <w:rPr>
                <w:rFonts w:hint="eastAsia"/>
                <w:kern w:val="0"/>
                <w:sz w:val="22"/>
                <w:szCs w:val="22"/>
              </w:rPr>
              <w:t>1.000(1.000-1.000)</w:t>
            </w:r>
          </w:p>
        </w:tc>
        <w:tc>
          <w:tcPr>
            <w:tcW w:w="1340" w:type="dxa"/>
            <w:tcBorders>
              <w:top w:val="nil"/>
              <w:left w:val="nil"/>
              <w:bottom w:val="nil"/>
              <w:right w:val="nil"/>
            </w:tcBorders>
          </w:tcPr>
          <w:p w14:paraId="014AB1EF">
            <w:pPr>
              <w:jc w:val="center"/>
              <w:rPr>
                <w:kern w:val="0"/>
                <w:sz w:val="22"/>
                <w:szCs w:val="22"/>
              </w:rPr>
            </w:pPr>
            <w:r>
              <w:rPr>
                <w:rFonts w:hint="eastAsia"/>
                <w:kern w:val="0"/>
                <w:sz w:val="22"/>
                <w:szCs w:val="22"/>
              </w:rPr>
              <w:t>0.394</w:t>
            </w:r>
          </w:p>
        </w:tc>
        <w:tc>
          <w:tcPr>
            <w:tcW w:w="2360" w:type="dxa"/>
            <w:tcBorders>
              <w:top w:val="nil"/>
              <w:left w:val="nil"/>
              <w:bottom w:val="nil"/>
              <w:right w:val="nil"/>
            </w:tcBorders>
          </w:tcPr>
          <w:p w14:paraId="2998CEE7">
            <w:pPr>
              <w:jc w:val="center"/>
              <w:rPr>
                <w:kern w:val="0"/>
                <w:sz w:val="22"/>
                <w:szCs w:val="22"/>
              </w:rPr>
            </w:pPr>
            <w:r>
              <w:rPr>
                <w:rFonts w:hint="eastAsia"/>
                <w:kern w:val="0"/>
                <w:sz w:val="22"/>
                <w:szCs w:val="22"/>
              </w:rPr>
              <w:t>0.611(0.470-0.751)</w:t>
            </w:r>
          </w:p>
        </w:tc>
        <w:tc>
          <w:tcPr>
            <w:tcW w:w="1202" w:type="dxa"/>
            <w:tcBorders>
              <w:top w:val="nil"/>
              <w:left w:val="nil"/>
              <w:bottom w:val="nil"/>
              <w:right w:val="nil"/>
            </w:tcBorders>
          </w:tcPr>
          <w:p w14:paraId="66464CC8">
            <w:pPr>
              <w:jc w:val="center"/>
              <w:rPr>
                <w:kern w:val="0"/>
                <w:sz w:val="22"/>
                <w:szCs w:val="22"/>
              </w:rPr>
            </w:pPr>
            <w:r>
              <w:rPr>
                <w:rFonts w:hint="eastAsia"/>
                <w:kern w:val="0"/>
                <w:sz w:val="22"/>
                <w:szCs w:val="22"/>
              </w:rPr>
              <w:t>0.540</w:t>
            </w:r>
          </w:p>
        </w:tc>
      </w:tr>
      <w:tr w14:paraId="040B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4053AFCD">
            <w:pPr>
              <w:jc w:val="center"/>
              <w:rPr>
                <w:kern w:val="0"/>
                <w:sz w:val="22"/>
                <w:szCs w:val="22"/>
              </w:rPr>
            </w:pPr>
            <w:r>
              <w:rPr>
                <w:rFonts w:hint="eastAsia"/>
                <w:kern w:val="0"/>
                <w:sz w:val="22"/>
                <w:szCs w:val="22"/>
              </w:rPr>
              <w:t>Extreme gradient boosting</w:t>
            </w:r>
          </w:p>
        </w:tc>
        <w:tc>
          <w:tcPr>
            <w:tcW w:w="1970" w:type="dxa"/>
            <w:tcBorders>
              <w:top w:val="nil"/>
              <w:left w:val="nil"/>
              <w:bottom w:val="nil"/>
              <w:right w:val="nil"/>
            </w:tcBorders>
          </w:tcPr>
          <w:p w14:paraId="658C2BE7">
            <w:pPr>
              <w:jc w:val="center"/>
              <w:rPr>
                <w:kern w:val="0"/>
                <w:sz w:val="22"/>
                <w:szCs w:val="22"/>
              </w:rPr>
            </w:pPr>
            <w:r>
              <w:rPr>
                <w:rFonts w:hint="eastAsia"/>
                <w:kern w:val="0"/>
                <w:sz w:val="22"/>
                <w:szCs w:val="22"/>
              </w:rPr>
              <w:t>1.000(1.000-1.000)</w:t>
            </w:r>
          </w:p>
        </w:tc>
        <w:tc>
          <w:tcPr>
            <w:tcW w:w="1340" w:type="dxa"/>
            <w:tcBorders>
              <w:top w:val="nil"/>
              <w:left w:val="nil"/>
              <w:bottom w:val="nil"/>
              <w:right w:val="nil"/>
            </w:tcBorders>
          </w:tcPr>
          <w:p w14:paraId="4D7D345A">
            <w:pPr>
              <w:jc w:val="center"/>
              <w:rPr>
                <w:kern w:val="0"/>
                <w:sz w:val="22"/>
                <w:szCs w:val="22"/>
              </w:rPr>
            </w:pPr>
            <w:r>
              <w:rPr>
                <w:rFonts w:hint="eastAsia"/>
                <w:kern w:val="0"/>
                <w:sz w:val="22"/>
                <w:szCs w:val="22"/>
              </w:rPr>
              <w:t>0.992</w:t>
            </w:r>
          </w:p>
        </w:tc>
        <w:tc>
          <w:tcPr>
            <w:tcW w:w="2360" w:type="dxa"/>
            <w:tcBorders>
              <w:top w:val="nil"/>
              <w:left w:val="nil"/>
              <w:bottom w:val="nil"/>
              <w:right w:val="nil"/>
            </w:tcBorders>
          </w:tcPr>
          <w:p w14:paraId="574E4F10">
            <w:pPr>
              <w:jc w:val="center"/>
              <w:rPr>
                <w:kern w:val="0"/>
                <w:sz w:val="22"/>
                <w:szCs w:val="22"/>
              </w:rPr>
            </w:pPr>
            <w:r>
              <w:rPr>
                <w:rFonts w:hint="eastAsia"/>
                <w:kern w:val="0"/>
                <w:sz w:val="22"/>
                <w:szCs w:val="22"/>
              </w:rPr>
              <w:t>0.568(0.422-0.714)</w:t>
            </w:r>
          </w:p>
        </w:tc>
        <w:tc>
          <w:tcPr>
            <w:tcW w:w="1202" w:type="dxa"/>
            <w:tcBorders>
              <w:top w:val="nil"/>
              <w:left w:val="nil"/>
              <w:bottom w:val="nil"/>
              <w:right w:val="nil"/>
            </w:tcBorders>
          </w:tcPr>
          <w:p w14:paraId="723C0801">
            <w:pPr>
              <w:jc w:val="center"/>
              <w:rPr>
                <w:kern w:val="0"/>
                <w:sz w:val="22"/>
                <w:szCs w:val="22"/>
              </w:rPr>
            </w:pPr>
            <w:r>
              <w:rPr>
                <w:rFonts w:hint="eastAsia"/>
                <w:kern w:val="0"/>
                <w:sz w:val="22"/>
                <w:szCs w:val="22"/>
              </w:rPr>
              <w:t>0.556</w:t>
            </w:r>
          </w:p>
        </w:tc>
      </w:tr>
      <w:tr w14:paraId="24166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5B083FE8">
            <w:pPr>
              <w:jc w:val="center"/>
              <w:rPr>
                <w:kern w:val="0"/>
                <w:sz w:val="22"/>
                <w:szCs w:val="22"/>
              </w:rPr>
            </w:pPr>
            <w:r>
              <w:rPr>
                <w:rFonts w:hint="eastAsia"/>
                <w:kern w:val="0"/>
                <w:sz w:val="22"/>
                <w:szCs w:val="22"/>
              </w:rPr>
              <w:t>Lightgradient Boosting machine</w:t>
            </w:r>
          </w:p>
        </w:tc>
        <w:tc>
          <w:tcPr>
            <w:tcW w:w="1970" w:type="dxa"/>
            <w:tcBorders>
              <w:top w:val="nil"/>
              <w:left w:val="nil"/>
              <w:bottom w:val="nil"/>
              <w:right w:val="nil"/>
            </w:tcBorders>
          </w:tcPr>
          <w:p w14:paraId="66889A85">
            <w:pPr>
              <w:jc w:val="center"/>
              <w:rPr>
                <w:kern w:val="0"/>
                <w:sz w:val="22"/>
                <w:szCs w:val="22"/>
              </w:rPr>
            </w:pPr>
            <w:r>
              <w:rPr>
                <w:rFonts w:hint="eastAsia"/>
                <w:kern w:val="0"/>
                <w:sz w:val="22"/>
                <w:szCs w:val="22"/>
              </w:rPr>
              <w:t>0.892(0.837-0.946)</w:t>
            </w:r>
          </w:p>
        </w:tc>
        <w:tc>
          <w:tcPr>
            <w:tcW w:w="1340" w:type="dxa"/>
            <w:tcBorders>
              <w:top w:val="nil"/>
              <w:left w:val="nil"/>
              <w:bottom w:val="nil"/>
              <w:right w:val="nil"/>
            </w:tcBorders>
          </w:tcPr>
          <w:p w14:paraId="219CC818">
            <w:pPr>
              <w:jc w:val="center"/>
              <w:rPr>
                <w:kern w:val="0"/>
                <w:sz w:val="22"/>
                <w:szCs w:val="22"/>
              </w:rPr>
            </w:pPr>
            <w:r>
              <w:rPr>
                <w:rFonts w:hint="eastAsia"/>
                <w:kern w:val="0"/>
                <w:sz w:val="22"/>
                <w:szCs w:val="22"/>
              </w:rPr>
              <w:t>0.827</w:t>
            </w:r>
          </w:p>
        </w:tc>
        <w:tc>
          <w:tcPr>
            <w:tcW w:w="2360" w:type="dxa"/>
            <w:tcBorders>
              <w:top w:val="nil"/>
              <w:left w:val="nil"/>
              <w:bottom w:val="nil"/>
              <w:right w:val="nil"/>
            </w:tcBorders>
          </w:tcPr>
          <w:p w14:paraId="16B50A27">
            <w:pPr>
              <w:jc w:val="center"/>
              <w:rPr>
                <w:kern w:val="0"/>
                <w:sz w:val="22"/>
                <w:szCs w:val="22"/>
              </w:rPr>
            </w:pPr>
            <w:r>
              <w:rPr>
                <w:rFonts w:hint="eastAsia"/>
                <w:kern w:val="0"/>
                <w:sz w:val="22"/>
                <w:szCs w:val="22"/>
              </w:rPr>
              <w:t>0.692(0.552-0.832)</w:t>
            </w:r>
          </w:p>
        </w:tc>
        <w:tc>
          <w:tcPr>
            <w:tcW w:w="1202" w:type="dxa"/>
            <w:tcBorders>
              <w:top w:val="nil"/>
              <w:left w:val="nil"/>
              <w:bottom w:val="nil"/>
              <w:right w:val="nil"/>
            </w:tcBorders>
          </w:tcPr>
          <w:p w14:paraId="3A532DF2">
            <w:pPr>
              <w:jc w:val="center"/>
              <w:rPr>
                <w:kern w:val="0"/>
                <w:sz w:val="22"/>
                <w:szCs w:val="22"/>
              </w:rPr>
            </w:pPr>
            <w:r>
              <w:rPr>
                <w:rFonts w:hint="eastAsia"/>
                <w:kern w:val="0"/>
                <w:sz w:val="22"/>
                <w:szCs w:val="22"/>
              </w:rPr>
              <w:t>0.714</w:t>
            </w:r>
          </w:p>
        </w:tc>
      </w:tr>
      <w:tr w14:paraId="3997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0A0ADBFE">
            <w:pPr>
              <w:jc w:val="center"/>
              <w:rPr>
                <w:kern w:val="0"/>
                <w:sz w:val="22"/>
                <w:szCs w:val="22"/>
              </w:rPr>
            </w:pPr>
            <w:r>
              <w:rPr>
                <w:rFonts w:hint="eastAsia"/>
                <w:kern w:val="0"/>
                <w:sz w:val="22"/>
                <w:szCs w:val="22"/>
              </w:rPr>
              <w:t>Gradientboosting</w:t>
            </w:r>
          </w:p>
        </w:tc>
        <w:tc>
          <w:tcPr>
            <w:tcW w:w="1970" w:type="dxa"/>
            <w:tcBorders>
              <w:top w:val="nil"/>
              <w:left w:val="nil"/>
              <w:bottom w:val="nil"/>
              <w:right w:val="nil"/>
            </w:tcBorders>
          </w:tcPr>
          <w:p w14:paraId="5DA648A2">
            <w:pPr>
              <w:jc w:val="center"/>
              <w:rPr>
                <w:kern w:val="0"/>
                <w:sz w:val="22"/>
                <w:szCs w:val="22"/>
              </w:rPr>
            </w:pPr>
            <w:r>
              <w:rPr>
                <w:rFonts w:hint="eastAsia"/>
                <w:kern w:val="0"/>
                <w:sz w:val="22"/>
                <w:szCs w:val="22"/>
              </w:rPr>
              <w:t>0.948(0.912-0.983)</w:t>
            </w:r>
          </w:p>
        </w:tc>
        <w:tc>
          <w:tcPr>
            <w:tcW w:w="1340" w:type="dxa"/>
            <w:tcBorders>
              <w:top w:val="nil"/>
              <w:left w:val="nil"/>
              <w:bottom w:val="nil"/>
              <w:right w:val="nil"/>
            </w:tcBorders>
          </w:tcPr>
          <w:p w14:paraId="4F3D52E1">
            <w:pPr>
              <w:jc w:val="center"/>
              <w:rPr>
                <w:kern w:val="0"/>
                <w:sz w:val="22"/>
                <w:szCs w:val="22"/>
              </w:rPr>
            </w:pPr>
            <w:r>
              <w:rPr>
                <w:rFonts w:hint="eastAsia"/>
                <w:kern w:val="0"/>
                <w:sz w:val="22"/>
                <w:szCs w:val="22"/>
              </w:rPr>
              <w:t>0.866</w:t>
            </w:r>
          </w:p>
        </w:tc>
        <w:tc>
          <w:tcPr>
            <w:tcW w:w="2360" w:type="dxa"/>
            <w:tcBorders>
              <w:top w:val="nil"/>
              <w:left w:val="nil"/>
              <w:bottom w:val="nil"/>
              <w:right w:val="nil"/>
            </w:tcBorders>
          </w:tcPr>
          <w:p w14:paraId="7EA16E61">
            <w:pPr>
              <w:jc w:val="center"/>
              <w:rPr>
                <w:kern w:val="0"/>
                <w:sz w:val="22"/>
                <w:szCs w:val="22"/>
              </w:rPr>
            </w:pPr>
            <w:r>
              <w:rPr>
                <w:rFonts w:hint="eastAsia"/>
                <w:kern w:val="0"/>
                <w:sz w:val="22"/>
                <w:szCs w:val="22"/>
              </w:rPr>
              <w:t>0.619(0.476-0.763)</w:t>
            </w:r>
          </w:p>
        </w:tc>
        <w:tc>
          <w:tcPr>
            <w:tcW w:w="1202" w:type="dxa"/>
            <w:tcBorders>
              <w:top w:val="nil"/>
              <w:left w:val="nil"/>
              <w:bottom w:val="nil"/>
              <w:right w:val="nil"/>
            </w:tcBorders>
          </w:tcPr>
          <w:p w14:paraId="12148DFB">
            <w:pPr>
              <w:jc w:val="center"/>
              <w:rPr>
                <w:kern w:val="0"/>
                <w:sz w:val="22"/>
                <w:szCs w:val="22"/>
              </w:rPr>
            </w:pPr>
            <w:r>
              <w:rPr>
                <w:rFonts w:hint="eastAsia"/>
                <w:kern w:val="0"/>
                <w:sz w:val="22"/>
                <w:szCs w:val="22"/>
              </w:rPr>
              <w:t>0.635</w:t>
            </w:r>
          </w:p>
        </w:tc>
      </w:tr>
      <w:tr w14:paraId="33F5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127" w:type="dxa"/>
            <w:tcBorders>
              <w:top w:val="nil"/>
              <w:left w:val="nil"/>
              <w:bottom w:val="nil"/>
              <w:right w:val="nil"/>
            </w:tcBorders>
          </w:tcPr>
          <w:p w14:paraId="05B12842">
            <w:pPr>
              <w:jc w:val="center"/>
              <w:rPr>
                <w:kern w:val="0"/>
                <w:sz w:val="22"/>
                <w:szCs w:val="22"/>
              </w:rPr>
            </w:pPr>
            <w:r>
              <w:rPr>
                <w:rFonts w:hint="eastAsia"/>
                <w:kern w:val="0"/>
                <w:sz w:val="22"/>
                <w:szCs w:val="22"/>
              </w:rPr>
              <w:t>Adaboost</w:t>
            </w:r>
          </w:p>
        </w:tc>
        <w:tc>
          <w:tcPr>
            <w:tcW w:w="1970" w:type="dxa"/>
            <w:tcBorders>
              <w:top w:val="nil"/>
              <w:left w:val="nil"/>
              <w:bottom w:val="nil"/>
              <w:right w:val="nil"/>
            </w:tcBorders>
          </w:tcPr>
          <w:p w14:paraId="78623208">
            <w:pPr>
              <w:jc w:val="center"/>
              <w:rPr>
                <w:kern w:val="0"/>
                <w:sz w:val="22"/>
                <w:szCs w:val="22"/>
              </w:rPr>
            </w:pPr>
            <w:r>
              <w:rPr>
                <w:rFonts w:hint="eastAsia"/>
                <w:kern w:val="0"/>
                <w:sz w:val="22"/>
                <w:szCs w:val="22"/>
              </w:rPr>
              <w:t>0.941(0.905-0.977)</w:t>
            </w:r>
          </w:p>
        </w:tc>
        <w:tc>
          <w:tcPr>
            <w:tcW w:w="1340" w:type="dxa"/>
            <w:tcBorders>
              <w:top w:val="nil"/>
              <w:left w:val="nil"/>
              <w:bottom w:val="nil"/>
              <w:right w:val="nil"/>
            </w:tcBorders>
          </w:tcPr>
          <w:p w14:paraId="6A2656BD">
            <w:pPr>
              <w:jc w:val="center"/>
              <w:rPr>
                <w:kern w:val="0"/>
                <w:sz w:val="22"/>
                <w:szCs w:val="22"/>
              </w:rPr>
            </w:pPr>
            <w:r>
              <w:rPr>
                <w:rFonts w:hint="eastAsia"/>
                <w:kern w:val="0"/>
                <w:sz w:val="22"/>
                <w:szCs w:val="22"/>
              </w:rPr>
              <w:t>0.835</w:t>
            </w:r>
          </w:p>
        </w:tc>
        <w:tc>
          <w:tcPr>
            <w:tcW w:w="2360" w:type="dxa"/>
            <w:tcBorders>
              <w:top w:val="nil"/>
              <w:left w:val="nil"/>
              <w:bottom w:val="nil"/>
              <w:right w:val="nil"/>
            </w:tcBorders>
          </w:tcPr>
          <w:p w14:paraId="5BDA77FC">
            <w:pPr>
              <w:jc w:val="center"/>
              <w:rPr>
                <w:kern w:val="0"/>
                <w:sz w:val="22"/>
                <w:szCs w:val="22"/>
              </w:rPr>
            </w:pPr>
            <w:r>
              <w:rPr>
                <w:rFonts w:hint="eastAsia"/>
                <w:kern w:val="0"/>
                <w:sz w:val="22"/>
                <w:szCs w:val="22"/>
              </w:rPr>
              <w:t>0.480(0.332-0.628)</w:t>
            </w:r>
          </w:p>
        </w:tc>
        <w:tc>
          <w:tcPr>
            <w:tcW w:w="1202" w:type="dxa"/>
            <w:tcBorders>
              <w:top w:val="nil"/>
              <w:left w:val="nil"/>
              <w:bottom w:val="nil"/>
              <w:right w:val="nil"/>
            </w:tcBorders>
          </w:tcPr>
          <w:p w14:paraId="6739EAE4">
            <w:pPr>
              <w:jc w:val="center"/>
              <w:rPr>
                <w:kern w:val="0"/>
                <w:sz w:val="22"/>
                <w:szCs w:val="22"/>
              </w:rPr>
            </w:pPr>
            <w:r>
              <w:rPr>
                <w:rFonts w:hint="eastAsia"/>
                <w:kern w:val="0"/>
                <w:sz w:val="22"/>
                <w:szCs w:val="22"/>
              </w:rPr>
              <w:t>0.587</w:t>
            </w:r>
          </w:p>
        </w:tc>
      </w:tr>
      <w:tr w14:paraId="24155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2127" w:type="dxa"/>
            <w:tcBorders>
              <w:top w:val="nil"/>
              <w:left w:val="nil"/>
              <w:bottom w:val="single" w:color="000000" w:sz="4" w:space="0"/>
              <w:right w:val="nil"/>
            </w:tcBorders>
          </w:tcPr>
          <w:p w14:paraId="5DCDB499">
            <w:pPr>
              <w:jc w:val="center"/>
              <w:rPr>
                <w:kern w:val="0"/>
                <w:sz w:val="22"/>
                <w:szCs w:val="22"/>
              </w:rPr>
            </w:pPr>
            <w:r>
              <w:rPr>
                <w:rFonts w:hint="eastAsia"/>
                <w:kern w:val="0"/>
                <w:sz w:val="22"/>
                <w:szCs w:val="22"/>
              </w:rPr>
              <w:t>Multi-layer Perceptron</w:t>
            </w:r>
          </w:p>
        </w:tc>
        <w:tc>
          <w:tcPr>
            <w:tcW w:w="1970" w:type="dxa"/>
            <w:tcBorders>
              <w:top w:val="nil"/>
              <w:left w:val="nil"/>
              <w:bottom w:val="single" w:color="000000" w:sz="4" w:space="0"/>
              <w:right w:val="nil"/>
            </w:tcBorders>
          </w:tcPr>
          <w:p w14:paraId="37962F9E">
            <w:pPr>
              <w:jc w:val="center"/>
              <w:rPr>
                <w:kern w:val="0"/>
                <w:sz w:val="22"/>
                <w:szCs w:val="22"/>
              </w:rPr>
            </w:pPr>
            <w:r>
              <w:rPr>
                <w:rFonts w:hint="eastAsia"/>
                <w:kern w:val="0"/>
                <w:sz w:val="22"/>
                <w:szCs w:val="22"/>
              </w:rPr>
              <w:t>0.885(0.829-0.941)</w:t>
            </w:r>
          </w:p>
        </w:tc>
        <w:tc>
          <w:tcPr>
            <w:tcW w:w="1340" w:type="dxa"/>
            <w:tcBorders>
              <w:top w:val="nil"/>
              <w:left w:val="nil"/>
              <w:bottom w:val="single" w:color="000000" w:sz="4" w:space="0"/>
              <w:right w:val="nil"/>
            </w:tcBorders>
          </w:tcPr>
          <w:p w14:paraId="17AD98AB">
            <w:pPr>
              <w:jc w:val="center"/>
              <w:rPr>
                <w:kern w:val="0"/>
                <w:sz w:val="22"/>
                <w:szCs w:val="22"/>
              </w:rPr>
            </w:pPr>
            <w:r>
              <w:rPr>
                <w:rFonts w:hint="eastAsia"/>
                <w:kern w:val="0"/>
                <w:sz w:val="22"/>
                <w:szCs w:val="22"/>
              </w:rPr>
              <w:t>0.795</w:t>
            </w:r>
          </w:p>
        </w:tc>
        <w:tc>
          <w:tcPr>
            <w:tcW w:w="2360" w:type="dxa"/>
            <w:tcBorders>
              <w:top w:val="nil"/>
              <w:left w:val="nil"/>
              <w:bottom w:val="single" w:color="000000" w:sz="4" w:space="0"/>
              <w:right w:val="nil"/>
            </w:tcBorders>
          </w:tcPr>
          <w:p w14:paraId="79C68A8B">
            <w:pPr>
              <w:jc w:val="center"/>
              <w:rPr>
                <w:kern w:val="0"/>
                <w:sz w:val="22"/>
                <w:szCs w:val="22"/>
              </w:rPr>
            </w:pPr>
            <w:r>
              <w:rPr>
                <w:rFonts w:hint="eastAsia"/>
                <w:kern w:val="0"/>
                <w:sz w:val="22"/>
                <w:szCs w:val="22"/>
              </w:rPr>
              <w:t>0.579(0.431-0.727)</w:t>
            </w:r>
          </w:p>
        </w:tc>
        <w:tc>
          <w:tcPr>
            <w:tcW w:w="1202" w:type="dxa"/>
            <w:tcBorders>
              <w:top w:val="nil"/>
              <w:left w:val="nil"/>
              <w:bottom w:val="single" w:color="000000" w:sz="4" w:space="0"/>
              <w:right w:val="nil"/>
            </w:tcBorders>
          </w:tcPr>
          <w:p w14:paraId="50BE0010">
            <w:pPr>
              <w:jc w:val="center"/>
              <w:rPr>
                <w:kern w:val="0"/>
                <w:sz w:val="22"/>
                <w:szCs w:val="22"/>
              </w:rPr>
            </w:pPr>
            <w:r>
              <w:rPr>
                <w:rFonts w:hint="eastAsia"/>
                <w:kern w:val="0"/>
                <w:sz w:val="22"/>
                <w:szCs w:val="22"/>
              </w:rPr>
              <w:t>0.619</w:t>
            </w:r>
          </w:p>
        </w:tc>
      </w:tr>
    </w:tbl>
    <w:p w14:paraId="610C1ABF">
      <w:pPr>
        <w:spacing w:line="480" w:lineRule="auto"/>
        <w:rPr>
          <w:color w:val="000000" w:themeColor="text1"/>
          <w14:textFill>
            <w14:solidFill>
              <w14:schemeClr w14:val="tx1"/>
            </w14:solidFill>
          </w14:textFill>
        </w:rPr>
      </w:pPr>
      <w:r>
        <w:rPr>
          <w:color w:val="000000" w:themeColor="text1"/>
          <w14:textFill>
            <w14:solidFill>
              <w14:schemeClr w14:val="tx1"/>
            </w14:solidFill>
          </w14:textFill>
        </w:rPr>
        <w:t>Note: AUC, area under the curve; ACC, accuracy; CI, confidence interval</w:t>
      </w:r>
    </w:p>
    <w:p w14:paraId="06693454">
      <w:pPr>
        <w:keepNext w:val="0"/>
        <w:keepLines w:val="0"/>
        <w:widowControl w:val="0"/>
        <w:suppressLineNumbers w:val="0"/>
        <w:spacing w:before="0" w:beforeAutospacing="0" w:after="0" w:afterAutospacing="0" w:line="480" w:lineRule="auto"/>
        <w:ind w:left="0" w:right="0"/>
        <w:jc w:val="both"/>
        <w:rPr>
          <w:color w:val="000000"/>
          <w:lang w:val="en-US"/>
        </w:rPr>
      </w:pPr>
    </w:p>
    <w:p w14:paraId="2B724700">
      <w:pPr>
        <w:keepNext w:val="0"/>
        <w:keepLines w:val="0"/>
        <w:widowControl w:val="0"/>
        <w:suppressLineNumbers w:val="0"/>
        <w:spacing w:before="0" w:beforeAutospacing="0" w:after="0" w:afterAutospacing="0" w:line="480" w:lineRule="auto"/>
        <w:ind w:left="0" w:right="0"/>
        <w:jc w:val="both"/>
        <w:rPr>
          <w:color w:val="000000"/>
          <w:lang w:val="en-US"/>
        </w:rPr>
      </w:pPr>
      <w:bookmarkStart w:id="2" w:name="_GoBack"/>
      <w:bookmarkEnd w:id="2"/>
      <w:r>
        <w:rPr>
          <w:color w:val="000000"/>
          <w:lang w:val="en-US"/>
        </w:rPr>
        <w:t>Supplementary materials</w:t>
      </w:r>
    </w:p>
    <w:p w14:paraId="6595717B">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Regarding N-stage: Lymph nodes with a short diameter greater than 1 cm are considered to have lymph node metastasis.</w:t>
      </w:r>
    </w:p>
    <w:p w14:paraId="0DDEAEA3">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N-----regional lymph nodes </w:t>
      </w:r>
    </w:p>
    <w:p w14:paraId="3F9A5B23">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Nx regional lymph nodes could not be evaluated </w:t>
      </w:r>
    </w:p>
    <w:p w14:paraId="0193546F">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No No regional lymph node metastasis was observed </w:t>
      </w:r>
    </w:p>
    <w:p w14:paraId="134F6C48">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N1 Lymph node metastasis in single region of true pelvis (perivesical, obturator, </w:t>
      </w:r>
    </w:p>
    <w:p w14:paraId="29DDBA8A">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internal/external iliac, anterior sacral lymph node metastasis) </w:t>
      </w:r>
    </w:p>
    <w:p w14:paraId="00A5BAC8">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N2 Multiple regional lymph node metastases in true pelvis (perivesical, obturator, </w:t>
      </w:r>
    </w:p>
    <w:p w14:paraId="0E849C55">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internal/external iliac, anterior sacral lymph node metastases) </w:t>
      </w:r>
    </w:p>
    <w:p w14:paraId="6A764790">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N3 common iliac artery lymph node metastasis.</w:t>
      </w:r>
    </w:p>
    <w:p w14:paraId="56A1C10E">
      <w:pPr>
        <w:keepNext w:val="0"/>
        <w:keepLines w:val="0"/>
        <w:widowControl w:val="0"/>
        <w:suppressLineNumbers w:val="0"/>
        <w:spacing w:before="0" w:beforeAutospacing="0" w:after="0" w:afterAutospacing="0" w:line="480" w:lineRule="auto"/>
        <w:ind w:left="0" w:right="0"/>
        <w:jc w:val="both"/>
        <w:rPr>
          <w:lang w:val="en-US"/>
        </w:rPr>
      </w:pPr>
      <w:r>
        <w:rPr>
          <w:rFonts w:hint="default" w:ascii="Times New Roman" w:hAnsi="Times New Roman" w:eastAsia="等线" w:cs="Times New Roman"/>
          <w:kern w:val="2"/>
          <w:sz w:val="24"/>
          <w:szCs w:val="24"/>
          <w:lang w:val="en-US" w:eastAsia="zh-CN" w:bidi="ar"/>
          <w14:ligatures w14:val="none"/>
        </w:rPr>
        <w:t xml:space="preserve">Regarding the Cystic necrosis : Cystic necrosis can be manifested as low density shadow in the mass on CT, and CT value is the water density value. When the enhanced CT scan was performed, there was no enhancement in the necrotic area. </w:t>
      </w:r>
    </w:p>
    <w:p w14:paraId="02BA671A">
      <w:pPr>
        <w:keepNext w:val="0"/>
        <w:keepLines w:val="0"/>
        <w:widowControl/>
        <w:suppressLineNumbers w:val="0"/>
        <w:jc w:val="left"/>
      </w:pPr>
      <w:r>
        <w:rPr>
          <w:rFonts w:hint="default" w:ascii="Times New Roman" w:hAnsi="Times New Roman" w:eastAsia="等线" w:cs="Times New Roman"/>
          <w:kern w:val="2"/>
          <w:sz w:val="24"/>
          <w:szCs w:val="24"/>
          <w:lang w:val="en-US" w:eastAsia="zh-CN" w:bidi="ar"/>
          <w14:ligatures w14:val="none"/>
        </w:rPr>
        <w:t>Regarding the measurement of CT values: The key to conducting CT value measurement at each stage lies in the selection of the region of interest (ROI), which should be located at the center of the maximum layer of the tumor lesion in the CT image (2D image), and the average value of three measurement values should be taken.</w:t>
      </w:r>
      <w:r>
        <w:rPr>
          <w:rFonts w:hint="default" w:ascii="宋体" w:hAnsi="宋体" w:eastAsia="宋体" w:cs="宋体"/>
          <w:kern w:val="2"/>
          <w:sz w:val="24"/>
          <w:szCs w:val="24"/>
          <w:lang w:val="en-US" w:eastAsia="zh-CN" w:bidi="ar"/>
          <w14:ligatures w14:val="none"/>
        </w:rPr>
        <w:t xml:space="preserve"> </w:t>
      </w:r>
    </w:p>
    <w:p w14:paraId="3EF47558">
      <w:pPr>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auto"/>
    <w:pitch w:val="variable"/>
    <w:sig w:usb0="E00006FF" w:usb1="420024FF" w:usb2="02000000" w:usb3="00000000" w:csb0="2000019F"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3B9"/>
    <w:rsid w:val="000C23BF"/>
    <w:rsid w:val="000F140C"/>
    <w:rsid w:val="003C73B9"/>
    <w:rsid w:val="0AFB17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等线" w:cs="Times New Roman"/>
      <w:kern w:val="2"/>
      <w:sz w:val="24"/>
      <w:szCs w:val="24"/>
      <w:lang w:val="en-US" w:eastAsia="zh-CN" w:bidi="ar-SA"/>
      <w14:ligatures w14:val="none"/>
    </w:rPr>
  </w:style>
  <w:style w:type="character" w:default="1" w:styleId="5">
    <w:name w:val="Default Paragraph Font"/>
    <w:semiHidden/>
    <w:unhideWhenUsed/>
    <w:uiPriority w:val="1"/>
  </w:style>
  <w:style w:type="table" w:default="1" w:styleId="3">
    <w:name w:val="Normal Table"/>
    <w:semiHidden/>
    <w:unhideWhenUsed/>
    <w:uiPriority w:val="99"/>
    <w:pPr>
      <w:keepNext w:val="0"/>
      <w:keepLines w:val="0"/>
      <w:widowControl/>
      <w:suppressLineNumbers w:val="0"/>
      <w:spacing w:before="0" w:beforeAutospacing="0" w:after="0" w:afterAutospacing="0"/>
      <w:ind w:left="0" w:right="0"/>
    </w:pPr>
    <w:rPr>
      <w:rFonts w:hint="eastAsia" w:ascii="等线" w:hAnsi="等线" w:eastAsia="等线" w:cs="等线"/>
      <w:sz w:val="20"/>
      <w:szCs w:val="20"/>
    </w:rPr>
    <w:tblPr>
      <w:tblCellMar>
        <w:top w:w="0" w:type="dxa"/>
        <w:left w:w="108" w:type="dxa"/>
        <w:bottom w:w="0" w:type="dxa"/>
        <w:right w:w="108" w:type="dxa"/>
      </w:tblCellMar>
    </w:tblPr>
  </w:style>
  <w:style w:type="paragraph" w:styleId="2">
    <w:name w:val="annotation text"/>
    <w:basedOn w:val="1"/>
    <w:link w:val="7"/>
    <w:semiHidden/>
    <w:unhideWhenUsed/>
    <w:uiPriority w:val="99"/>
    <w:pPr>
      <w:keepNext w:val="0"/>
      <w:keepLines w:val="0"/>
      <w:widowControl w:val="0"/>
      <w:suppressLineNumbers w:val="0"/>
      <w:spacing w:before="0" w:beforeAutospacing="0" w:after="0" w:afterAutospacing="0" w:line="360" w:lineRule="auto"/>
      <w:ind w:left="0" w:right="0"/>
      <w:jc w:val="left"/>
    </w:pPr>
    <w:rPr>
      <w:rFonts w:hint="default" w:ascii="Times New Roman" w:hAnsi="Times New Roman" w:eastAsia="等线" w:cs="Times New Roman"/>
      <w:kern w:val="2"/>
      <w:sz w:val="24"/>
      <w:szCs w:val="24"/>
      <w:lang w:val="en-US" w:eastAsia="zh-CN" w:bidi="ar"/>
    </w:rPr>
  </w:style>
  <w:style w:type="table" w:styleId="4">
    <w:name w:val="Table Grid"/>
    <w:basedOn w:val="3"/>
    <w:qFormat/>
    <w:uiPriority w:val="39"/>
    <w:rPr>
      <w:rFonts w:ascii="等线" w:hAnsi="等线" w:eastAsia="等线" w:cs="等线"/>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annotation reference"/>
    <w:basedOn w:val="5"/>
    <w:semiHidden/>
    <w:unhideWhenUsed/>
    <w:uiPriority w:val="99"/>
    <w:rPr>
      <w:sz w:val="21"/>
      <w:szCs w:val="21"/>
    </w:rPr>
  </w:style>
  <w:style w:type="character" w:customStyle="1" w:styleId="7">
    <w:name w:val="批注文字 字符"/>
    <w:basedOn w:val="5"/>
    <w:link w:val="2"/>
    <w:uiPriority w:val="0"/>
    <w:rPr>
      <w:rFonts w:hint="default" w:ascii="Times New Roman" w:hAnsi="Times New Roman" w:cs="Times New Roman"/>
      <w:kern w:val="2"/>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219</Words>
  <Characters>1644</Characters>
  <Lines>13</Lines>
  <Paragraphs>3</Paragraphs>
  <TotalTime>3</TotalTime>
  <ScaleCrop>false</ScaleCrop>
  <LinksUpToDate>false</LinksUpToDate>
  <CharactersWithSpaces>1761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2025-01-10T04:45:00Z</dcterms:created>
  <dc:creator>xiaomeng han</dc:creator>
  <cp:lastModifiedBy>Hauturier</cp:lastModifiedBy>
  <dcterms:modified xsi:type="dcterms:W3CDTF">2025-02-24T15:18:55Z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eyJoZGlkIjoiN2MyNDZjN2I4YjQ1NTI1ODg1ZmI5YjViMGFkZGY3Y2IiLCJ1c2VySWQiOiIyMDg0Mzg5NDgifQ==</vt:lpwstr>
  </property>
  <property fmtid="{D5CDD505-2E9C-101B-9397-08002B2CF9AE}" pid="3" name="KSOProductBuildVer">
    <vt:lpwstr>2052-12.1.0.20305</vt:lpwstr>
  </property>
  <property fmtid="{D5CDD505-2E9C-101B-9397-08002B2CF9AE}" pid="4" name="ICV">
    <vt:lpwstr>7CD398840DE7479A92E26AA20C9F7DFE_12</vt:lpwstr>
  </property>
</Properties>
</file>