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19C793" w14:textId="5028CFC2" w:rsidR="005E1C76" w:rsidRPr="0056312D" w:rsidRDefault="0056312D" w:rsidP="0056312D">
      <w:pPr>
        <w:spacing w:line="360" w:lineRule="auto"/>
        <w:jc w:val="center"/>
        <w:rPr>
          <w:rFonts w:ascii="Times New Roman" w:eastAsia="等线" w:hAnsi="Times New Roman"/>
          <w:b/>
          <w:bCs/>
          <w:sz w:val="24"/>
          <w:szCs w:val="24"/>
        </w:rPr>
      </w:pPr>
      <w:r w:rsidRPr="0056312D">
        <w:rPr>
          <w:rFonts w:ascii="Times New Roman" w:eastAsia="等线" w:hAnsi="Times New Roman"/>
          <w:b/>
          <w:bCs/>
          <w:sz w:val="24"/>
          <w:szCs w:val="24"/>
        </w:rPr>
        <w:t>Table S1 Detailed MRI Scan Parameters</w:t>
      </w:r>
    </w:p>
    <w:tbl>
      <w:tblPr>
        <w:tblW w:w="5000" w:type="pct"/>
        <w:tblLook w:val="04A0" w:firstRow="1" w:lastRow="0" w:firstColumn="1" w:lastColumn="0" w:noHBand="0" w:noVBand="1"/>
      </w:tblPr>
      <w:tblGrid>
        <w:gridCol w:w="1103"/>
        <w:gridCol w:w="983"/>
        <w:gridCol w:w="1072"/>
        <w:gridCol w:w="1049"/>
        <w:gridCol w:w="984"/>
        <w:gridCol w:w="1068"/>
        <w:gridCol w:w="1049"/>
        <w:gridCol w:w="998"/>
      </w:tblGrid>
      <w:tr w:rsidR="006A65CF" w:rsidRPr="006A65CF" w14:paraId="376578FF" w14:textId="77777777" w:rsidTr="0056312D">
        <w:trPr>
          <w:trHeight w:val="470"/>
        </w:trPr>
        <w:tc>
          <w:tcPr>
            <w:tcW w:w="625" w:type="pct"/>
            <w:tcBorders>
              <w:top w:val="single" w:sz="8" w:space="0" w:color="auto"/>
              <w:left w:val="nil"/>
              <w:bottom w:val="single" w:sz="8" w:space="0" w:color="auto"/>
              <w:right w:val="nil"/>
            </w:tcBorders>
            <w:vAlign w:val="center"/>
            <w:hideMark/>
          </w:tcPr>
          <w:p w14:paraId="0E0A1A7D" w14:textId="77777777" w:rsidR="005E1C76" w:rsidRPr="007F78FE" w:rsidRDefault="005E1C76" w:rsidP="0056312D">
            <w:pPr>
              <w:widowControl/>
              <w:jc w:val="center"/>
              <w:rPr>
                <w:rFonts w:ascii="Times New Roman" w:hAnsi="Times New Roman"/>
                <w:color w:val="000000"/>
                <w:kern w:val="0"/>
                <w:szCs w:val="21"/>
              </w:rPr>
            </w:pPr>
            <w:r w:rsidRPr="007F78FE">
              <w:rPr>
                <w:rFonts w:ascii="Times New Roman" w:hAnsi="Times New Roman"/>
                <w:color w:val="000000"/>
                <w:kern w:val="0"/>
                <w:szCs w:val="21"/>
              </w:rPr>
              <w:t>Sequences</w:t>
            </w:r>
          </w:p>
        </w:tc>
        <w:tc>
          <w:tcPr>
            <w:tcW w:w="625" w:type="pct"/>
            <w:tcBorders>
              <w:top w:val="single" w:sz="8" w:space="0" w:color="auto"/>
              <w:left w:val="nil"/>
              <w:bottom w:val="single" w:sz="8" w:space="0" w:color="auto"/>
              <w:right w:val="nil"/>
            </w:tcBorders>
            <w:vAlign w:val="center"/>
            <w:hideMark/>
          </w:tcPr>
          <w:p w14:paraId="34A6D6D9" w14:textId="77777777" w:rsidR="005E1C76" w:rsidRPr="007F78FE" w:rsidRDefault="005E1C76" w:rsidP="0056312D">
            <w:pPr>
              <w:widowControl/>
              <w:jc w:val="center"/>
              <w:rPr>
                <w:rFonts w:ascii="Times New Roman" w:hAnsi="Times New Roman"/>
                <w:color w:val="000000"/>
                <w:kern w:val="0"/>
                <w:szCs w:val="21"/>
              </w:rPr>
            </w:pPr>
            <w:r w:rsidRPr="007F78FE">
              <w:rPr>
                <w:rFonts w:ascii="Times New Roman" w:hAnsi="Times New Roman"/>
                <w:color w:val="000000"/>
                <w:kern w:val="0"/>
                <w:szCs w:val="21"/>
              </w:rPr>
              <w:t>Image plane</w:t>
            </w:r>
          </w:p>
        </w:tc>
        <w:tc>
          <w:tcPr>
            <w:tcW w:w="678" w:type="pct"/>
            <w:tcBorders>
              <w:top w:val="single" w:sz="8" w:space="0" w:color="auto"/>
              <w:left w:val="nil"/>
              <w:bottom w:val="single" w:sz="8" w:space="0" w:color="auto"/>
              <w:right w:val="nil"/>
            </w:tcBorders>
            <w:vAlign w:val="center"/>
            <w:hideMark/>
          </w:tcPr>
          <w:p w14:paraId="7F8D0776" w14:textId="77777777" w:rsidR="005E1C76" w:rsidRPr="007F78FE" w:rsidRDefault="005E1C76" w:rsidP="0056312D">
            <w:pPr>
              <w:widowControl/>
              <w:jc w:val="center"/>
              <w:rPr>
                <w:rFonts w:ascii="Times New Roman" w:hAnsi="Times New Roman"/>
                <w:color w:val="000000"/>
                <w:kern w:val="0"/>
                <w:szCs w:val="21"/>
              </w:rPr>
            </w:pPr>
            <w:r w:rsidRPr="007F78FE">
              <w:rPr>
                <w:rFonts w:ascii="Times New Roman" w:hAnsi="Times New Roman"/>
                <w:color w:val="000000"/>
                <w:kern w:val="0"/>
                <w:szCs w:val="21"/>
              </w:rPr>
              <w:t>TR/TE (msec)</w:t>
            </w:r>
          </w:p>
        </w:tc>
        <w:tc>
          <w:tcPr>
            <w:tcW w:w="572" w:type="pct"/>
            <w:tcBorders>
              <w:top w:val="single" w:sz="8" w:space="0" w:color="auto"/>
              <w:left w:val="nil"/>
              <w:bottom w:val="single" w:sz="8" w:space="0" w:color="auto"/>
              <w:right w:val="nil"/>
            </w:tcBorders>
            <w:vAlign w:val="center"/>
            <w:hideMark/>
          </w:tcPr>
          <w:p w14:paraId="606448C1" w14:textId="77777777" w:rsidR="005E1C76" w:rsidRPr="007F78FE" w:rsidRDefault="005E1C76" w:rsidP="0056312D">
            <w:pPr>
              <w:widowControl/>
              <w:jc w:val="center"/>
              <w:rPr>
                <w:rFonts w:ascii="Times New Roman" w:hAnsi="Times New Roman"/>
                <w:color w:val="000000"/>
                <w:kern w:val="0"/>
                <w:szCs w:val="21"/>
              </w:rPr>
            </w:pPr>
            <w:r w:rsidRPr="007F78FE">
              <w:rPr>
                <w:rFonts w:ascii="Times New Roman" w:hAnsi="Times New Roman"/>
                <w:color w:val="000000"/>
                <w:kern w:val="0"/>
                <w:szCs w:val="21"/>
              </w:rPr>
              <w:t>FOV (mm)</w:t>
            </w:r>
          </w:p>
        </w:tc>
        <w:tc>
          <w:tcPr>
            <w:tcW w:w="625" w:type="pct"/>
            <w:tcBorders>
              <w:top w:val="single" w:sz="8" w:space="0" w:color="auto"/>
              <w:left w:val="nil"/>
              <w:bottom w:val="single" w:sz="8" w:space="0" w:color="auto"/>
              <w:right w:val="nil"/>
            </w:tcBorders>
            <w:vAlign w:val="center"/>
            <w:hideMark/>
          </w:tcPr>
          <w:p w14:paraId="0247FCF1" w14:textId="77777777" w:rsidR="005E1C76" w:rsidRPr="007F78FE" w:rsidRDefault="005E1C76" w:rsidP="0056312D">
            <w:pPr>
              <w:widowControl/>
              <w:jc w:val="center"/>
              <w:rPr>
                <w:rFonts w:ascii="Times New Roman" w:hAnsi="Times New Roman"/>
                <w:color w:val="000000"/>
                <w:kern w:val="0"/>
                <w:szCs w:val="21"/>
              </w:rPr>
            </w:pPr>
            <w:r w:rsidRPr="007F78FE">
              <w:rPr>
                <w:rFonts w:ascii="Times New Roman" w:hAnsi="Times New Roman"/>
                <w:color w:val="000000"/>
                <w:kern w:val="0"/>
                <w:szCs w:val="21"/>
              </w:rPr>
              <w:t>Flip angl</w:t>
            </w:r>
            <w:r w:rsidRPr="007F78FE">
              <w:rPr>
                <w:rFonts w:ascii="Times New Roman" w:hAnsi="Times New Roman" w:hint="eastAsia"/>
                <w:color w:val="000000"/>
                <w:kern w:val="0"/>
                <w:szCs w:val="21"/>
              </w:rPr>
              <w:t>e</w:t>
            </w:r>
          </w:p>
        </w:tc>
        <w:tc>
          <w:tcPr>
            <w:tcW w:w="625" w:type="pct"/>
            <w:tcBorders>
              <w:top w:val="single" w:sz="8" w:space="0" w:color="auto"/>
              <w:left w:val="nil"/>
              <w:bottom w:val="single" w:sz="8" w:space="0" w:color="auto"/>
              <w:right w:val="nil"/>
            </w:tcBorders>
            <w:vAlign w:val="center"/>
            <w:hideMark/>
          </w:tcPr>
          <w:p w14:paraId="1EBF6173" w14:textId="77777777" w:rsidR="005E1C76" w:rsidRPr="007F78FE" w:rsidRDefault="005E1C76" w:rsidP="0056312D">
            <w:pPr>
              <w:widowControl/>
              <w:jc w:val="center"/>
              <w:rPr>
                <w:rFonts w:ascii="Times New Roman" w:hAnsi="Times New Roman"/>
                <w:color w:val="000000"/>
                <w:kern w:val="0"/>
                <w:szCs w:val="21"/>
              </w:rPr>
            </w:pPr>
            <w:r w:rsidRPr="007F78FE">
              <w:rPr>
                <w:rFonts w:ascii="Times New Roman" w:hAnsi="Times New Roman"/>
                <w:color w:val="000000"/>
                <w:kern w:val="0"/>
                <w:szCs w:val="21"/>
              </w:rPr>
              <w:t>Thickness (mm)</w:t>
            </w:r>
          </w:p>
        </w:tc>
        <w:tc>
          <w:tcPr>
            <w:tcW w:w="625" w:type="pct"/>
            <w:tcBorders>
              <w:top w:val="single" w:sz="8" w:space="0" w:color="auto"/>
              <w:left w:val="nil"/>
              <w:bottom w:val="single" w:sz="8" w:space="0" w:color="auto"/>
              <w:right w:val="nil"/>
            </w:tcBorders>
            <w:vAlign w:val="center"/>
            <w:hideMark/>
          </w:tcPr>
          <w:p w14:paraId="2F0A3F97" w14:textId="77777777" w:rsidR="005E1C76" w:rsidRPr="007F78FE" w:rsidRDefault="005E1C76" w:rsidP="0056312D">
            <w:pPr>
              <w:widowControl/>
              <w:jc w:val="center"/>
              <w:rPr>
                <w:rFonts w:ascii="Times New Roman" w:hAnsi="Times New Roman"/>
                <w:color w:val="000000"/>
                <w:kern w:val="0"/>
                <w:szCs w:val="21"/>
              </w:rPr>
            </w:pPr>
            <w:r w:rsidRPr="007F78FE">
              <w:rPr>
                <w:rFonts w:ascii="Times New Roman" w:hAnsi="Times New Roman"/>
                <w:color w:val="000000"/>
                <w:kern w:val="0"/>
                <w:szCs w:val="21"/>
              </w:rPr>
              <w:t>Matrix</w:t>
            </w:r>
          </w:p>
        </w:tc>
        <w:tc>
          <w:tcPr>
            <w:tcW w:w="625" w:type="pct"/>
            <w:tcBorders>
              <w:top w:val="single" w:sz="8" w:space="0" w:color="auto"/>
              <w:left w:val="nil"/>
              <w:bottom w:val="single" w:sz="8" w:space="0" w:color="auto"/>
              <w:right w:val="nil"/>
            </w:tcBorders>
            <w:vAlign w:val="center"/>
            <w:hideMark/>
          </w:tcPr>
          <w:p w14:paraId="373640EC" w14:textId="77777777" w:rsidR="005E1C76" w:rsidRPr="007F78FE" w:rsidRDefault="005E1C76" w:rsidP="0056312D">
            <w:pPr>
              <w:widowControl/>
              <w:jc w:val="center"/>
              <w:rPr>
                <w:rFonts w:ascii="Times New Roman" w:hAnsi="Times New Roman"/>
                <w:color w:val="000000"/>
                <w:kern w:val="0"/>
                <w:szCs w:val="21"/>
              </w:rPr>
            </w:pPr>
            <w:r w:rsidRPr="007F78FE">
              <w:rPr>
                <w:rFonts w:ascii="Times New Roman" w:hAnsi="Times New Roman"/>
                <w:color w:val="000000"/>
                <w:kern w:val="0"/>
                <w:szCs w:val="21"/>
              </w:rPr>
              <w:t>Scanning order</w:t>
            </w:r>
          </w:p>
        </w:tc>
      </w:tr>
      <w:tr w:rsidR="006A65CF" w:rsidRPr="006A65CF" w14:paraId="22723283" w14:textId="77777777" w:rsidTr="007F78FE">
        <w:trPr>
          <w:trHeight w:val="227"/>
        </w:trPr>
        <w:tc>
          <w:tcPr>
            <w:tcW w:w="625" w:type="pct"/>
            <w:tcBorders>
              <w:top w:val="single" w:sz="8" w:space="0" w:color="auto"/>
              <w:left w:val="nil"/>
              <w:bottom w:val="nil"/>
              <w:right w:val="nil"/>
            </w:tcBorders>
            <w:vAlign w:val="center"/>
            <w:hideMark/>
          </w:tcPr>
          <w:p w14:paraId="4ADFB19E"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color w:val="000000"/>
                <w:kern w:val="0"/>
                <w:szCs w:val="21"/>
              </w:rPr>
              <w:t>T2WI</w:t>
            </w:r>
          </w:p>
        </w:tc>
        <w:tc>
          <w:tcPr>
            <w:tcW w:w="625" w:type="pct"/>
            <w:tcBorders>
              <w:top w:val="single" w:sz="8" w:space="0" w:color="auto"/>
              <w:left w:val="nil"/>
              <w:bottom w:val="nil"/>
              <w:right w:val="nil"/>
            </w:tcBorders>
            <w:vAlign w:val="center"/>
            <w:hideMark/>
          </w:tcPr>
          <w:p w14:paraId="02ADD238"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color w:val="000000"/>
                <w:kern w:val="0"/>
                <w:szCs w:val="21"/>
              </w:rPr>
              <w:t>A</w:t>
            </w:r>
          </w:p>
        </w:tc>
        <w:tc>
          <w:tcPr>
            <w:tcW w:w="678" w:type="pct"/>
            <w:tcBorders>
              <w:top w:val="single" w:sz="8" w:space="0" w:color="auto"/>
              <w:left w:val="nil"/>
              <w:bottom w:val="nil"/>
              <w:right w:val="nil"/>
            </w:tcBorders>
            <w:vAlign w:val="center"/>
            <w:hideMark/>
          </w:tcPr>
          <w:p w14:paraId="61665D52"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color w:val="000000"/>
                <w:kern w:val="0"/>
                <w:szCs w:val="21"/>
              </w:rPr>
              <w:t>6000</w:t>
            </w:r>
            <w:r w:rsidRPr="006A65CF">
              <w:rPr>
                <w:rFonts w:ascii="Times New Roman" w:hAnsi="Times New Roman" w:hint="eastAsia"/>
                <w:color w:val="000000"/>
                <w:kern w:val="0"/>
                <w:szCs w:val="21"/>
              </w:rPr>
              <w:t>/</w:t>
            </w:r>
            <w:r w:rsidRPr="006A65CF">
              <w:rPr>
                <w:rFonts w:ascii="Times New Roman" w:hAnsi="Times New Roman"/>
                <w:color w:val="000000"/>
                <w:kern w:val="0"/>
                <w:szCs w:val="21"/>
              </w:rPr>
              <w:t>85</w:t>
            </w:r>
          </w:p>
        </w:tc>
        <w:tc>
          <w:tcPr>
            <w:tcW w:w="572" w:type="pct"/>
            <w:tcBorders>
              <w:top w:val="single" w:sz="8" w:space="0" w:color="auto"/>
              <w:left w:val="nil"/>
              <w:bottom w:val="nil"/>
              <w:right w:val="nil"/>
            </w:tcBorders>
            <w:vAlign w:val="center"/>
            <w:hideMark/>
          </w:tcPr>
          <w:p w14:paraId="2F170EB9"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color w:val="000000"/>
                <w:kern w:val="0"/>
                <w:szCs w:val="21"/>
              </w:rPr>
              <w:t>420 × 420</w:t>
            </w:r>
          </w:p>
        </w:tc>
        <w:tc>
          <w:tcPr>
            <w:tcW w:w="625" w:type="pct"/>
            <w:tcBorders>
              <w:top w:val="single" w:sz="8" w:space="0" w:color="auto"/>
              <w:left w:val="nil"/>
              <w:bottom w:val="nil"/>
              <w:right w:val="nil"/>
            </w:tcBorders>
            <w:vAlign w:val="center"/>
            <w:hideMark/>
          </w:tcPr>
          <w:p w14:paraId="229CAA52"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hint="eastAsia"/>
                <w:color w:val="000000"/>
                <w:kern w:val="0"/>
                <w:szCs w:val="21"/>
              </w:rPr>
              <w:t>1</w:t>
            </w:r>
            <w:r w:rsidRPr="006A65CF">
              <w:rPr>
                <w:rFonts w:ascii="Times New Roman" w:hAnsi="Times New Roman"/>
                <w:color w:val="000000"/>
                <w:kern w:val="0"/>
                <w:szCs w:val="21"/>
              </w:rPr>
              <w:t>60</w:t>
            </w:r>
          </w:p>
        </w:tc>
        <w:tc>
          <w:tcPr>
            <w:tcW w:w="625" w:type="pct"/>
            <w:tcBorders>
              <w:top w:val="single" w:sz="8" w:space="0" w:color="auto"/>
              <w:left w:val="nil"/>
              <w:bottom w:val="nil"/>
              <w:right w:val="nil"/>
            </w:tcBorders>
            <w:vAlign w:val="center"/>
            <w:hideMark/>
          </w:tcPr>
          <w:p w14:paraId="6F3EE0D5"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hint="eastAsia"/>
                <w:color w:val="000000"/>
                <w:kern w:val="0"/>
                <w:szCs w:val="21"/>
              </w:rPr>
              <w:t>8</w:t>
            </w:r>
          </w:p>
        </w:tc>
        <w:tc>
          <w:tcPr>
            <w:tcW w:w="625" w:type="pct"/>
            <w:tcBorders>
              <w:top w:val="single" w:sz="8" w:space="0" w:color="auto"/>
              <w:left w:val="nil"/>
              <w:bottom w:val="nil"/>
              <w:right w:val="nil"/>
            </w:tcBorders>
            <w:vAlign w:val="center"/>
            <w:hideMark/>
          </w:tcPr>
          <w:p w14:paraId="5A442B70"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hint="eastAsia"/>
                <w:color w:val="000000"/>
                <w:kern w:val="0"/>
                <w:szCs w:val="21"/>
              </w:rPr>
              <w:t>512</w:t>
            </w:r>
            <w:r w:rsidRPr="006A65CF">
              <w:rPr>
                <w:rFonts w:ascii="Times New Roman" w:hAnsi="Times New Roman"/>
                <w:color w:val="000000"/>
                <w:kern w:val="0"/>
                <w:szCs w:val="21"/>
              </w:rPr>
              <w:t> × </w:t>
            </w:r>
            <w:r w:rsidRPr="006A65CF">
              <w:rPr>
                <w:rFonts w:ascii="Times New Roman" w:hAnsi="Times New Roman" w:hint="eastAsia"/>
                <w:color w:val="000000"/>
                <w:kern w:val="0"/>
                <w:szCs w:val="21"/>
              </w:rPr>
              <w:t>512</w:t>
            </w:r>
          </w:p>
        </w:tc>
        <w:tc>
          <w:tcPr>
            <w:tcW w:w="625" w:type="pct"/>
            <w:tcBorders>
              <w:top w:val="single" w:sz="8" w:space="0" w:color="auto"/>
              <w:left w:val="nil"/>
              <w:bottom w:val="nil"/>
              <w:right w:val="nil"/>
            </w:tcBorders>
            <w:vAlign w:val="center"/>
            <w:hideMark/>
          </w:tcPr>
          <w:p w14:paraId="04433C6F"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hint="eastAsia"/>
                <w:color w:val="000000"/>
                <w:kern w:val="0"/>
                <w:szCs w:val="21"/>
              </w:rPr>
              <w:t>2</w:t>
            </w:r>
          </w:p>
        </w:tc>
      </w:tr>
      <w:tr w:rsidR="006A65CF" w:rsidRPr="006A65CF" w14:paraId="3B56EEB2" w14:textId="77777777" w:rsidTr="007F78FE">
        <w:trPr>
          <w:trHeight w:val="227"/>
        </w:trPr>
        <w:tc>
          <w:tcPr>
            <w:tcW w:w="625" w:type="pct"/>
            <w:tcBorders>
              <w:top w:val="nil"/>
              <w:left w:val="nil"/>
              <w:bottom w:val="nil"/>
              <w:right w:val="nil"/>
            </w:tcBorders>
            <w:vAlign w:val="center"/>
            <w:hideMark/>
          </w:tcPr>
          <w:p w14:paraId="12088A4F"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color w:val="000000"/>
                <w:kern w:val="0"/>
                <w:szCs w:val="21"/>
              </w:rPr>
              <w:t>T1WI</w:t>
            </w:r>
          </w:p>
        </w:tc>
        <w:tc>
          <w:tcPr>
            <w:tcW w:w="625" w:type="pct"/>
            <w:tcBorders>
              <w:top w:val="nil"/>
              <w:left w:val="nil"/>
              <w:bottom w:val="nil"/>
              <w:right w:val="nil"/>
            </w:tcBorders>
            <w:vAlign w:val="center"/>
            <w:hideMark/>
          </w:tcPr>
          <w:p w14:paraId="6CAEAD72"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color w:val="000000"/>
                <w:kern w:val="0"/>
                <w:szCs w:val="21"/>
              </w:rPr>
              <w:t>A</w:t>
            </w:r>
          </w:p>
        </w:tc>
        <w:tc>
          <w:tcPr>
            <w:tcW w:w="678" w:type="pct"/>
            <w:tcBorders>
              <w:top w:val="nil"/>
              <w:left w:val="nil"/>
              <w:bottom w:val="nil"/>
              <w:right w:val="nil"/>
            </w:tcBorders>
            <w:vAlign w:val="center"/>
            <w:hideMark/>
          </w:tcPr>
          <w:p w14:paraId="0440E9D3"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color w:val="000000"/>
                <w:kern w:val="0"/>
                <w:szCs w:val="21"/>
              </w:rPr>
              <w:t>190/4.3</w:t>
            </w:r>
          </w:p>
        </w:tc>
        <w:tc>
          <w:tcPr>
            <w:tcW w:w="572" w:type="pct"/>
            <w:tcBorders>
              <w:top w:val="nil"/>
              <w:left w:val="nil"/>
              <w:bottom w:val="nil"/>
              <w:right w:val="nil"/>
            </w:tcBorders>
            <w:vAlign w:val="center"/>
            <w:hideMark/>
          </w:tcPr>
          <w:p w14:paraId="4956FD6C"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hint="eastAsia"/>
                <w:color w:val="000000"/>
                <w:kern w:val="0"/>
                <w:szCs w:val="21"/>
              </w:rPr>
              <w:t>4</w:t>
            </w:r>
            <w:r w:rsidRPr="006A65CF">
              <w:rPr>
                <w:rFonts w:ascii="Times New Roman" w:hAnsi="Times New Roman"/>
                <w:color w:val="000000"/>
                <w:kern w:val="0"/>
                <w:szCs w:val="21"/>
              </w:rPr>
              <w:t>20 × </w:t>
            </w:r>
            <w:r w:rsidRPr="006A65CF">
              <w:rPr>
                <w:rFonts w:ascii="Times New Roman" w:hAnsi="Times New Roman" w:hint="eastAsia"/>
                <w:color w:val="000000"/>
                <w:kern w:val="0"/>
                <w:szCs w:val="21"/>
              </w:rPr>
              <w:t>4</w:t>
            </w:r>
            <w:r w:rsidRPr="006A65CF">
              <w:rPr>
                <w:rFonts w:ascii="Times New Roman" w:hAnsi="Times New Roman"/>
                <w:color w:val="000000"/>
                <w:kern w:val="0"/>
                <w:szCs w:val="21"/>
              </w:rPr>
              <w:t>20</w:t>
            </w:r>
          </w:p>
        </w:tc>
        <w:tc>
          <w:tcPr>
            <w:tcW w:w="625" w:type="pct"/>
            <w:tcBorders>
              <w:top w:val="nil"/>
              <w:left w:val="nil"/>
              <w:bottom w:val="nil"/>
              <w:right w:val="nil"/>
            </w:tcBorders>
            <w:vAlign w:val="center"/>
            <w:hideMark/>
          </w:tcPr>
          <w:p w14:paraId="2944F3CC"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hint="eastAsia"/>
                <w:color w:val="000000"/>
                <w:kern w:val="0"/>
                <w:szCs w:val="21"/>
              </w:rPr>
              <w:t>8</w:t>
            </w:r>
            <w:r w:rsidRPr="006A65CF">
              <w:rPr>
                <w:rFonts w:ascii="Times New Roman" w:hAnsi="Times New Roman"/>
                <w:color w:val="000000"/>
                <w:kern w:val="0"/>
                <w:szCs w:val="21"/>
              </w:rPr>
              <w:t>0</w:t>
            </w:r>
          </w:p>
        </w:tc>
        <w:tc>
          <w:tcPr>
            <w:tcW w:w="625" w:type="pct"/>
            <w:tcBorders>
              <w:top w:val="nil"/>
              <w:left w:val="nil"/>
              <w:bottom w:val="nil"/>
              <w:right w:val="nil"/>
            </w:tcBorders>
            <w:vAlign w:val="center"/>
            <w:hideMark/>
          </w:tcPr>
          <w:p w14:paraId="5549B199"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hint="eastAsia"/>
                <w:color w:val="000000"/>
                <w:kern w:val="0"/>
                <w:szCs w:val="21"/>
              </w:rPr>
              <w:t>8</w:t>
            </w:r>
          </w:p>
        </w:tc>
        <w:tc>
          <w:tcPr>
            <w:tcW w:w="625" w:type="pct"/>
            <w:tcBorders>
              <w:top w:val="nil"/>
              <w:left w:val="nil"/>
              <w:bottom w:val="nil"/>
              <w:right w:val="nil"/>
            </w:tcBorders>
            <w:vAlign w:val="center"/>
            <w:hideMark/>
          </w:tcPr>
          <w:p w14:paraId="072F2848"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color w:val="000000"/>
                <w:kern w:val="0"/>
                <w:szCs w:val="21"/>
              </w:rPr>
              <w:t>256 × 160</w:t>
            </w:r>
          </w:p>
        </w:tc>
        <w:tc>
          <w:tcPr>
            <w:tcW w:w="625" w:type="pct"/>
            <w:tcBorders>
              <w:top w:val="nil"/>
              <w:left w:val="nil"/>
              <w:bottom w:val="nil"/>
              <w:right w:val="nil"/>
            </w:tcBorders>
            <w:vAlign w:val="center"/>
            <w:hideMark/>
          </w:tcPr>
          <w:p w14:paraId="372902A3"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hint="eastAsia"/>
                <w:color w:val="000000"/>
                <w:kern w:val="0"/>
                <w:szCs w:val="21"/>
              </w:rPr>
              <w:t>1</w:t>
            </w:r>
          </w:p>
        </w:tc>
      </w:tr>
      <w:tr w:rsidR="006A65CF" w:rsidRPr="006A65CF" w14:paraId="72F97809" w14:textId="77777777" w:rsidTr="007F78FE">
        <w:trPr>
          <w:trHeight w:val="227"/>
        </w:trPr>
        <w:tc>
          <w:tcPr>
            <w:tcW w:w="625" w:type="pct"/>
            <w:tcBorders>
              <w:top w:val="nil"/>
              <w:left w:val="nil"/>
              <w:bottom w:val="nil"/>
              <w:right w:val="nil"/>
            </w:tcBorders>
            <w:vAlign w:val="center"/>
            <w:hideMark/>
          </w:tcPr>
          <w:p w14:paraId="11100772"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hint="eastAsia"/>
                <w:color w:val="000000"/>
                <w:kern w:val="0"/>
                <w:szCs w:val="21"/>
              </w:rPr>
              <w:t>DWI</w:t>
            </w:r>
          </w:p>
        </w:tc>
        <w:tc>
          <w:tcPr>
            <w:tcW w:w="625" w:type="pct"/>
            <w:tcBorders>
              <w:top w:val="nil"/>
              <w:left w:val="nil"/>
              <w:bottom w:val="nil"/>
              <w:right w:val="nil"/>
            </w:tcBorders>
            <w:vAlign w:val="center"/>
            <w:hideMark/>
          </w:tcPr>
          <w:p w14:paraId="2EFA5FA8"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color w:val="000000"/>
                <w:kern w:val="0"/>
                <w:szCs w:val="21"/>
              </w:rPr>
              <w:t>A</w:t>
            </w:r>
          </w:p>
        </w:tc>
        <w:tc>
          <w:tcPr>
            <w:tcW w:w="678" w:type="pct"/>
            <w:tcBorders>
              <w:top w:val="nil"/>
              <w:left w:val="nil"/>
              <w:bottom w:val="nil"/>
              <w:right w:val="nil"/>
            </w:tcBorders>
            <w:vAlign w:val="center"/>
            <w:hideMark/>
          </w:tcPr>
          <w:p w14:paraId="56346F32"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color w:val="000000"/>
                <w:kern w:val="0"/>
                <w:szCs w:val="21"/>
              </w:rPr>
              <w:t>3650/75</w:t>
            </w:r>
          </w:p>
        </w:tc>
        <w:tc>
          <w:tcPr>
            <w:tcW w:w="572" w:type="pct"/>
            <w:tcBorders>
              <w:top w:val="nil"/>
              <w:left w:val="nil"/>
              <w:bottom w:val="nil"/>
              <w:right w:val="nil"/>
            </w:tcBorders>
            <w:vAlign w:val="center"/>
            <w:hideMark/>
          </w:tcPr>
          <w:p w14:paraId="349AAFB9"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color w:val="000000"/>
                <w:kern w:val="0"/>
                <w:szCs w:val="21"/>
              </w:rPr>
              <w:t>420 × 420</w:t>
            </w:r>
          </w:p>
        </w:tc>
        <w:tc>
          <w:tcPr>
            <w:tcW w:w="625" w:type="pct"/>
            <w:tcBorders>
              <w:top w:val="nil"/>
              <w:left w:val="nil"/>
              <w:bottom w:val="nil"/>
              <w:right w:val="nil"/>
            </w:tcBorders>
            <w:vAlign w:val="center"/>
            <w:hideMark/>
          </w:tcPr>
          <w:p w14:paraId="2D542EE4"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hint="eastAsia"/>
                <w:color w:val="000000"/>
                <w:kern w:val="0"/>
                <w:szCs w:val="21"/>
              </w:rPr>
              <w:t>90</w:t>
            </w:r>
          </w:p>
        </w:tc>
        <w:tc>
          <w:tcPr>
            <w:tcW w:w="625" w:type="pct"/>
            <w:tcBorders>
              <w:top w:val="nil"/>
              <w:left w:val="nil"/>
              <w:bottom w:val="nil"/>
              <w:right w:val="nil"/>
            </w:tcBorders>
            <w:vAlign w:val="center"/>
            <w:hideMark/>
          </w:tcPr>
          <w:p w14:paraId="11979CC6"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hint="eastAsia"/>
                <w:color w:val="000000"/>
                <w:kern w:val="0"/>
                <w:szCs w:val="21"/>
              </w:rPr>
              <w:t>8</w:t>
            </w:r>
          </w:p>
        </w:tc>
        <w:tc>
          <w:tcPr>
            <w:tcW w:w="625" w:type="pct"/>
            <w:tcBorders>
              <w:top w:val="nil"/>
              <w:left w:val="nil"/>
              <w:bottom w:val="nil"/>
              <w:right w:val="nil"/>
            </w:tcBorders>
            <w:vAlign w:val="center"/>
            <w:hideMark/>
          </w:tcPr>
          <w:p w14:paraId="00661766"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color w:val="000000"/>
                <w:kern w:val="0"/>
                <w:szCs w:val="21"/>
              </w:rPr>
              <w:t>200 × 200</w:t>
            </w:r>
          </w:p>
        </w:tc>
        <w:tc>
          <w:tcPr>
            <w:tcW w:w="625" w:type="pct"/>
            <w:tcBorders>
              <w:top w:val="nil"/>
              <w:left w:val="nil"/>
              <w:bottom w:val="nil"/>
              <w:right w:val="nil"/>
            </w:tcBorders>
            <w:vAlign w:val="center"/>
            <w:hideMark/>
          </w:tcPr>
          <w:p w14:paraId="679C51C2"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hint="eastAsia"/>
                <w:color w:val="000000"/>
                <w:kern w:val="0"/>
                <w:szCs w:val="21"/>
              </w:rPr>
              <w:t>3</w:t>
            </w:r>
          </w:p>
        </w:tc>
      </w:tr>
      <w:tr w:rsidR="006A65CF" w:rsidRPr="006A65CF" w14:paraId="6ED3DD53" w14:textId="77777777" w:rsidTr="007F78FE">
        <w:trPr>
          <w:trHeight w:val="227"/>
        </w:trPr>
        <w:tc>
          <w:tcPr>
            <w:tcW w:w="625" w:type="pct"/>
            <w:tcBorders>
              <w:top w:val="nil"/>
              <w:left w:val="nil"/>
              <w:bottom w:val="nil"/>
              <w:right w:val="nil"/>
            </w:tcBorders>
            <w:vAlign w:val="center"/>
            <w:hideMark/>
          </w:tcPr>
          <w:p w14:paraId="677EE375"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color w:val="000000"/>
                <w:kern w:val="0"/>
                <w:szCs w:val="21"/>
              </w:rPr>
              <w:t xml:space="preserve">AP </w:t>
            </w:r>
          </w:p>
        </w:tc>
        <w:tc>
          <w:tcPr>
            <w:tcW w:w="625" w:type="pct"/>
            <w:tcBorders>
              <w:top w:val="nil"/>
              <w:left w:val="nil"/>
              <w:bottom w:val="nil"/>
              <w:right w:val="nil"/>
            </w:tcBorders>
            <w:vAlign w:val="center"/>
            <w:hideMark/>
          </w:tcPr>
          <w:p w14:paraId="09E8F8D1"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hint="eastAsia"/>
                <w:color w:val="000000"/>
                <w:kern w:val="0"/>
                <w:szCs w:val="21"/>
              </w:rPr>
              <w:t>A</w:t>
            </w:r>
          </w:p>
        </w:tc>
        <w:tc>
          <w:tcPr>
            <w:tcW w:w="678" w:type="pct"/>
            <w:tcBorders>
              <w:top w:val="nil"/>
              <w:left w:val="nil"/>
              <w:bottom w:val="nil"/>
              <w:right w:val="nil"/>
            </w:tcBorders>
            <w:vAlign w:val="center"/>
            <w:hideMark/>
          </w:tcPr>
          <w:p w14:paraId="499E2053"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hint="eastAsia"/>
                <w:color w:val="000000"/>
                <w:kern w:val="0"/>
                <w:szCs w:val="21"/>
              </w:rPr>
              <w:t>3.7</w:t>
            </w:r>
            <w:r w:rsidRPr="006A65CF">
              <w:rPr>
                <w:rFonts w:ascii="Times New Roman" w:hAnsi="Times New Roman"/>
                <w:color w:val="000000"/>
                <w:kern w:val="0"/>
                <w:szCs w:val="21"/>
              </w:rPr>
              <w:t>/1.7</w:t>
            </w:r>
          </w:p>
        </w:tc>
        <w:tc>
          <w:tcPr>
            <w:tcW w:w="572" w:type="pct"/>
            <w:tcBorders>
              <w:top w:val="nil"/>
              <w:left w:val="nil"/>
              <w:bottom w:val="nil"/>
              <w:right w:val="nil"/>
            </w:tcBorders>
            <w:vAlign w:val="center"/>
            <w:hideMark/>
          </w:tcPr>
          <w:p w14:paraId="524AE50C"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color w:val="000000"/>
                <w:kern w:val="0"/>
                <w:szCs w:val="21"/>
              </w:rPr>
              <w:t>420 × 420</w:t>
            </w:r>
          </w:p>
        </w:tc>
        <w:tc>
          <w:tcPr>
            <w:tcW w:w="625" w:type="pct"/>
            <w:tcBorders>
              <w:top w:val="nil"/>
              <w:left w:val="nil"/>
              <w:bottom w:val="nil"/>
              <w:right w:val="nil"/>
            </w:tcBorders>
            <w:vAlign w:val="center"/>
            <w:hideMark/>
          </w:tcPr>
          <w:p w14:paraId="1E41CF7C"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hint="eastAsia"/>
                <w:color w:val="000000"/>
                <w:kern w:val="0"/>
                <w:szCs w:val="21"/>
              </w:rPr>
              <w:t>1</w:t>
            </w:r>
            <w:r w:rsidRPr="006A65CF">
              <w:rPr>
                <w:rFonts w:ascii="Times New Roman" w:hAnsi="Times New Roman"/>
                <w:color w:val="000000"/>
                <w:kern w:val="0"/>
                <w:szCs w:val="21"/>
              </w:rPr>
              <w:t>5</w:t>
            </w:r>
          </w:p>
        </w:tc>
        <w:tc>
          <w:tcPr>
            <w:tcW w:w="625" w:type="pct"/>
            <w:tcBorders>
              <w:top w:val="nil"/>
              <w:left w:val="nil"/>
              <w:bottom w:val="nil"/>
              <w:right w:val="nil"/>
            </w:tcBorders>
            <w:vAlign w:val="center"/>
            <w:hideMark/>
          </w:tcPr>
          <w:p w14:paraId="5DC17E85"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hint="eastAsia"/>
                <w:color w:val="000000"/>
                <w:kern w:val="0"/>
                <w:szCs w:val="21"/>
              </w:rPr>
              <w:t>5</w:t>
            </w:r>
          </w:p>
        </w:tc>
        <w:tc>
          <w:tcPr>
            <w:tcW w:w="625" w:type="pct"/>
            <w:tcBorders>
              <w:top w:val="nil"/>
              <w:left w:val="nil"/>
              <w:bottom w:val="nil"/>
              <w:right w:val="nil"/>
            </w:tcBorders>
            <w:vAlign w:val="center"/>
            <w:hideMark/>
          </w:tcPr>
          <w:p w14:paraId="631F902D"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color w:val="000000"/>
                <w:kern w:val="0"/>
                <w:szCs w:val="21"/>
              </w:rPr>
              <w:t>256 × 200</w:t>
            </w:r>
          </w:p>
        </w:tc>
        <w:tc>
          <w:tcPr>
            <w:tcW w:w="625" w:type="pct"/>
            <w:tcBorders>
              <w:top w:val="nil"/>
              <w:left w:val="nil"/>
              <w:bottom w:val="nil"/>
              <w:right w:val="nil"/>
            </w:tcBorders>
            <w:vAlign w:val="center"/>
            <w:hideMark/>
          </w:tcPr>
          <w:p w14:paraId="4CEB02B6"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hint="eastAsia"/>
                <w:color w:val="000000"/>
                <w:kern w:val="0"/>
                <w:szCs w:val="21"/>
              </w:rPr>
              <w:t>4</w:t>
            </w:r>
          </w:p>
        </w:tc>
      </w:tr>
      <w:tr w:rsidR="006A65CF" w:rsidRPr="006A65CF" w14:paraId="0FF2D7A0" w14:textId="77777777" w:rsidTr="007F78FE">
        <w:trPr>
          <w:trHeight w:val="227"/>
        </w:trPr>
        <w:tc>
          <w:tcPr>
            <w:tcW w:w="625" w:type="pct"/>
            <w:tcBorders>
              <w:top w:val="nil"/>
              <w:left w:val="nil"/>
              <w:bottom w:val="nil"/>
              <w:right w:val="nil"/>
            </w:tcBorders>
            <w:vAlign w:val="center"/>
            <w:hideMark/>
          </w:tcPr>
          <w:p w14:paraId="50DEB7DB"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color w:val="000000"/>
                <w:kern w:val="0"/>
                <w:szCs w:val="21"/>
              </w:rPr>
              <w:t xml:space="preserve">PVP </w:t>
            </w:r>
          </w:p>
        </w:tc>
        <w:tc>
          <w:tcPr>
            <w:tcW w:w="625" w:type="pct"/>
            <w:tcBorders>
              <w:top w:val="nil"/>
              <w:left w:val="nil"/>
              <w:bottom w:val="nil"/>
              <w:right w:val="nil"/>
            </w:tcBorders>
            <w:vAlign w:val="center"/>
            <w:hideMark/>
          </w:tcPr>
          <w:p w14:paraId="0B402C65"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hint="eastAsia"/>
                <w:color w:val="000000"/>
                <w:kern w:val="0"/>
                <w:szCs w:val="21"/>
              </w:rPr>
              <w:t>A</w:t>
            </w:r>
          </w:p>
        </w:tc>
        <w:tc>
          <w:tcPr>
            <w:tcW w:w="678" w:type="pct"/>
            <w:tcBorders>
              <w:top w:val="nil"/>
              <w:left w:val="nil"/>
              <w:bottom w:val="nil"/>
              <w:right w:val="nil"/>
            </w:tcBorders>
            <w:vAlign w:val="center"/>
            <w:hideMark/>
          </w:tcPr>
          <w:p w14:paraId="37F3DE62"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hint="eastAsia"/>
                <w:color w:val="000000"/>
                <w:kern w:val="0"/>
                <w:szCs w:val="21"/>
              </w:rPr>
              <w:t>3.7</w:t>
            </w:r>
            <w:r w:rsidRPr="006A65CF">
              <w:rPr>
                <w:rFonts w:ascii="Times New Roman" w:hAnsi="Times New Roman"/>
                <w:color w:val="000000"/>
                <w:kern w:val="0"/>
                <w:szCs w:val="21"/>
              </w:rPr>
              <w:t>/1.7</w:t>
            </w:r>
          </w:p>
        </w:tc>
        <w:tc>
          <w:tcPr>
            <w:tcW w:w="572" w:type="pct"/>
            <w:tcBorders>
              <w:top w:val="nil"/>
              <w:left w:val="nil"/>
              <w:bottom w:val="nil"/>
              <w:right w:val="nil"/>
            </w:tcBorders>
            <w:vAlign w:val="center"/>
            <w:hideMark/>
          </w:tcPr>
          <w:p w14:paraId="21A71837"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color w:val="000000"/>
                <w:kern w:val="0"/>
                <w:szCs w:val="21"/>
              </w:rPr>
              <w:t>420× 420</w:t>
            </w:r>
          </w:p>
        </w:tc>
        <w:tc>
          <w:tcPr>
            <w:tcW w:w="625" w:type="pct"/>
            <w:tcBorders>
              <w:top w:val="nil"/>
              <w:left w:val="nil"/>
              <w:bottom w:val="nil"/>
              <w:right w:val="nil"/>
            </w:tcBorders>
            <w:vAlign w:val="center"/>
            <w:hideMark/>
          </w:tcPr>
          <w:p w14:paraId="2258BBD1"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hint="eastAsia"/>
                <w:color w:val="000000"/>
                <w:kern w:val="0"/>
                <w:szCs w:val="21"/>
              </w:rPr>
              <w:t>1</w:t>
            </w:r>
            <w:r w:rsidRPr="006A65CF">
              <w:rPr>
                <w:rFonts w:ascii="Times New Roman" w:hAnsi="Times New Roman"/>
                <w:color w:val="000000"/>
                <w:kern w:val="0"/>
                <w:szCs w:val="21"/>
              </w:rPr>
              <w:t>5</w:t>
            </w:r>
          </w:p>
        </w:tc>
        <w:tc>
          <w:tcPr>
            <w:tcW w:w="625" w:type="pct"/>
            <w:tcBorders>
              <w:top w:val="nil"/>
              <w:left w:val="nil"/>
              <w:bottom w:val="nil"/>
              <w:right w:val="nil"/>
            </w:tcBorders>
            <w:vAlign w:val="center"/>
            <w:hideMark/>
          </w:tcPr>
          <w:p w14:paraId="4129FF7E"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hint="eastAsia"/>
                <w:color w:val="000000"/>
                <w:kern w:val="0"/>
                <w:szCs w:val="21"/>
              </w:rPr>
              <w:t>5</w:t>
            </w:r>
          </w:p>
        </w:tc>
        <w:tc>
          <w:tcPr>
            <w:tcW w:w="625" w:type="pct"/>
            <w:tcBorders>
              <w:top w:val="nil"/>
              <w:left w:val="nil"/>
              <w:bottom w:val="nil"/>
              <w:right w:val="nil"/>
            </w:tcBorders>
            <w:vAlign w:val="center"/>
            <w:hideMark/>
          </w:tcPr>
          <w:p w14:paraId="033B51F4"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color w:val="000000"/>
                <w:kern w:val="0"/>
                <w:szCs w:val="21"/>
              </w:rPr>
              <w:t>256 × 200</w:t>
            </w:r>
          </w:p>
        </w:tc>
        <w:tc>
          <w:tcPr>
            <w:tcW w:w="625" w:type="pct"/>
            <w:tcBorders>
              <w:top w:val="nil"/>
              <w:left w:val="nil"/>
              <w:bottom w:val="nil"/>
              <w:right w:val="nil"/>
            </w:tcBorders>
            <w:vAlign w:val="center"/>
            <w:hideMark/>
          </w:tcPr>
          <w:p w14:paraId="15C3B491"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hint="eastAsia"/>
                <w:color w:val="000000"/>
                <w:kern w:val="0"/>
                <w:szCs w:val="21"/>
              </w:rPr>
              <w:t>5</w:t>
            </w:r>
          </w:p>
        </w:tc>
      </w:tr>
      <w:tr w:rsidR="006A65CF" w:rsidRPr="006A65CF" w14:paraId="648CBC82" w14:textId="77777777" w:rsidTr="007F78FE">
        <w:trPr>
          <w:trHeight w:val="227"/>
        </w:trPr>
        <w:tc>
          <w:tcPr>
            <w:tcW w:w="625" w:type="pct"/>
            <w:tcBorders>
              <w:top w:val="nil"/>
              <w:left w:val="nil"/>
              <w:bottom w:val="single" w:sz="8" w:space="0" w:color="auto"/>
              <w:right w:val="nil"/>
            </w:tcBorders>
            <w:vAlign w:val="center"/>
            <w:hideMark/>
          </w:tcPr>
          <w:p w14:paraId="7246E166"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color w:val="000000"/>
                <w:kern w:val="0"/>
                <w:szCs w:val="21"/>
              </w:rPr>
              <w:t>DP</w:t>
            </w:r>
          </w:p>
        </w:tc>
        <w:tc>
          <w:tcPr>
            <w:tcW w:w="625" w:type="pct"/>
            <w:tcBorders>
              <w:top w:val="nil"/>
              <w:left w:val="nil"/>
              <w:bottom w:val="single" w:sz="8" w:space="0" w:color="auto"/>
              <w:right w:val="nil"/>
            </w:tcBorders>
            <w:vAlign w:val="center"/>
            <w:hideMark/>
          </w:tcPr>
          <w:p w14:paraId="244202D0"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hint="eastAsia"/>
                <w:color w:val="000000"/>
                <w:kern w:val="0"/>
                <w:szCs w:val="21"/>
              </w:rPr>
              <w:t>A</w:t>
            </w:r>
          </w:p>
        </w:tc>
        <w:tc>
          <w:tcPr>
            <w:tcW w:w="678" w:type="pct"/>
            <w:tcBorders>
              <w:top w:val="nil"/>
              <w:left w:val="nil"/>
              <w:bottom w:val="single" w:sz="8" w:space="0" w:color="auto"/>
              <w:right w:val="nil"/>
            </w:tcBorders>
            <w:vAlign w:val="center"/>
            <w:hideMark/>
          </w:tcPr>
          <w:p w14:paraId="1372A9AD"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hint="eastAsia"/>
                <w:color w:val="000000"/>
                <w:kern w:val="0"/>
                <w:szCs w:val="21"/>
              </w:rPr>
              <w:t>3.7</w:t>
            </w:r>
            <w:r w:rsidRPr="006A65CF">
              <w:rPr>
                <w:rFonts w:ascii="Times New Roman" w:hAnsi="Times New Roman"/>
                <w:color w:val="000000"/>
                <w:kern w:val="0"/>
                <w:szCs w:val="21"/>
              </w:rPr>
              <w:t>/1.7</w:t>
            </w:r>
          </w:p>
        </w:tc>
        <w:tc>
          <w:tcPr>
            <w:tcW w:w="572" w:type="pct"/>
            <w:tcBorders>
              <w:top w:val="nil"/>
              <w:left w:val="nil"/>
              <w:bottom w:val="single" w:sz="8" w:space="0" w:color="auto"/>
              <w:right w:val="nil"/>
            </w:tcBorders>
            <w:vAlign w:val="center"/>
            <w:hideMark/>
          </w:tcPr>
          <w:p w14:paraId="30E40998"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color w:val="000000"/>
                <w:kern w:val="0"/>
                <w:szCs w:val="21"/>
              </w:rPr>
              <w:t>420 ×420</w:t>
            </w:r>
          </w:p>
        </w:tc>
        <w:tc>
          <w:tcPr>
            <w:tcW w:w="625" w:type="pct"/>
            <w:tcBorders>
              <w:top w:val="nil"/>
              <w:left w:val="nil"/>
              <w:bottom w:val="single" w:sz="8" w:space="0" w:color="auto"/>
              <w:right w:val="nil"/>
            </w:tcBorders>
            <w:vAlign w:val="center"/>
            <w:hideMark/>
          </w:tcPr>
          <w:p w14:paraId="3750EB74"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hint="eastAsia"/>
                <w:color w:val="000000"/>
                <w:kern w:val="0"/>
                <w:szCs w:val="21"/>
              </w:rPr>
              <w:t>1</w:t>
            </w:r>
            <w:r w:rsidRPr="006A65CF">
              <w:rPr>
                <w:rFonts w:ascii="Times New Roman" w:hAnsi="Times New Roman"/>
                <w:color w:val="000000"/>
                <w:kern w:val="0"/>
                <w:szCs w:val="21"/>
              </w:rPr>
              <w:t>5</w:t>
            </w:r>
          </w:p>
        </w:tc>
        <w:tc>
          <w:tcPr>
            <w:tcW w:w="625" w:type="pct"/>
            <w:tcBorders>
              <w:top w:val="nil"/>
              <w:left w:val="nil"/>
              <w:bottom w:val="single" w:sz="8" w:space="0" w:color="auto"/>
              <w:right w:val="nil"/>
            </w:tcBorders>
            <w:vAlign w:val="center"/>
            <w:hideMark/>
          </w:tcPr>
          <w:p w14:paraId="366595CF"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hint="eastAsia"/>
                <w:color w:val="000000"/>
                <w:kern w:val="0"/>
                <w:szCs w:val="21"/>
              </w:rPr>
              <w:t>5</w:t>
            </w:r>
          </w:p>
        </w:tc>
        <w:tc>
          <w:tcPr>
            <w:tcW w:w="625" w:type="pct"/>
            <w:tcBorders>
              <w:top w:val="nil"/>
              <w:left w:val="nil"/>
              <w:bottom w:val="single" w:sz="8" w:space="0" w:color="auto"/>
              <w:right w:val="nil"/>
            </w:tcBorders>
            <w:vAlign w:val="center"/>
            <w:hideMark/>
          </w:tcPr>
          <w:p w14:paraId="723109C7"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color w:val="000000"/>
                <w:kern w:val="0"/>
                <w:szCs w:val="21"/>
              </w:rPr>
              <w:t>256 × 200</w:t>
            </w:r>
          </w:p>
        </w:tc>
        <w:tc>
          <w:tcPr>
            <w:tcW w:w="625" w:type="pct"/>
            <w:tcBorders>
              <w:top w:val="nil"/>
              <w:left w:val="nil"/>
              <w:bottom w:val="single" w:sz="8" w:space="0" w:color="auto"/>
              <w:right w:val="nil"/>
            </w:tcBorders>
            <w:vAlign w:val="center"/>
            <w:hideMark/>
          </w:tcPr>
          <w:p w14:paraId="5E51007E" w14:textId="77777777" w:rsidR="005E1C76" w:rsidRPr="006A65CF" w:rsidRDefault="005E1C76" w:rsidP="0056312D">
            <w:pPr>
              <w:widowControl/>
              <w:jc w:val="center"/>
              <w:rPr>
                <w:rFonts w:ascii="Times New Roman" w:hAnsi="Times New Roman"/>
                <w:color w:val="000000"/>
                <w:kern w:val="0"/>
                <w:szCs w:val="21"/>
              </w:rPr>
            </w:pPr>
            <w:r w:rsidRPr="006A65CF">
              <w:rPr>
                <w:rFonts w:ascii="Times New Roman" w:hAnsi="Times New Roman" w:hint="eastAsia"/>
                <w:color w:val="000000"/>
                <w:kern w:val="0"/>
                <w:szCs w:val="21"/>
              </w:rPr>
              <w:t>6</w:t>
            </w:r>
          </w:p>
        </w:tc>
      </w:tr>
    </w:tbl>
    <w:p w14:paraId="229B6ED5" w14:textId="77777777" w:rsidR="00D92DFB" w:rsidRDefault="00D92DFB" w:rsidP="006A65CF">
      <w:pPr>
        <w:widowControl/>
        <w:spacing w:line="360" w:lineRule="auto"/>
        <w:jc w:val="center"/>
        <w:rPr>
          <w:rFonts w:ascii="Times New Roman" w:eastAsia="宋体" w:hAnsi="Times New Roman" w:cs="Times New Roman"/>
          <w:b/>
          <w:bCs/>
          <w:color w:val="000000" w:themeColor="text1"/>
          <w:sz w:val="24"/>
          <w:szCs w:val="24"/>
        </w:rPr>
      </w:pPr>
    </w:p>
    <w:p w14:paraId="045D340B" w14:textId="2549FDD4" w:rsidR="006A65CF" w:rsidRPr="007F78FE" w:rsidRDefault="006A65CF" w:rsidP="006A65CF">
      <w:pPr>
        <w:widowControl/>
        <w:spacing w:line="360" w:lineRule="auto"/>
        <w:jc w:val="center"/>
        <w:rPr>
          <w:rFonts w:ascii="Times New Roman" w:eastAsia="宋体" w:hAnsi="Times New Roman" w:cs="Times New Roman"/>
          <w:b/>
          <w:bCs/>
          <w:sz w:val="24"/>
          <w:szCs w:val="24"/>
        </w:rPr>
      </w:pPr>
      <w:r w:rsidRPr="007F78FE">
        <w:rPr>
          <w:rFonts w:ascii="Times New Roman" w:eastAsia="宋体" w:hAnsi="Times New Roman" w:cs="Times New Roman"/>
          <w:b/>
          <w:bCs/>
          <w:color w:val="000000" w:themeColor="text1"/>
          <w:sz w:val="24"/>
          <w:szCs w:val="24"/>
        </w:rPr>
        <w:t xml:space="preserve">Table </w:t>
      </w:r>
      <w:r w:rsidRPr="007F78FE">
        <w:rPr>
          <w:rFonts w:ascii="Times New Roman" w:eastAsia="宋体" w:hAnsi="Times New Roman" w:cs="Times New Roman" w:hint="eastAsia"/>
          <w:b/>
          <w:bCs/>
          <w:color w:val="000000" w:themeColor="text1"/>
          <w:sz w:val="24"/>
          <w:szCs w:val="24"/>
        </w:rPr>
        <w:t xml:space="preserve">S2 </w:t>
      </w:r>
      <w:r w:rsidRPr="001D6010">
        <w:rPr>
          <w:rFonts w:ascii="Times New Roman" w:eastAsia="等线" w:hAnsi="Times New Roman" w:cs="Times New Roman"/>
          <w:b/>
          <w:bCs/>
          <w:color w:val="000000"/>
          <w:kern w:val="0"/>
          <w:sz w:val="24"/>
          <w:szCs w:val="24"/>
          <w14:ligatures w14:val="none"/>
        </w:rPr>
        <w:t>The definition of LI-RADS imaging Features</w:t>
      </w:r>
    </w:p>
    <w:tbl>
      <w:tblPr>
        <w:tblW w:w="5000" w:type="pct"/>
        <w:tblBorders>
          <w:top w:val="single" w:sz="8" w:space="0" w:color="auto"/>
          <w:bottom w:val="single" w:sz="8" w:space="0" w:color="auto"/>
          <w:insideH w:val="single" w:sz="8" w:space="0" w:color="auto"/>
        </w:tblBorders>
        <w:tblLayout w:type="fixed"/>
        <w:tblLook w:val="04A0" w:firstRow="1" w:lastRow="0" w:firstColumn="1" w:lastColumn="0" w:noHBand="0" w:noVBand="1"/>
      </w:tblPr>
      <w:tblGrid>
        <w:gridCol w:w="1334"/>
        <w:gridCol w:w="6972"/>
      </w:tblGrid>
      <w:tr w:rsidR="00AC78A1" w:rsidRPr="007F78FE" w14:paraId="74D6520A" w14:textId="77777777" w:rsidTr="00AC78A1">
        <w:trPr>
          <w:trHeight w:val="431"/>
          <w:tblHeader/>
        </w:trPr>
        <w:tc>
          <w:tcPr>
            <w:tcW w:w="803" w:type="pct"/>
            <w:tcBorders>
              <w:bottom w:val="single" w:sz="8" w:space="0" w:color="auto"/>
            </w:tcBorders>
            <w:shd w:val="clear" w:color="auto" w:fill="auto"/>
            <w:noWrap/>
            <w:vAlign w:val="center"/>
          </w:tcPr>
          <w:p w14:paraId="06A24DCF" w14:textId="77777777" w:rsidR="006A65CF" w:rsidRPr="007F78FE" w:rsidRDefault="006A65CF" w:rsidP="00D92DFB">
            <w:pPr>
              <w:widowControl/>
              <w:spacing w:line="260" w:lineRule="exact"/>
              <w:jc w:val="left"/>
              <w:rPr>
                <w:rFonts w:ascii="Times New Roman" w:eastAsia="等线" w:hAnsi="Times New Roman" w:cs="Times New Roman"/>
                <w:color w:val="000000"/>
                <w:kern w:val="0"/>
                <w:szCs w:val="21"/>
              </w:rPr>
            </w:pPr>
            <w:r w:rsidRPr="007F78FE">
              <w:rPr>
                <w:rFonts w:ascii="Times New Roman" w:eastAsia="等线" w:hAnsi="Times New Roman" w:cs="Times New Roman"/>
                <w:color w:val="000000"/>
                <w:kern w:val="0"/>
                <w:szCs w:val="21"/>
              </w:rPr>
              <w:t>LI-RADS features</w:t>
            </w:r>
          </w:p>
        </w:tc>
        <w:tc>
          <w:tcPr>
            <w:tcW w:w="4197" w:type="pct"/>
            <w:tcBorders>
              <w:bottom w:val="single" w:sz="8" w:space="0" w:color="auto"/>
            </w:tcBorders>
            <w:shd w:val="clear" w:color="auto" w:fill="auto"/>
            <w:noWrap/>
            <w:vAlign w:val="center"/>
          </w:tcPr>
          <w:p w14:paraId="1B8FC070" w14:textId="77777777" w:rsidR="006A65CF" w:rsidRPr="007F78FE" w:rsidRDefault="006A65CF" w:rsidP="00D92DFB">
            <w:pPr>
              <w:widowControl/>
              <w:spacing w:line="260" w:lineRule="exact"/>
              <w:jc w:val="center"/>
              <w:rPr>
                <w:rFonts w:ascii="Times New Roman" w:eastAsia="等线" w:hAnsi="Times New Roman" w:cs="Times New Roman"/>
                <w:color w:val="000000"/>
                <w:kern w:val="0"/>
                <w:szCs w:val="21"/>
              </w:rPr>
            </w:pPr>
            <w:r w:rsidRPr="007F78FE">
              <w:rPr>
                <w:rFonts w:ascii="Times New Roman" w:eastAsia="等线" w:hAnsi="Times New Roman" w:cs="Times New Roman"/>
                <w:color w:val="000000"/>
                <w:kern w:val="0"/>
                <w:szCs w:val="21"/>
              </w:rPr>
              <w:t>Definition</w:t>
            </w:r>
          </w:p>
        </w:tc>
      </w:tr>
      <w:tr w:rsidR="00AC78A1" w:rsidRPr="007F78FE" w14:paraId="505FE430" w14:textId="77777777" w:rsidTr="00AC78A1">
        <w:trPr>
          <w:trHeight w:val="1670"/>
        </w:trPr>
        <w:tc>
          <w:tcPr>
            <w:tcW w:w="803" w:type="pct"/>
            <w:tcBorders>
              <w:bottom w:val="single" w:sz="8" w:space="0" w:color="auto"/>
            </w:tcBorders>
            <w:shd w:val="clear" w:color="auto" w:fill="auto"/>
            <w:noWrap/>
            <w:vAlign w:val="center"/>
          </w:tcPr>
          <w:p w14:paraId="5D16432A" w14:textId="0CAA9909" w:rsidR="006A65CF" w:rsidRPr="007F78FE" w:rsidRDefault="006A65CF" w:rsidP="00D92DFB">
            <w:pPr>
              <w:widowControl/>
              <w:spacing w:line="260" w:lineRule="exact"/>
              <w:jc w:val="left"/>
              <w:rPr>
                <w:rFonts w:ascii="Times New Roman" w:eastAsia="等线" w:hAnsi="Times New Roman" w:cs="Times New Roman"/>
                <w:color w:val="000000"/>
                <w:kern w:val="0"/>
                <w:szCs w:val="21"/>
              </w:rPr>
            </w:pPr>
            <w:r w:rsidRPr="007F78FE">
              <w:rPr>
                <w:rFonts w:ascii="Times New Roman" w:eastAsia="等线" w:hAnsi="Times New Roman" w:cs="Times New Roman"/>
                <w:color w:val="000000"/>
                <w:kern w:val="0"/>
                <w:szCs w:val="21"/>
              </w:rPr>
              <w:t>Tumor diameter</w:t>
            </w:r>
          </w:p>
        </w:tc>
        <w:tc>
          <w:tcPr>
            <w:tcW w:w="4197" w:type="pct"/>
            <w:tcBorders>
              <w:bottom w:val="single" w:sz="8" w:space="0" w:color="auto"/>
            </w:tcBorders>
            <w:shd w:val="clear" w:color="auto" w:fill="auto"/>
            <w:vAlign w:val="center"/>
          </w:tcPr>
          <w:p w14:paraId="05A970FA" w14:textId="4BA407FB" w:rsidR="006A65CF" w:rsidRPr="007F78FE" w:rsidRDefault="00440BFA" w:rsidP="00D92DFB">
            <w:pPr>
              <w:widowControl/>
              <w:spacing w:line="260" w:lineRule="exact"/>
              <w:rPr>
                <w:rFonts w:ascii="Times New Roman" w:eastAsia="等线" w:hAnsi="Times New Roman" w:cs="Times New Roman"/>
                <w:color w:val="000000"/>
                <w:kern w:val="0"/>
                <w:szCs w:val="21"/>
              </w:rPr>
            </w:pPr>
            <w:r w:rsidRPr="007F78FE">
              <w:rPr>
                <w:rFonts w:ascii="Times New Roman" w:eastAsia="等线" w:hAnsi="Times New Roman" w:cs="Times New Roman"/>
                <w:color w:val="000000"/>
                <w:kern w:val="0"/>
                <w:szCs w:val="21"/>
              </w:rPr>
              <w:t>To measure the largest outer-edge-to-outer-edge dimension of an observation, follow these guidelines:</w:t>
            </w:r>
            <w:r w:rsidRPr="007F78FE">
              <w:rPr>
                <w:rFonts w:ascii="Times New Roman" w:eastAsia="等线" w:hAnsi="Times New Roman" w:cs="Times New Roman" w:hint="eastAsia"/>
                <w:color w:val="000000"/>
                <w:kern w:val="0"/>
                <w:szCs w:val="21"/>
              </w:rPr>
              <w:t xml:space="preserve"> (1) </w:t>
            </w:r>
            <w:r w:rsidRPr="007F78FE">
              <w:rPr>
                <w:rFonts w:ascii="Times New Roman" w:eastAsia="等线" w:hAnsi="Times New Roman" w:cs="Times New Roman"/>
                <w:color w:val="000000"/>
                <w:kern w:val="0"/>
                <w:szCs w:val="21"/>
              </w:rPr>
              <w:t>Include Capsule: Ensure the measurement includes any encapsulating capsule.</w:t>
            </w:r>
            <w:r w:rsidRPr="007F78FE">
              <w:rPr>
                <w:rFonts w:ascii="Times New Roman" w:eastAsia="等线" w:hAnsi="Times New Roman" w:cs="Times New Roman" w:hint="eastAsia"/>
                <w:color w:val="000000"/>
                <w:kern w:val="0"/>
                <w:szCs w:val="21"/>
              </w:rPr>
              <w:t xml:space="preserve"> (2) </w:t>
            </w:r>
            <w:r w:rsidRPr="007F78FE">
              <w:rPr>
                <w:rFonts w:ascii="Times New Roman" w:eastAsia="等线" w:hAnsi="Times New Roman" w:cs="Times New Roman"/>
                <w:color w:val="000000"/>
                <w:kern w:val="0"/>
                <w:szCs w:val="21"/>
              </w:rPr>
              <w:t>Choose Optimal Phase, Sequence, and Plane: Select the phase, sequence, and plane with the clearest margins.</w:t>
            </w:r>
            <w:r w:rsidRPr="007F78FE">
              <w:rPr>
                <w:rFonts w:ascii="Times New Roman" w:eastAsia="等线" w:hAnsi="Times New Roman" w:cs="Times New Roman" w:hint="eastAsia"/>
                <w:color w:val="000000"/>
                <w:kern w:val="0"/>
                <w:szCs w:val="21"/>
              </w:rPr>
              <w:t xml:space="preserve"> (3) </w:t>
            </w:r>
            <w:r w:rsidRPr="007F78FE">
              <w:rPr>
                <w:rFonts w:ascii="Times New Roman" w:eastAsia="等线" w:hAnsi="Times New Roman" w:cs="Times New Roman"/>
                <w:color w:val="000000"/>
                <w:kern w:val="0"/>
                <w:szCs w:val="21"/>
              </w:rPr>
              <w:t>Avoid Arterial Phase (AP)</w:t>
            </w:r>
            <w:r w:rsidRPr="007F78FE">
              <w:rPr>
                <w:rFonts w:ascii="Times New Roman" w:eastAsia="等线" w:hAnsi="Times New Roman" w:cs="Times New Roman" w:hint="eastAsia"/>
                <w:color w:val="000000"/>
                <w:kern w:val="0"/>
                <w:szCs w:val="21"/>
              </w:rPr>
              <w:t xml:space="preserve"> </w:t>
            </w:r>
            <w:r w:rsidRPr="007F78FE">
              <w:rPr>
                <w:rFonts w:ascii="Times New Roman" w:eastAsia="等线" w:hAnsi="Times New Roman" w:cs="Times New Roman"/>
                <w:color w:val="000000"/>
                <w:kern w:val="0"/>
                <w:szCs w:val="21"/>
              </w:rPr>
              <w:t xml:space="preserve">and diffusion-weighted imaging </w:t>
            </w:r>
            <w:r w:rsidRPr="007F78FE">
              <w:rPr>
                <w:rFonts w:ascii="Times New Roman" w:eastAsia="等线" w:hAnsi="Times New Roman" w:cs="Times New Roman" w:hint="eastAsia"/>
                <w:color w:val="000000"/>
                <w:kern w:val="0"/>
                <w:szCs w:val="21"/>
              </w:rPr>
              <w:t>(</w:t>
            </w:r>
            <w:r w:rsidRPr="007F78FE">
              <w:rPr>
                <w:rFonts w:ascii="Times New Roman" w:eastAsia="等线" w:hAnsi="Times New Roman" w:cs="Times New Roman"/>
                <w:color w:val="000000"/>
                <w:kern w:val="0"/>
                <w:szCs w:val="21"/>
              </w:rPr>
              <w:t>DWI</w:t>
            </w:r>
            <w:r w:rsidRPr="007F78FE">
              <w:rPr>
                <w:rFonts w:ascii="Times New Roman" w:eastAsia="等线" w:hAnsi="Times New Roman" w:cs="Times New Roman" w:hint="eastAsia"/>
                <w:color w:val="000000"/>
                <w:kern w:val="0"/>
                <w:szCs w:val="21"/>
              </w:rPr>
              <w:t>)</w:t>
            </w:r>
            <w:r w:rsidRPr="007F78FE">
              <w:rPr>
                <w:rFonts w:ascii="Times New Roman" w:eastAsia="等线" w:hAnsi="Times New Roman" w:cs="Times New Roman"/>
                <w:color w:val="000000"/>
                <w:kern w:val="0"/>
                <w:szCs w:val="21"/>
              </w:rPr>
              <w:t>: Do not measure in the AP or DWI if margins are clear in another phase. AP measurements can overestimate due to peri-observation enhancement, and DWI measurements may be unreliable due to potential anatomical distortion.</w:t>
            </w:r>
          </w:p>
        </w:tc>
      </w:tr>
      <w:tr w:rsidR="00AC78A1" w:rsidRPr="007F78FE" w14:paraId="49D92774" w14:textId="77777777" w:rsidTr="00AC78A1">
        <w:trPr>
          <w:trHeight w:val="1680"/>
        </w:trPr>
        <w:tc>
          <w:tcPr>
            <w:tcW w:w="803" w:type="pct"/>
            <w:tcBorders>
              <w:top w:val="single" w:sz="8" w:space="0" w:color="auto"/>
            </w:tcBorders>
            <w:shd w:val="clear" w:color="auto" w:fill="auto"/>
            <w:noWrap/>
            <w:vAlign w:val="center"/>
          </w:tcPr>
          <w:p w14:paraId="09C1D637" w14:textId="77777777" w:rsidR="006A65CF" w:rsidRPr="007F78FE" w:rsidRDefault="006A65CF" w:rsidP="00D92DFB">
            <w:pPr>
              <w:widowControl/>
              <w:spacing w:line="260" w:lineRule="exact"/>
              <w:jc w:val="left"/>
              <w:rPr>
                <w:rFonts w:ascii="Times New Roman" w:eastAsia="等线" w:hAnsi="Times New Roman" w:cs="Times New Roman"/>
                <w:color w:val="000000"/>
                <w:kern w:val="0"/>
                <w:szCs w:val="21"/>
              </w:rPr>
            </w:pPr>
            <w:r w:rsidRPr="007F78FE">
              <w:rPr>
                <w:rFonts w:ascii="Times New Roman" w:eastAsia="等线" w:hAnsi="Times New Roman" w:cs="Times New Roman"/>
                <w:color w:val="000000"/>
                <w:kern w:val="0"/>
                <w:szCs w:val="21"/>
              </w:rPr>
              <w:t>Radiological capsule enhancement</w:t>
            </w:r>
          </w:p>
        </w:tc>
        <w:tc>
          <w:tcPr>
            <w:tcW w:w="4197" w:type="pct"/>
            <w:tcBorders>
              <w:top w:val="single" w:sz="8" w:space="0" w:color="auto"/>
            </w:tcBorders>
            <w:shd w:val="clear" w:color="auto" w:fill="auto"/>
            <w:vAlign w:val="center"/>
          </w:tcPr>
          <w:p w14:paraId="30B0BDCB" w14:textId="617595F0" w:rsidR="00440BFA" w:rsidRPr="007F78FE" w:rsidRDefault="00440BFA" w:rsidP="00D92DFB">
            <w:pPr>
              <w:widowControl/>
              <w:spacing w:line="260" w:lineRule="exact"/>
              <w:rPr>
                <w:rFonts w:ascii="Times New Roman" w:eastAsia="等线" w:hAnsi="Times New Roman" w:cs="Times New Roman"/>
                <w:color w:val="000000"/>
                <w:kern w:val="0"/>
                <w:szCs w:val="21"/>
              </w:rPr>
            </w:pPr>
            <w:r w:rsidRPr="007F78FE">
              <w:rPr>
                <w:rFonts w:ascii="Times New Roman" w:eastAsia="等线" w:hAnsi="Times New Roman" w:cs="Times New Roman"/>
                <w:color w:val="000000"/>
                <w:kern w:val="0"/>
                <w:szCs w:val="21"/>
              </w:rPr>
              <w:t>Present Enhancing "Capsule": An enhancing capsule is characterized by a smooth, uniform, and sharp border that surrounds most (in the case of incomplete) or all (in the case of complete) of an observation. It is notably thicker or more prominent than the fibrotic tissue surrounding background nodules. This enhancing capsule is clearly visible as an enhancing rim in images acquired during the portal vein phase (PVP), delayed phase (DP), or transitional phase (TP).</w:t>
            </w:r>
          </w:p>
          <w:p w14:paraId="7A9539D9" w14:textId="076DD81C" w:rsidR="006A65CF" w:rsidRPr="007F78FE" w:rsidRDefault="00440BFA" w:rsidP="00D92DFB">
            <w:pPr>
              <w:widowControl/>
              <w:spacing w:line="260" w:lineRule="exact"/>
              <w:rPr>
                <w:rFonts w:ascii="Times New Roman" w:eastAsia="等线" w:hAnsi="Times New Roman" w:cs="Times New Roman"/>
                <w:color w:val="000000"/>
                <w:kern w:val="0"/>
                <w:szCs w:val="21"/>
              </w:rPr>
            </w:pPr>
            <w:r w:rsidRPr="007F78FE">
              <w:rPr>
                <w:rFonts w:ascii="Times New Roman" w:eastAsia="等线" w:hAnsi="Times New Roman" w:cs="Times New Roman"/>
                <w:color w:val="000000"/>
                <w:kern w:val="0"/>
                <w:szCs w:val="21"/>
              </w:rPr>
              <w:t>Absent (Non-Enhancing "Capsule"): An absent or non-enhancing capsule lacks a visible capsule appearance as an enhancing rim.</w:t>
            </w:r>
          </w:p>
        </w:tc>
      </w:tr>
      <w:tr w:rsidR="00AC78A1" w:rsidRPr="007F78FE" w14:paraId="7A861D61" w14:textId="77777777" w:rsidTr="00AC78A1">
        <w:trPr>
          <w:trHeight w:val="794"/>
        </w:trPr>
        <w:tc>
          <w:tcPr>
            <w:tcW w:w="803" w:type="pct"/>
            <w:shd w:val="clear" w:color="auto" w:fill="auto"/>
            <w:noWrap/>
            <w:vAlign w:val="center"/>
          </w:tcPr>
          <w:p w14:paraId="2ACB5D17" w14:textId="77777777" w:rsidR="006A65CF" w:rsidRPr="007F78FE" w:rsidRDefault="006A65CF" w:rsidP="00D92DFB">
            <w:pPr>
              <w:widowControl/>
              <w:spacing w:line="260" w:lineRule="exact"/>
              <w:jc w:val="left"/>
              <w:rPr>
                <w:rFonts w:ascii="Times New Roman" w:eastAsia="等线" w:hAnsi="Times New Roman" w:cs="Times New Roman"/>
                <w:color w:val="000000"/>
                <w:kern w:val="0"/>
                <w:szCs w:val="21"/>
              </w:rPr>
            </w:pPr>
            <w:r w:rsidRPr="007F78FE">
              <w:rPr>
                <w:rFonts w:ascii="Times New Roman" w:eastAsia="等线" w:hAnsi="Times New Roman" w:cs="Times New Roman"/>
                <w:color w:val="000000"/>
                <w:kern w:val="0"/>
                <w:szCs w:val="21"/>
              </w:rPr>
              <w:t>Restricted diffusion</w:t>
            </w:r>
          </w:p>
        </w:tc>
        <w:tc>
          <w:tcPr>
            <w:tcW w:w="4197" w:type="pct"/>
            <w:shd w:val="clear" w:color="auto" w:fill="auto"/>
            <w:vAlign w:val="center"/>
          </w:tcPr>
          <w:p w14:paraId="56BF0DED" w14:textId="1114D169" w:rsidR="006A65CF" w:rsidRPr="007F78FE" w:rsidRDefault="00440BFA" w:rsidP="00D92DFB">
            <w:pPr>
              <w:widowControl/>
              <w:spacing w:line="260" w:lineRule="exact"/>
              <w:rPr>
                <w:rFonts w:ascii="Times New Roman" w:eastAsia="等线" w:hAnsi="Times New Roman" w:cs="Times New Roman"/>
                <w:color w:val="000000"/>
                <w:kern w:val="0"/>
                <w:szCs w:val="21"/>
              </w:rPr>
            </w:pPr>
            <w:r w:rsidRPr="007F78FE">
              <w:rPr>
                <w:rFonts w:ascii="Times New Roman" w:eastAsia="等线" w:hAnsi="Times New Roman" w:cs="Times New Roman"/>
                <w:color w:val="000000"/>
                <w:kern w:val="0"/>
                <w:szCs w:val="21"/>
              </w:rPr>
              <w:t>The intensity on DWI should be significantly higher than that of the liver, not solely due to T2 shine-through. Additionally, the apparent diffusion coefficient (ADC) should be markedly lower than that of the liver.</w:t>
            </w:r>
          </w:p>
        </w:tc>
      </w:tr>
      <w:tr w:rsidR="00AC78A1" w:rsidRPr="007F78FE" w14:paraId="402A1FBA" w14:textId="77777777" w:rsidTr="00AC78A1">
        <w:trPr>
          <w:trHeight w:val="1022"/>
        </w:trPr>
        <w:tc>
          <w:tcPr>
            <w:tcW w:w="803" w:type="pct"/>
            <w:tcBorders>
              <w:bottom w:val="single" w:sz="8" w:space="0" w:color="auto"/>
            </w:tcBorders>
            <w:shd w:val="clear" w:color="auto" w:fill="auto"/>
            <w:noWrap/>
            <w:vAlign w:val="center"/>
          </w:tcPr>
          <w:p w14:paraId="0621FBBE" w14:textId="28F921C6" w:rsidR="006A65CF" w:rsidRPr="007F78FE" w:rsidRDefault="006A65CF" w:rsidP="00D92DFB">
            <w:pPr>
              <w:widowControl/>
              <w:spacing w:line="260" w:lineRule="exact"/>
              <w:jc w:val="left"/>
              <w:rPr>
                <w:rFonts w:ascii="Times New Roman" w:eastAsia="等线" w:hAnsi="Times New Roman" w:cs="Times New Roman"/>
                <w:color w:val="000000"/>
                <w:kern w:val="0"/>
                <w:szCs w:val="21"/>
              </w:rPr>
            </w:pPr>
            <w:proofErr w:type="spellStart"/>
            <w:r w:rsidRPr="007F78FE">
              <w:rPr>
                <w:rFonts w:ascii="Times New Roman" w:eastAsia="等线" w:hAnsi="Times New Roman" w:cs="Times New Roman"/>
                <w:color w:val="000000"/>
                <w:kern w:val="0"/>
                <w:szCs w:val="21"/>
              </w:rPr>
              <w:t>Nonrim</w:t>
            </w:r>
            <w:proofErr w:type="spellEnd"/>
            <w:r w:rsidRPr="007F78FE">
              <w:rPr>
                <w:rFonts w:ascii="Times New Roman" w:eastAsia="等线" w:hAnsi="Times New Roman" w:cs="Times New Roman"/>
                <w:color w:val="000000"/>
                <w:kern w:val="0"/>
                <w:szCs w:val="21"/>
              </w:rPr>
              <w:t xml:space="preserve"> APHE </w:t>
            </w:r>
          </w:p>
        </w:tc>
        <w:tc>
          <w:tcPr>
            <w:tcW w:w="4197" w:type="pct"/>
            <w:tcBorders>
              <w:bottom w:val="single" w:sz="8" w:space="0" w:color="auto"/>
            </w:tcBorders>
            <w:shd w:val="clear" w:color="auto" w:fill="auto"/>
            <w:vAlign w:val="center"/>
          </w:tcPr>
          <w:p w14:paraId="60C351E8" w14:textId="441ED56D" w:rsidR="006A65CF" w:rsidRPr="007F78FE" w:rsidRDefault="00440BFA" w:rsidP="00D92DFB">
            <w:pPr>
              <w:widowControl/>
              <w:spacing w:line="260" w:lineRule="exact"/>
              <w:rPr>
                <w:rFonts w:ascii="Times New Roman" w:eastAsia="等线" w:hAnsi="Times New Roman" w:cs="Times New Roman"/>
                <w:color w:val="000000"/>
                <w:kern w:val="0"/>
                <w:szCs w:val="21"/>
              </w:rPr>
            </w:pPr>
            <w:r w:rsidRPr="007F78FE">
              <w:rPr>
                <w:rFonts w:ascii="Times New Roman" w:eastAsia="等线" w:hAnsi="Times New Roman" w:cs="Times New Roman"/>
                <w:color w:val="000000"/>
                <w:kern w:val="0"/>
                <w:szCs w:val="21"/>
              </w:rPr>
              <w:t>This refers to unequivocal enhancement, either wholly or partially, in the AP, which is greater in attenuation or intensity than that observed in the liver. The enhancing part must exhibit higher attenuation or intensity than the liver in the AP. This should be contrasted with the concept of rim arterial phase hyperenhancement (rim APHE).</w:t>
            </w:r>
          </w:p>
        </w:tc>
      </w:tr>
      <w:tr w:rsidR="00AC78A1" w:rsidRPr="007F78FE" w14:paraId="1936D2F8" w14:textId="77777777" w:rsidTr="00AC78A1">
        <w:trPr>
          <w:trHeight w:val="738"/>
        </w:trPr>
        <w:tc>
          <w:tcPr>
            <w:tcW w:w="803" w:type="pct"/>
            <w:tcBorders>
              <w:bottom w:val="single" w:sz="8" w:space="0" w:color="auto"/>
            </w:tcBorders>
            <w:shd w:val="clear" w:color="auto" w:fill="auto"/>
            <w:noWrap/>
            <w:vAlign w:val="center"/>
          </w:tcPr>
          <w:p w14:paraId="2B0FF25F" w14:textId="77777777" w:rsidR="006A65CF" w:rsidRPr="007F78FE" w:rsidRDefault="006A65CF" w:rsidP="00D92DFB">
            <w:pPr>
              <w:widowControl/>
              <w:spacing w:line="260" w:lineRule="exact"/>
              <w:jc w:val="left"/>
              <w:rPr>
                <w:rFonts w:ascii="Times New Roman" w:eastAsia="等线" w:hAnsi="Times New Roman" w:cs="Times New Roman"/>
                <w:color w:val="000000"/>
                <w:kern w:val="0"/>
                <w:szCs w:val="21"/>
              </w:rPr>
            </w:pPr>
            <w:r w:rsidRPr="007F78FE">
              <w:rPr>
                <w:rFonts w:ascii="Times New Roman" w:eastAsia="等线" w:hAnsi="Times New Roman" w:cs="Times New Roman"/>
                <w:color w:val="000000"/>
                <w:kern w:val="0"/>
                <w:szCs w:val="21"/>
              </w:rPr>
              <w:t>Rim APHE</w:t>
            </w:r>
          </w:p>
        </w:tc>
        <w:tc>
          <w:tcPr>
            <w:tcW w:w="4197" w:type="pct"/>
            <w:tcBorders>
              <w:bottom w:val="single" w:sz="8" w:space="0" w:color="auto"/>
            </w:tcBorders>
            <w:shd w:val="clear" w:color="auto" w:fill="auto"/>
            <w:vAlign w:val="center"/>
          </w:tcPr>
          <w:p w14:paraId="1DD1EB26" w14:textId="77777777" w:rsidR="006A65CF" w:rsidRPr="007F78FE" w:rsidRDefault="006A65CF" w:rsidP="00D92DFB">
            <w:pPr>
              <w:widowControl/>
              <w:spacing w:line="260" w:lineRule="exact"/>
              <w:rPr>
                <w:rFonts w:ascii="Times New Roman" w:eastAsia="等线" w:hAnsi="Times New Roman" w:cs="Times New Roman"/>
                <w:color w:val="000000"/>
                <w:kern w:val="0"/>
                <w:szCs w:val="21"/>
              </w:rPr>
            </w:pPr>
            <w:r w:rsidRPr="007F78FE">
              <w:rPr>
                <w:rFonts w:ascii="Times New Roman" w:eastAsia="等线" w:hAnsi="Times New Roman" w:cs="Times New Roman"/>
                <w:color w:val="000000"/>
                <w:kern w:val="0"/>
                <w:szCs w:val="21"/>
              </w:rPr>
              <w:t>This represents a spatially defined subtype of APHE, characterized by the most pronounced AP enhancement in the periphery of the observation.</w:t>
            </w:r>
          </w:p>
        </w:tc>
      </w:tr>
      <w:tr w:rsidR="00AC78A1" w:rsidRPr="007F78FE" w14:paraId="4B5CB8C0" w14:textId="77777777" w:rsidTr="00AC78A1">
        <w:trPr>
          <w:trHeight w:val="1345"/>
        </w:trPr>
        <w:tc>
          <w:tcPr>
            <w:tcW w:w="803" w:type="pct"/>
            <w:tcBorders>
              <w:top w:val="single" w:sz="8" w:space="0" w:color="auto"/>
              <w:bottom w:val="single" w:sz="8" w:space="0" w:color="auto"/>
            </w:tcBorders>
            <w:shd w:val="clear" w:color="auto" w:fill="auto"/>
            <w:noWrap/>
            <w:vAlign w:val="center"/>
          </w:tcPr>
          <w:p w14:paraId="6748367A" w14:textId="77777777" w:rsidR="006A65CF" w:rsidRPr="007F78FE" w:rsidRDefault="006A65CF" w:rsidP="00D92DFB">
            <w:pPr>
              <w:widowControl/>
              <w:spacing w:line="260" w:lineRule="exact"/>
              <w:jc w:val="left"/>
              <w:rPr>
                <w:rFonts w:ascii="Times New Roman" w:eastAsia="等线" w:hAnsi="Times New Roman" w:cs="Times New Roman"/>
                <w:color w:val="000000"/>
                <w:kern w:val="0"/>
                <w:szCs w:val="21"/>
              </w:rPr>
            </w:pPr>
            <w:proofErr w:type="spellStart"/>
            <w:r w:rsidRPr="007F78FE">
              <w:rPr>
                <w:rFonts w:ascii="Times New Roman" w:eastAsia="等线" w:hAnsi="Times New Roman" w:cs="Times New Roman"/>
                <w:color w:val="000000"/>
                <w:kern w:val="0"/>
                <w:szCs w:val="21"/>
              </w:rPr>
              <w:t>Nonperipheral</w:t>
            </w:r>
            <w:proofErr w:type="spellEnd"/>
            <w:r w:rsidRPr="007F78FE">
              <w:rPr>
                <w:rFonts w:ascii="Times New Roman" w:eastAsia="等线" w:hAnsi="Times New Roman" w:cs="Times New Roman"/>
                <w:color w:val="000000"/>
                <w:kern w:val="0"/>
                <w:szCs w:val="21"/>
              </w:rPr>
              <w:t xml:space="preserve"> “washout”</w:t>
            </w:r>
          </w:p>
        </w:tc>
        <w:tc>
          <w:tcPr>
            <w:tcW w:w="4197" w:type="pct"/>
            <w:tcBorders>
              <w:top w:val="single" w:sz="8" w:space="0" w:color="auto"/>
              <w:bottom w:val="single" w:sz="8" w:space="0" w:color="auto"/>
            </w:tcBorders>
            <w:shd w:val="clear" w:color="auto" w:fill="auto"/>
            <w:vAlign w:val="center"/>
          </w:tcPr>
          <w:p w14:paraId="585EE3F9" w14:textId="65D94DC4" w:rsidR="006A65CF" w:rsidRPr="007F78FE" w:rsidRDefault="007F78FE" w:rsidP="00D92DFB">
            <w:pPr>
              <w:widowControl/>
              <w:spacing w:line="260" w:lineRule="exact"/>
              <w:rPr>
                <w:rFonts w:ascii="Times New Roman" w:eastAsia="等线" w:hAnsi="Times New Roman" w:cs="Times New Roman"/>
                <w:color w:val="000000"/>
                <w:kern w:val="0"/>
                <w:szCs w:val="21"/>
              </w:rPr>
            </w:pPr>
            <w:r w:rsidRPr="007F78FE">
              <w:rPr>
                <w:rFonts w:ascii="Times New Roman" w:eastAsia="等线" w:hAnsi="Times New Roman" w:cs="Times New Roman"/>
                <w:color w:val="000000"/>
                <w:kern w:val="0"/>
                <w:szCs w:val="21"/>
              </w:rPr>
              <w:t xml:space="preserve">This refers to a </w:t>
            </w:r>
            <w:proofErr w:type="spellStart"/>
            <w:r w:rsidRPr="007F78FE">
              <w:rPr>
                <w:rFonts w:ascii="Times New Roman" w:eastAsia="等线" w:hAnsi="Times New Roman" w:cs="Times New Roman"/>
                <w:color w:val="000000"/>
                <w:kern w:val="0"/>
                <w:szCs w:val="21"/>
              </w:rPr>
              <w:t>nonperipheral</w:t>
            </w:r>
            <w:proofErr w:type="spellEnd"/>
            <w:r w:rsidRPr="007F78FE">
              <w:rPr>
                <w:rFonts w:ascii="Times New Roman" w:eastAsia="等线" w:hAnsi="Times New Roman" w:cs="Times New Roman"/>
                <w:color w:val="000000"/>
                <w:kern w:val="0"/>
                <w:szCs w:val="21"/>
              </w:rPr>
              <w:t xml:space="preserve">, visually assessed reduction in enhancement, either wholly or partially, relative to composite liver tissue from an earlier to a later phase. This results in </w:t>
            </w:r>
            <w:proofErr w:type="spellStart"/>
            <w:r w:rsidRPr="007F78FE">
              <w:rPr>
                <w:rFonts w:ascii="Times New Roman" w:eastAsia="等线" w:hAnsi="Times New Roman" w:cs="Times New Roman"/>
                <w:color w:val="000000"/>
                <w:kern w:val="0"/>
                <w:szCs w:val="21"/>
              </w:rPr>
              <w:t>hypoenhancement</w:t>
            </w:r>
            <w:proofErr w:type="spellEnd"/>
            <w:r w:rsidRPr="007F78FE">
              <w:rPr>
                <w:rFonts w:ascii="Times New Roman" w:eastAsia="等线" w:hAnsi="Times New Roman" w:cs="Times New Roman"/>
                <w:color w:val="000000"/>
                <w:kern w:val="0"/>
                <w:szCs w:val="21"/>
              </w:rPr>
              <w:t xml:space="preserve"> during the extracellular phase, occurring in the </w:t>
            </w:r>
            <w:r w:rsidRPr="007F78FE">
              <w:rPr>
                <w:rFonts w:ascii="Times New Roman" w:eastAsia="等线" w:hAnsi="Times New Roman" w:cs="Times New Roman" w:hint="eastAsia"/>
                <w:color w:val="000000"/>
                <w:kern w:val="0"/>
                <w:szCs w:val="21"/>
              </w:rPr>
              <w:t>PVP</w:t>
            </w:r>
            <w:r w:rsidRPr="007F78FE">
              <w:rPr>
                <w:rFonts w:ascii="Times New Roman" w:eastAsia="等线" w:hAnsi="Times New Roman" w:cs="Times New Roman"/>
                <w:color w:val="000000"/>
                <w:kern w:val="0"/>
                <w:szCs w:val="21"/>
              </w:rPr>
              <w:t xml:space="preserve"> or </w:t>
            </w:r>
            <w:r w:rsidRPr="007F78FE">
              <w:rPr>
                <w:rFonts w:ascii="Times New Roman" w:eastAsia="等线" w:hAnsi="Times New Roman" w:cs="Times New Roman" w:hint="eastAsia"/>
                <w:color w:val="000000"/>
                <w:kern w:val="0"/>
                <w:szCs w:val="21"/>
              </w:rPr>
              <w:t>DP</w:t>
            </w:r>
            <w:r w:rsidRPr="007F78FE">
              <w:rPr>
                <w:rFonts w:ascii="Times New Roman" w:eastAsia="等线" w:hAnsi="Times New Roman" w:cs="Times New Roman"/>
                <w:color w:val="000000"/>
                <w:kern w:val="0"/>
                <w:szCs w:val="21"/>
              </w:rPr>
              <w:t xml:space="preserve"> if an extracellular contrast agent</w:t>
            </w:r>
            <w:r w:rsidRPr="007F78FE">
              <w:rPr>
                <w:rFonts w:ascii="Times New Roman" w:eastAsia="等线" w:hAnsi="Times New Roman" w:cs="Times New Roman" w:hint="eastAsia"/>
                <w:color w:val="000000"/>
                <w:kern w:val="0"/>
                <w:szCs w:val="21"/>
              </w:rPr>
              <w:t xml:space="preserve"> </w:t>
            </w:r>
            <w:r w:rsidRPr="007F78FE">
              <w:rPr>
                <w:rFonts w:ascii="Times New Roman" w:eastAsia="等线" w:hAnsi="Times New Roman" w:cs="Times New Roman"/>
                <w:color w:val="000000"/>
                <w:kern w:val="0"/>
                <w:szCs w:val="21"/>
              </w:rPr>
              <w:t xml:space="preserve">or </w:t>
            </w:r>
            <w:proofErr w:type="spellStart"/>
            <w:r w:rsidRPr="007F78FE">
              <w:rPr>
                <w:rFonts w:ascii="Times New Roman" w:eastAsia="等线" w:hAnsi="Times New Roman" w:cs="Times New Roman"/>
                <w:color w:val="000000"/>
                <w:kern w:val="0"/>
                <w:szCs w:val="21"/>
              </w:rPr>
              <w:t>gadobenate</w:t>
            </w:r>
            <w:proofErr w:type="spellEnd"/>
            <w:r w:rsidRPr="007F78FE">
              <w:rPr>
                <w:rFonts w:ascii="Times New Roman" w:eastAsia="等线" w:hAnsi="Times New Roman" w:cs="Times New Roman"/>
                <w:color w:val="000000"/>
                <w:kern w:val="0"/>
                <w:szCs w:val="21"/>
              </w:rPr>
              <w:t xml:space="preserve"> is administered. With </w:t>
            </w:r>
            <w:proofErr w:type="spellStart"/>
            <w:r w:rsidRPr="007F78FE">
              <w:rPr>
                <w:rFonts w:ascii="Times New Roman" w:eastAsia="等线" w:hAnsi="Times New Roman" w:cs="Times New Roman"/>
                <w:color w:val="000000"/>
                <w:kern w:val="0"/>
                <w:szCs w:val="21"/>
              </w:rPr>
              <w:t>gadoxetate</w:t>
            </w:r>
            <w:proofErr w:type="spellEnd"/>
            <w:r w:rsidRPr="007F78FE">
              <w:rPr>
                <w:rFonts w:ascii="Times New Roman" w:eastAsia="等线" w:hAnsi="Times New Roman" w:cs="Times New Roman"/>
                <w:color w:val="000000"/>
                <w:kern w:val="0"/>
                <w:szCs w:val="21"/>
              </w:rPr>
              <w:t xml:space="preserve">, this reduction in enhancement is seen during the </w:t>
            </w:r>
            <w:r w:rsidRPr="007F78FE">
              <w:rPr>
                <w:rFonts w:ascii="Times New Roman" w:eastAsia="等线" w:hAnsi="Times New Roman" w:cs="Times New Roman" w:hint="eastAsia"/>
                <w:color w:val="000000"/>
                <w:kern w:val="0"/>
                <w:szCs w:val="21"/>
              </w:rPr>
              <w:t>PVP</w:t>
            </w:r>
            <w:r w:rsidR="006A65CF" w:rsidRPr="007F78FE">
              <w:rPr>
                <w:rFonts w:ascii="Times New Roman" w:eastAsia="等线" w:hAnsi="Times New Roman" w:cs="Times New Roman"/>
                <w:color w:val="000000"/>
                <w:kern w:val="0"/>
                <w:szCs w:val="21"/>
              </w:rPr>
              <w:t>.</w:t>
            </w:r>
          </w:p>
        </w:tc>
      </w:tr>
    </w:tbl>
    <w:p w14:paraId="6D8F95CE" w14:textId="77777777" w:rsidR="00AC78A1" w:rsidRDefault="00AC78A1" w:rsidP="007F78FE">
      <w:pPr>
        <w:widowControl/>
        <w:spacing w:line="360" w:lineRule="auto"/>
        <w:jc w:val="center"/>
        <w:rPr>
          <w:rFonts w:ascii="Times New Roman" w:eastAsia="宋体" w:hAnsi="Times New Roman" w:cs="Times New Roman"/>
          <w:b/>
          <w:bCs/>
          <w:color w:val="000000" w:themeColor="text1"/>
          <w:sz w:val="24"/>
          <w:szCs w:val="24"/>
        </w:rPr>
      </w:pPr>
    </w:p>
    <w:p w14:paraId="367D2971" w14:textId="760C8285" w:rsidR="006A65CF" w:rsidRPr="007F78FE" w:rsidRDefault="006A65CF" w:rsidP="007F78FE">
      <w:pPr>
        <w:widowControl/>
        <w:spacing w:line="360" w:lineRule="auto"/>
        <w:jc w:val="center"/>
        <w:rPr>
          <w:rFonts w:ascii="Times New Roman" w:eastAsia="宋体" w:hAnsi="Times New Roman" w:cs="Times New Roman"/>
          <w:b/>
          <w:bCs/>
          <w:sz w:val="24"/>
          <w:szCs w:val="24"/>
        </w:rPr>
      </w:pPr>
      <w:r w:rsidRPr="007F78FE">
        <w:rPr>
          <w:rFonts w:ascii="Times New Roman" w:eastAsia="宋体" w:hAnsi="Times New Roman" w:cs="Times New Roman"/>
          <w:b/>
          <w:bCs/>
          <w:color w:val="000000" w:themeColor="text1"/>
          <w:sz w:val="24"/>
          <w:szCs w:val="24"/>
        </w:rPr>
        <w:lastRenderedPageBreak/>
        <w:t xml:space="preserve">Table </w:t>
      </w:r>
      <w:r w:rsidR="007F78FE" w:rsidRPr="007F78FE">
        <w:rPr>
          <w:rFonts w:ascii="Times New Roman" w:eastAsia="宋体" w:hAnsi="Times New Roman" w:cs="Times New Roman" w:hint="eastAsia"/>
          <w:b/>
          <w:bCs/>
          <w:color w:val="000000" w:themeColor="text1"/>
          <w:sz w:val="24"/>
          <w:szCs w:val="24"/>
        </w:rPr>
        <w:t>S</w:t>
      </w:r>
      <w:r w:rsidR="00A719CE">
        <w:rPr>
          <w:rFonts w:ascii="Times New Roman" w:eastAsia="宋体" w:hAnsi="Times New Roman" w:cs="Times New Roman" w:hint="eastAsia"/>
          <w:b/>
          <w:bCs/>
          <w:color w:val="000000" w:themeColor="text1"/>
          <w:sz w:val="24"/>
          <w:szCs w:val="24"/>
        </w:rPr>
        <w:t>3</w:t>
      </w:r>
      <w:r w:rsidRPr="007F78FE">
        <w:rPr>
          <w:rFonts w:ascii="Times New Roman" w:eastAsia="宋体" w:hAnsi="Times New Roman" w:cs="Times New Roman"/>
          <w:b/>
          <w:bCs/>
          <w:color w:val="000000" w:themeColor="text1"/>
          <w:sz w:val="24"/>
          <w:szCs w:val="24"/>
        </w:rPr>
        <w:t xml:space="preserve"> </w:t>
      </w:r>
      <w:r w:rsidRPr="007F78FE">
        <w:rPr>
          <w:rFonts w:ascii="Times New Roman" w:eastAsia="宋体" w:hAnsi="Times New Roman" w:cs="Times New Roman"/>
          <w:b/>
          <w:bCs/>
          <w:sz w:val="24"/>
          <w:szCs w:val="24"/>
        </w:rPr>
        <w:t>The definition of Non-LI-RADS MRI features</w:t>
      </w:r>
    </w:p>
    <w:tbl>
      <w:tblPr>
        <w:tblW w:w="5000" w:type="pct"/>
        <w:tblBorders>
          <w:top w:val="single" w:sz="8" w:space="0" w:color="auto"/>
          <w:bottom w:val="single" w:sz="8" w:space="0" w:color="auto"/>
          <w:insideH w:val="single" w:sz="8" w:space="0" w:color="auto"/>
        </w:tblBorders>
        <w:tblLook w:val="04A0" w:firstRow="1" w:lastRow="0" w:firstColumn="1" w:lastColumn="0" w:noHBand="0" w:noVBand="1"/>
      </w:tblPr>
      <w:tblGrid>
        <w:gridCol w:w="3074"/>
        <w:gridCol w:w="5232"/>
      </w:tblGrid>
      <w:tr w:rsidR="006A65CF" w:rsidRPr="007F78FE" w14:paraId="4045414D" w14:textId="77777777" w:rsidTr="00AC78A1">
        <w:trPr>
          <w:trHeight w:val="320"/>
        </w:trPr>
        <w:tc>
          <w:tcPr>
            <w:tcW w:w="1232" w:type="pct"/>
            <w:shd w:val="clear" w:color="auto" w:fill="auto"/>
            <w:noWrap/>
            <w:vAlign w:val="bottom"/>
          </w:tcPr>
          <w:p w14:paraId="7AABB5D4" w14:textId="77777777" w:rsidR="006A65CF" w:rsidRPr="007F78FE" w:rsidRDefault="006A65CF" w:rsidP="00B43E36">
            <w:pPr>
              <w:widowControl/>
              <w:jc w:val="left"/>
              <w:rPr>
                <w:rFonts w:ascii="Times New Roman" w:eastAsia="等线" w:hAnsi="Times New Roman" w:cs="Times New Roman"/>
                <w:color w:val="000000"/>
                <w:kern w:val="0"/>
                <w:szCs w:val="21"/>
              </w:rPr>
            </w:pPr>
            <w:r w:rsidRPr="007F78FE">
              <w:rPr>
                <w:rFonts w:ascii="Times New Roman" w:eastAsia="等线" w:hAnsi="Times New Roman" w:cs="Times New Roman"/>
                <w:color w:val="000000"/>
                <w:kern w:val="0"/>
                <w:szCs w:val="21"/>
              </w:rPr>
              <w:t>Non-LI-RADS features</w:t>
            </w:r>
          </w:p>
        </w:tc>
        <w:tc>
          <w:tcPr>
            <w:tcW w:w="3768" w:type="pct"/>
            <w:shd w:val="clear" w:color="auto" w:fill="auto"/>
            <w:noWrap/>
            <w:vAlign w:val="center"/>
          </w:tcPr>
          <w:p w14:paraId="286B87CB" w14:textId="77777777" w:rsidR="006A65CF" w:rsidRPr="007F78FE" w:rsidRDefault="006A65CF" w:rsidP="007F78FE">
            <w:pPr>
              <w:widowControl/>
              <w:jc w:val="center"/>
              <w:rPr>
                <w:rFonts w:ascii="Times New Roman" w:eastAsia="等线" w:hAnsi="Times New Roman" w:cs="Times New Roman"/>
                <w:color w:val="000000"/>
                <w:kern w:val="0"/>
                <w:szCs w:val="21"/>
              </w:rPr>
            </w:pPr>
            <w:r w:rsidRPr="007F78FE">
              <w:rPr>
                <w:rFonts w:ascii="Times New Roman" w:eastAsia="等线" w:hAnsi="Times New Roman" w:cs="Times New Roman"/>
                <w:color w:val="000000"/>
                <w:kern w:val="0"/>
                <w:szCs w:val="21"/>
              </w:rPr>
              <w:t>Definition</w:t>
            </w:r>
          </w:p>
        </w:tc>
      </w:tr>
      <w:tr w:rsidR="006A65CF" w:rsidRPr="007F78FE" w14:paraId="114F152B" w14:textId="77777777" w:rsidTr="00AC78A1">
        <w:trPr>
          <w:trHeight w:val="436"/>
        </w:trPr>
        <w:tc>
          <w:tcPr>
            <w:tcW w:w="1232" w:type="pct"/>
            <w:shd w:val="clear" w:color="auto" w:fill="auto"/>
            <w:noWrap/>
            <w:vAlign w:val="center"/>
          </w:tcPr>
          <w:p w14:paraId="3BE6F68C" w14:textId="77777777" w:rsidR="006A65CF" w:rsidRPr="007F78FE" w:rsidRDefault="006A65CF" w:rsidP="00D92DFB">
            <w:pPr>
              <w:widowControl/>
              <w:spacing w:line="260" w:lineRule="exact"/>
              <w:jc w:val="left"/>
              <w:rPr>
                <w:rFonts w:ascii="Times New Roman" w:eastAsia="等线" w:hAnsi="Times New Roman" w:cs="Times New Roman"/>
                <w:color w:val="000000"/>
                <w:kern w:val="0"/>
                <w:szCs w:val="21"/>
              </w:rPr>
            </w:pPr>
            <w:r w:rsidRPr="007F78FE">
              <w:rPr>
                <w:rFonts w:ascii="Times New Roman" w:eastAsia="宋体" w:hAnsi="Times New Roman" w:cs="Times New Roman"/>
                <w:szCs w:val="21"/>
              </w:rPr>
              <w:t>Tumor number</w:t>
            </w:r>
          </w:p>
        </w:tc>
        <w:tc>
          <w:tcPr>
            <w:tcW w:w="3768" w:type="pct"/>
            <w:shd w:val="clear" w:color="auto" w:fill="auto"/>
            <w:vAlign w:val="center"/>
          </w:tcPr>
          <w:p w14:paraId="268D2EF4" w14:textId="77777777" w:rsidR="006A65CF" w:rsidRPr="007F78FE" w:rsidRDefault="006A65CF" w:rsidP="00D92DFB">
            <w:pPr>
              <w:widowControl/>
              <w:spacing w:line="260" w:lineRule="exact"/>
              <w:rPr>
                <w:rFonts w:ascii="Times New Roman" w:eastAsia="等线" w:hAnsi="Times New Roman" w:cs="Times New Roman"/>
                <w:color w:val="000000"/>
                <w:kern w:val="0"/>
                <w:szCs w:val="21"/>
              </w:rPr>
            </w:pPr>
            <w:r w:rsidRPr="007F78FE">
              <w:rPr>
                <w:rFonts w:ascii="Times New Roman" w:eastAsia="宋体" w:hAnsi="Times New Roman" w:cs="Times New Roman"/>
                <w:szCs w:val="21"/>
              </w:rPr>
              <w:t>Only one lesion was solitary, and two or more lesions were multiple.</w:t>
            </w:r>
          </w:p>
        </w:tc>
      </w:tr>
      <w:tr w:rsidR="006A65CF" w:rsidRPr="007F78FE" w14:paraId="1576A763" w14:textId="77777777" w:rsidTr="00AC78A1">
        <w:trPr>
          <w:trHeight w:val="707"/>
        </w:trPr>
        <w:tc>
          <w:tcPr>
            <w:tcW w:w="1232" w:type="pct"/>
            <w:shd w:val="clear" w:color="auto" w:fill="auto"/>
            <w:noWrap/>
            <w:vAlign w:val="center"/>
          </w:tcPr>
          <w:p w14:paraId="21EBD3E3" w14:textId="77777777" w:rsidR="006A65CF" w:rsidRPr="007F78FE" w:rsidRDefault="006A65CF" w:rsidP="00D92DFB">
            <w:pPr>
              <w:widowControl/>
              <w:spacing w:line="260" w:lineRule="exact"/>
              <w:jc w:val="left"/>
              <w:rPr>
                <w:rFonts w:ascii="Times New Roman" w:eastAsia="等线" w:hAnsi="Times New Roman" w:cs="Times New Roman"/>
                <w:color w:val="000000"/>
                <w:kern w:val="0"/>
                <w:szCs w:val="21"/>
              </w:rPr>
            </w:pPr>
            <w:r w:rsidRPr="007F78FE">
              <w:rPr>
                <w:rFonts w:ascii="Times New Roman" w:eastAsia="等线" w:hAnsi="Times New Roman" w:cs="Times New Roman"/>
                <w:color w:val="000000"/>
                <w:kern w:val="0"/>
                <w:szCs w:val="21"/>
              </w:rPr>
              <w:t>Shape</w:t>
            </w:r>
          </w:p>
        </w:tc>
        <w:tc>
          <w:tcPr>
            <w:tcW w:w="3768" w:type="pct"/>
            <w:shd w:val="clear" w:color="auto" w:fill="auto"/>
            <w:vAlign w:val="center"/>
          </w:tcPr>
          <w:p w14:paraId="6F2C66F5" w14:textId="77777777" w:rsidR="006A65CF" w:rsidRPr="007F78FE" w:rsidRDefault="006A65CF" w:rsidP="00D92DFB">
            <w:pPr>
              <w:spacing w:line="260" w:lineRule="exact"/>
              <w:rPr>
                <w:rFonts w:ascii="Times New Roman" w:eastAsia="宋体" w:hAnsi="Times New Roman" w:cs="Times New Roman"/>
                <w:szCs w:val="21"/>
              </w:rPr>
            </w:pPr>
            <w:r w:rsidRPr="007F78FE">
              <w:rPr>
                <w:rFonts w:ascii="Times New Roman" w:eastAsia="宋体" w:hAnsi="Times New Roman" w:cs="Times New Roman"/>
                <w:szCs w:val="21"/>
              </w:rPr>
              <w:t>Tumors with a round or oval shape are categorized as regular, while those with other shapes, such as lobulated, star-like, or needle-like, are classified as irregular.</w:t>
            </w:r>
          </w:p>
        </w:tc>
      </w:tr>
      <w:tr w:rsidR="006A65CF" w:rsidRPr="007F78FE" w14:paraId="5FE136D3" w14:textId="77777777" w:rsidTr="00AC78A1">
        <w:trPr>
          <w:trHeight w:val="704"/>
        </w:trPr>
        <w:tc>
          <w:tcPr>
            <w:tcW w:w="1232" w:type="pct"/>
            <w:shd w:val="clear" w:color="auto" w:fill="auto"/>
            <w:noWrap/>
            <w:vAlign w:val="center"/>
          </w:tcPr>
          <w:p w14:paraId="0400477A" w14:textId="77777777" w:rsidR="006A65CF" w:rsidRPr="007F78FE" w:rsidRDefault="006A65CF" w:rsidP="00D92DFB">
            <w:pPr>
              <w:widowControl/>
              <w:spacing w:line="260" w:lineRule="exact"/>
              <w:jc w:val="left"/>
              <w:rPr>
                <w:rFonts w:ascii="Times New Roman" w:eastAsia="等线" w:hAnsi="Times New Roman" w:cs="Times New Roman"/>
                <w:color w:val="000000"/>
                <w:kern w:val="0"/>
                <w:szCs w:val="21"/>
              </w:rPr>
            </w:pPr>
            <w:r w:rsidRPr="007F78FE">
              <w:rPr>
                <w:rFonts w:ascii="Times New Roman" w:eastAsia="宋体" w:hAnsi="Times New Roman" w:cs="Times New Roman"/>
                <w:szCs w:val="21"/>
              </w:rPr>
              <w:t>Margin</w:t>
            </w:r>
          </w:p>
        </w:tc>
        <w:tc>
          <w:tcPr>
            <w:tcW w:w="3768" w:type="pct"/>
            <w:shd w:val="clear" w:color="auto" w:fill="auto"/>
            <w:vAlign w:val="center"/>
          </w:tcPr>
          <w:p w14:paraId="19C2C3E0" w14:textId="77777777" w:rsidR="006A65CF" w:rsidRPr="007F78FE" w:rsidRDefault="006A65CF" w:rsidP="00D92DFB">
            <w:pPr>
              <w:widowControl/>
              <w:spacing w:line="260" w:lineRule="exact"/>
              <w:rPr>
                <w:rFonts w:ascii="Times New Roman" w:eastAsia="等线" w:hAnsi="Times New Roman" w:cs="Times New Roman"/>
                <w:color w:val="000000"/>
                <w:kern w:val="0"/>
                <w:szCs w:val="21"/>
              </w:rPr>
            </w:pPr>
            <w:r w:rsidRPr="007F78FE">
              <w:rPr>
                <w:rFonts w:ascii="Times New Roman" w:eastAsia="宋体" w:hAnsi="Times New Roman" w:cs="Times New Roman"/>
                <w:szCs w:val="21"/>
              </w:rPr>
              <w:t>Nodular tumors with smooth boundary were smooth margin, non-nodular tumors with irregular contour and budding into the surrounding liver parenchyma were non-smooth margin.</w:t>
            </w:r>
          </w:p>
        </w:tc>
      </w:tr>
      <w:tr w:rsidR="006A65CF" w:rsidRPr="007F78FE" w14:paraId="6353DFDA" w14:textId="77777777" w:rsidTr="00AC78A1">
        <w:trPr>
          <w:trHeight w:val="515"/>
        </w:trPr>
        <w:tc>
          <w:tcPr>
            <w:tcW w:w="1232" w:type="pct"/>
            <w:shd w:val="clear" w:color="auto" w:fill="auto"/>
            <w:noWrap/>
            <w:vAlign w:val="center"/>
          </w:tcPr>
          <w:p w14:paraId="5E011D4F" w14:textId="77777777" w:rsidR="006A65CF" w:rsidRPr="007F78FE" w:rsidRDefault="006A65CF" w:rsidP="00D92DFB">
            <w:pPr>
              <w:widowControl/>
              <w:spacing w:line="260" w:lineRule="exact"/>
              <w:jc w:val="left"/>
              <w:rPr>
                <w:rFonts w:ascii="Times New Roman" w:eastAsia="等线" w:hAnsi="Times New Roman" w:cs="Times New Roman"/>
                <w:color w:val="000000"/>
                <w:kern w:val="0"/>
                <w:szCs w:val="21"/>
              </w:rPr>
            </w:pPr>
            <w:r w:rsidRPr="007F78FE">
              <w:rPr>
                <w:rFonts w:ascii="Times New Roman" w:eastAsia="等线" w:hAnsi="Times New Roman" w:cs="Times New Roman"/>
                <w:color w:val="000000"/>
                <w:kern w:val="0"/>
                <w:szCs w:val="21"/>
              </w:rPr>
              <w:t>E</w:t>
            </w:r>
            <w:r w:rsidRPr="007F78FE">
              <w:rPr>
                <w:rFonts w:ascii="Times New Roman" w:eastAsia="宋体" w:hAnsi="Times New Roman" w:cs="Times New Roman"/>
                <w:szCs w:val="21"/>
              </w:rPr>
              <w:t>nhancement pattern</w:t>
            </w:r>
          </w:p>
        </w:tc>
        <w:tc>
          <w:tcPr>
            <w:tcW w:w="3768" w:type="pct"/>
            <w:shd w:val="clear" w:color="auto" w:fill="auto"/>
            <w:vAlign w:val="center"/>
          </w:tcPr>
          <w:p w14:paraId="6BCE45AD" w14:textId="77777777" w:rsidR="006A65CF" w:rsidRPr="007F78FE" w:rsidRDefault="006A65CF" w:rsidP="00D92DFB">
            <w:pPr>
              <w:widowControl/>
              <w:spacing w:line="260" w:lineRule="exact"/>
              <w:rPr>
                <w:rFonts w:ascii="Times New Roman" w:eastAsia="等线" w:hAnsi="Times New Roman" w:cs="Times New Roman"/>
                <w:color w:val="000000"/>
                <w:kern w:val="0"/>
                <w:szCs w:val="21"/>
              </w:rPr>
            </w:pPr>
            <w:r w:rsidRPr="007F78FE">
              <w:rPr>
                <w:rFonts w:ascii="Times New Roman" w:eastAsia="宋体" w:hAnsi="Times New Roman" w:cs="Times New Roman"/>
                <w:szCs w:val="21"/>
              </w:rPr>
              <w:t>Typical enhancement meets the "wash in and wash out" enhancement, and the rest were typical;</w:t>
            </w:r>
          </w:p>
        </w:tc>
      </w:tr>
      <w:tr w:rsidR="006A65CF" w:rsidRPr="007F78FE" w14:paraId="34E01824" w14:textId="77777777" w:rsidTr="00AC78A1">
        <w:trPr>
          <w:trHeight w:val="796"/>
        </w:trPr>
        <w:tc>
          <w:tcPr>
            <w:tcW w:w="1232" w:type="pct"/>
            <w:shd w:val="clear" w:color="auto" w:fill="auto"/>
            <w:noWrap/>
            <w:vAlign w:val="center"/>
          </w:tcPr>
          <w:p w14:paraId="23BF9E84" w14:textId="77777777" w:rsidR="006A65CF" w:rsidRPr="007F78FE" w:rsidRDefault="006A65CF" w:rsidP="00D92DFB">
            <w:pPr>
              <w:widowControl/>
              <w:spacing w:line="260" w:lineRule="exact"/>
              <w:jc w:val="left"/>
              <w:rPr>
                <w:rFonts w:ascii="Times New Roman" w:eastAsia="等线" w:hAnsi="Times New Roman" w:cs="Times New Roman"/>
                <w:color w:val="000000"/>
                <w:kern w:val="0"/>
                <w:szCs w:val="21"/>
              </w:rPr>
            </w:pPr>
            <w:r w:rsidRPr="007F78FE">
              <w:rPr>
                <w:rFonts w:ascii="Times New Roman" w:eastAsia="宋体" w:hAnsi="Times New Roman" w:cs="Times New Roman"/>
                <w:szCs w:val="21"/>
              </w:rPr>
              <w:t>Arterial Peritumoral enhancement</w:t>
            </w:r>
          </w:p>
        </w:tc>
        <w:tc>
          <w:tcPr>
            <w:tcW w:w="3768" w:type="pct"/>
            <w:shd w:val="clear" w:color="auto" w:fill="auto"/>
            <w:vAlign w:val="center"/>
          </w:tcPr>
          <w:p w14:paraId="0930EC26" w14:textId="77777777" w:rsidR="006A65CF" w:rsidRPr="007F78FE" w:rsidRDefault="006A65CF" w:rsidP="00D92DFB">
            <w:pPr>
              <w:widowControl/>
              <w:spacing w:line="260" w:lineRule="exact"/>
              <w:rPr>
                <w:rFonts w:ascii="Times New Roman" w:eastAsia="等线" w:hAnsi="Times New Roman" w:cs="Times New Roman"/>
                <w:color w:val="000000"/>
                <w:kern w:val="0"/>
                <w:szCs w:val="21"/>
              </w:rPr>
            </w:pPr>
            <w:bookmarkStart w:id="0" w:name="_Hlk146806175"/>
            <w:r w:rsidRPr="007F78FE">
              <w:rPr>
                <w:rFonts w:ascii="Times New Roman" w:eastAsia="宋体" w:hAnsi="Times New Roman" w:cs="Times New Roman"/>
                <w:szCs w:val="21"/>
              </w:rPr>
              <w:t>Defined as the enhancement outside the tumor boundary in the late stage of AP or early stage of PVP and extensive contact with the tumor edge, which becomes isointense during the DP.</w:t>
            </w:r>
            <w:bookmarkEnd w:id="0"/>
          </w:p>
        </w:tc>
      </w:tr>
      <w:tr w:rsidR="007F78FE" w:rsidRPr="007F78FE" w14:paraId="41EBE209" w14:textId="77777777" w:rsidTr="00AC78A1">
        <w:trPr>
          <w:trHeight w:val="822"/>
        </w:trPr>
        <w:tc>
          <w:tcPr>
            <w:tcW w:w="1232" w:type="pct"/>
            <w:shd w:val="clear" w:color="auto" w:fill="auto"/>
            <w:noWrap/>
            <w:vAlign w:val="center"/>
          </w:tcPr>
          <w:p w14:paraId="37C104A3" w14:textId="62872430" w:rsidR="007F78FE" w:rsidRPr="007F78FE" w:rsidRDefault="007F78FE" w:rsidP="00D92DFB">
            <w:pPr>
              <w:widowControl/>
              <w:spacing w:line="260" w:lineRule="exact"/>
              <w:jc w:val="left"/>
              <w:rPr>
                <w:rFonts w:ascii="Times New Roman" w:eastAsia="宋体" w:hAnsi="Times New Roman" w:cs="Times New Roman"/>
                <w:szCs w:val="21"/>
              </w:rPr>
            </w:pPr>
            <w:proofErr w:type="spellStart"/>
            <w:r w:rsidRPr="007F78FE">
              <w:rPr>
                <w:rFonts w:ascii="Times New Roman" w:eastAsia="宋体" w:hAnsi="Times New Roman" w:cs="Times New Roman"/>
                <w:szCs w:val="21"/>
              </w:rPr>
              <w:t>Intratumoral</w:t>
            </w:r>
            <w:proofErr w:type="spellEnd"/>
            <w:r w:rsidRPr="007F78FE">
              <w:rPr>
                <w:rFonts w:ascii="Times New Roman" w:eastAsia="宋体" w:hAnsi="Times New Roman" w:cs="Times New Roman"/>
                <w:szCs w:val="21"/>
              </w:rPr>
              <w:t xml:space="preserve"> necrosis</w:t>
            </w:r>
          </w:p>
        </w:tc>
        <w:tc>
          <w:tcPr>
            <w:tcW w:w="3768" w:type="pct"/>
            <w:shd w:val="clear" w:color="auto" w:fill="auto"/>
            <w:vAlign w:val="center"/>
          </w:tcPr>
          <w:p w14:paraId="02DBB643" w14:textId="27B8EC09" w:rsidR="007F78FE" w:rsidRPr="007F78FE" w:rsidRDefault="00AC78A1" w:rsidP="00D92DFB">
            <w:pPr>
              <w:widowControl/>
              <w:spacing w:line="260" w:lineRule="exact"/>
              <w:rPr>
                <w:rFonts w:ascii="Times New Roman" w:eastAsia="宋体" w:hAnsi="Times New Roman" w:cs="Times New Roman"/>
                <w:szCs w:val="21"/>
              </w:rPr>
            </w:pPr>
            <w:r>
              <w:rPr>
                <w:rFonts w:ascii="Times New Roman" w:eastAsia="宋体" w:hAnsi="Times New Roman" w:cs="Times New Roman" w:hint="eastAsia"/>
                <w:szCs w:val="21"/>
              </w:rPr>
              <w:t>T</w:t>
            </w:r>
            <w:r w:rsidRPr="00AC78A1">
              <w:rPr>
                <w:rFonts w:ascii="Times New Roman" w:eastAsia="宋体" w:hAnsi="Times New Roman" w:cs="Times New Roman"/>
                <w:szCs w:val="21"/>
              </w:rPr>
              <w:t>hese areas typically appear as regions with no enhancement following contrast administration and may show high signal intensity on T2-weighted images</w:t>
            </w:r>
            <w:r>
              <w:rPr>
                <w:rFonts w:ascii="Times New Roman" w:eastAsia="宋体" w:hAnsi="Times New Roman" w:cs="Times New Roman" w:hint="eastAsia"/>
                <w:szCs w:val="21"/>
              </w:rPr>
              <w:t xml:space="preserve"> (T2WI)</w:t>
            </w:r>
            <w:r w:rsidRPr="00AC78A1">
              <w:rPr>
                <w:rFonts w:ascii="Times New Roman" w:eastAsia="宋体" w:hAnsi="Times New Roman" w:cs="Times New Roman"/>
                <w:szCs w:val="21"/>
              </w:rPr>
              <w:t xml:space="preserve"> and low signal intensity on T1-weighted images</w:t>
            </w:r>
            <w:r>
              <w:rPr>
                <w:rFonts w:ascii="Times New Roman" w:eastAsia="宋体" w:hAnsi="Times New Roman" w:cs="Times New Roman" w:hint="eastAsia"/>
                <w:szCs w:val="21"/>
              </w:rPr>
              <w:t xml:space="preserve"> (T1WI)</w:t>
            </w:r>
            <w:r w:rsidRPr="00AC78A1">
              <w:rPr>
                <w:rFonts w:ascii="Times New Roman" w:eastAsia="宋体" w:hAnsi="Times New Roman" w:cs="Times New Roman"/>
                <w:szCs w:val="21"/>
              </w:rPr>
              <w:t>.</w:t>
            </w:r>
          </w:p>
        </w:tc>
      </w:tr>
      <w:tr w:rsidR="007F78FE" w:rsidRPr="007F78FE" w14:paraId="71F747CE" w14:textId="77777777" w:rsidTr="00AC78A1">
        <w:trPr>
          <w:trHeight w:val="1297"/>
        </w:trPr>
        <w:tc>
          <w:tcPr>
            <w:tcW w:w="1232" w:type="pct"/>
            <w:shd w:val="clear" w:color="auto" w:fill="auto"/>
            <w:noWrap/>
            <w:vAlign w:val="center"/>
          </w:tcPr>
          <w:p w14:paraId="114B47DE" w14:textId="5C650ECA" w:rsidR="007F78FE" w:rsidRPr="007F78FE" w:rsidRDefault="007F78FE" w:rsidP="00D92DFB">
            <w:pPr>
              <w:widowControl/>
              <w:spacing w:line="260" w:lineRule="exact"/>
              <w:jc w:val="left"/>
              <w:rPr>
                <w:rFonts w:ascii="Times New Roman" w:eastAsia="宋体" w:hAnsi="Times New Roman" w:cs="Times New Roman"/>
                <w:szCs w:val="21"/>
              </w:rPr>
            </w:pPr>
            <w:r w:rsidRPr="007F78FE">
              <w:rPr>
                <w:rFonts w:ascii="Times New Roman" w:eastAsia="宋体" w:hAnsi="Times New Roman" w:cs="Times New Roman"/>
                <w:szCs w:val="21"/>
              </w:rPr>
              <w:t>MRI liver cirrhosis</w:t>
            </w:r>
          </w:p>
        </w:tc>
        <w:tc>
          <w:tcPr>
            <w:tcW w:w="3768" w:type="pct"/>
            <w:shd w:val="clear" w:color="auto" w:fill="auto"/>
            <w:vAlign w:val="center"/>
          </w:tcPr>
          <w:p w14:paraId="79338368" w14:textId="091F7BBF" w:rsidR="00AC78A1" w:rsidRPr="00AC78A1" w:rsidRDefault="00AC78A1" w:rsidP="00D92DFB">
            <w:pPr>
              <w:widowControl/>
              <w:spacing w:line="260" w:lineRule="exact"/>
              <w:rPr>
                <w:rFonts w:ascii="Times New Roman" w:eastAsia="宋体" w:hAnsi="Times New Roman" w:cs="Times New Roman"/>
                <w:szCs w:val="21"/>
              </w:rPr>
            </w:pPr>
            <w:r w:rsidRPr="00AC78A1">
              <w:rPr>
                <w:rFonts w:ascii="Times New Roman" w:eastAsia="宋体" w:hAnsi="Times New Roman" w:cs="Times New Roman"/>
                <w:szCs w:val="21"/>
              </w:rPr>
              <w:t>Liver Morphology: Cirrhosis can lead to changes in the morphology of the liver, such as increased liver volume, irregular surface, or nodular appearance.</w:t>
            </w:r>
          </w:p>
          <w:p w14:paraId="1010DCE7" w14:textId="065A4D0B" w:rsidR="007F78FE" w:rsidRPr="007F78FE" w:rsidRDefault="00AC78A1" w:rsidP="00D92DFB">
            <w:pPr>
              <w:widowControl/>
              <w:spacing w:line="260" w:lineRule="exact"/>
              <w:rPr>
                <w:rFonts w:ascii="Times New Roman" w:eastAsia="宋体" w:hAnsi="Times New Roman" w:cs="Times New Roman"/>
                <w:szCs w:val="21"/>
              </w:rPr>
            </w:pPr>
            <w:r w:rsidRPr="00AC78A1">
              <w:rPr>
                <w:rFonts w:ascii="Times New Roman" w:eastAsia="宋体" w:hAnsi="Times New Roman" w:cs="Times New Roman"/>
                <w:szCs w:val="21"/>
              </w:rPr>
              <w:t>Signal Intensity: cirrhosis typically appears as signal abnormalities, where the signal intensity of liver tissue is altered compared to normal liver tissue. This may manifest as low signal on T1</w:t>
            </w:r>
            <w:r>
              <w:rPr>
                <w:rFonts w:ascii="Times New Roman" w:eastAsia="宋体" w:hAnsi="Times New Roman" w:cs="Times New Roman" w:hint="eastAsia"/>
                <w:szCs w:val="21"/>
              </w:rPr>
              <w:t>WI</w:t>
            </w:r>
            <w:r w:rsidRPr="00AC78A1">
              <w:rPr>
                <w:rFonts w:ascii="Times New Roman" w:eastAsia="宋体" w:hAnsi="Times New Roman" w:cs="Times New Roman"/>
                <w:szCs w:val="21"/>
              </w:rPr>
              <w:t xml:space="preserve"> or high signal on T2</w:t>
            </w:r>
            <w:r>
              <w:rPr>
                <w:rFonts w:ascii="Times New Roman" w:eastAsia="宋体" w:hAnsi="Times New Roman" w:cs="Times New Roman" w:hint="eastAsia"/>
                <w:szCs w:val="21"/>
              </w:rPr>
              <w:t>WI</w:t>
            </w:r>
            <w:r w:rsidRPr="00AC78A1">
              <w:rPr>
                <w:rFonts w:ascii="Times New Roman" w:eastAsia="宋体" w:hAnsi="Times New Roman" w:cs="Times New Roman"/>
                <w:szCs w:val="21"/>
              </w:rPr>
              <w:t>.</w:t>
            </w:r>
          </w:p>
        </w:tc>
      </w:tr>
      <w:tr w:rsidR="007F78FE" w:rsidRPr="007F78FE" w14:paraId="0FE3CDDF" w14:textId="77777777" w:rsidTr="00AC78A1">
        <w:trPr>
          <w:trHeight w:val="692"/>
        </w:trPr>
        <w:tc>
          <w:tcPr>
            <w:tcW w:w="1232" w:type="pct"/>
            <w:shd w:val="clear" w:color="auto" w:fill="auto"/>
            <w:noWrap/>
            <w:vAlign w:val="center"/>
          </w:tcPr>
          <w:p w14:paraId="6CC0CFB4" w14:textId="4007D704" w:rsidR="007F78FE" w:rsidRPr="007F78FE" w:rsidRDefault="007F78FE" w:rsidP="00D92DFB">
            <w:pPr>
              <w:widowControl/>
              <w:spacing w:line="260" w:lineRule="exact"/>
              <w:jc w:val="left"/>
              <w:rPr>
                <w:rFonts w:ascii="Times New Roman" w:eastAsia="宋体" w:hAnsi="Times New Roman" w:cs="Times New Roman"/>
                <w:szCs w:val="21"/>
              </w:rPr>
            </w:pPr>
            <w:r w:rsidRPr="007F78FE">
              <w:rPr>
                <w:rFonts w:ascii="Times New Roman" w:eastAsia="宋体" w:hAnsi="Times New Roman" w:cs="Times New Roman"/>
                <w:szCs w:val="21"/>
              </w:rPr>
              <w:t>Splenomegaly</w:t>
            </w:r>
          </w:p>
        </w:tc>
        <w:tc>
          <w:tcPr>
            <w:tcW w:w="3768" w:type="pct"/>
            <w:shd w:val="clear" w:color="auto" w:fill="auto"/>
            <w:vAlign w:val="center"/>
          </w:tcPr>
          <w:p w14:paraId="3BED0BA0" w14:textId="7A3861B2" w:rsidR="007F78FE" w:rsidRPr="007F78FE" w:rsidRDefault="00AC78A1" w:rsidP="00D92DFB">
            <w:pPr>
              <w:widowControl/>
              <w:spacing w:line="260" w:lineRule="exact"/>
              <w:rPr>
                <w:rFonts w:ascii="Times New Roman" w:eastAsia="宋体" w:hAnsi="Times New Roman" w:cs="Times New Roman"/>
                <w:szCs w:val="21"/>
              </w:rPr>
            </w:pPr>
            <w:r w:rsidRPr="00AC78A1">
              <w:rPr>
                <w:rFonts w:ascii="Times New Roman" w:eastAsia="宋体" w:hAnsi="Times New Roman" w:cs="Times New Roman"/>
                <w:szCs w:val="21"/>
              </w:rPr>
              <w:t>Splenomegaly is characterized by an enlarged spleen, which can be visualized on MRI as an increase in spleen size compared to normal. This enlargement is typically assessed by measuring the craniocaudal length of the spleen.</w:t>
            </w:r>
          </w:p>
        </w:tc>
      </w:tr>
      <w:tr w:rsidR="007F78FE" w:rsidRPr="007F78FE" w14:paraId="50A8D22E" w14:textId="77777777" w:rsidTr="00AC78A1">
        <w:trPr>
          <w:trHeight w:val="688"/>
        </w:trPr>
        <w:tc>
          <w:tcPr>
            <w:tcW w:w="1232" w:type="pct"/>
            <w:shd w:val="clear" w:color="auto" w:fill="auto"/>
            <w:noWrap/>
            <w:vAlign w:val="center"/>
          </w:tcPr>
          <w:p w14:paraId="22CEA72C" w14:textId="198D07A8" w:rsidR="007F78FE" w:rsidRPr="007F78FE" w:rsidRDefault="007F78FE" w:rsidP="00D92DFB">
            <w:pPr>
              <w:widowControl/>
              <w:spacing w:line="260" w:lineRule="exact"/>
              <w:jc w:val="left"/>
              <w:rPr>
                <w:rFonts w:ascii="Times New Roman" w:eastAsia="宋体" w:hAnsi="Times New Roman" w:cs="Times New Roman"/>
                <w:szCs w:val="21"/>
              </w:rPr>
            </w:pPr>
            <w:r w:rsidRPr="007F78FE">
              <w:rPr>
                <w:rFonts w:ascii="Times New Roman" w:eastAsia="宋体" w:hAnsi="Times New Roman" w:cs="Times New Roman"/>
                <w:szCs w:val="21"/>
              </w:rPr>
              <w:t>Ascites</w:t>
            </w:r>
          </w:p>
        </w:tc>
        <w:tc>
          <w:tcPr>
            <w:tcW w:w="3768" w:type="pct"/>
            <w:shd w:val="clear" w:color="auto" w:fill="auto"/>
            <w:vAlign w:val="center"/>
          </w:tcPr>
          <w:p w14:paraId="6CF01028" w14:textId="30AC8288" w:rsidR="007F78FE" w:rsidRPr="007F78FE" w:rsidRDefault="00AC78A1" w:rsidP="00D92DFB">
            <w:pPr>
              <w:widowControl/>
              <w:spacing w:line="260" w:lineRule="exact"/>
              <w:rPr>
                <w:rFonts w:ascii="Times New Roman" w:eastAsia="宋体" w:hAnsi="Times New Roman" w:cs="Times New Roman"/>
                <w:szCs w:val="21"/>
              </w:rPr>
            </w:pPr>
            <w:r w:rsidRPr="00AC78A1">
              <w:rPr>
                <w:rFonts w:ascii="Times New Roman" w:eastAsia="宋体" w:hAnsi="Times New Roman" w:cs="Times New Roman"/>
                <w:szCs w:val="21"/>
              </w:rPr>
              <w:t>Ascites appears as areas of low signal intensity on T1</w:t>
            </w:r>
            <w:r>
              <w:rPr>
                <w:rFonts w:ascii="Times New Roman" w:eastAsia="宋体" w:hAnsi="Times New Roman" w:cs="Times New Roman" w:hint="eastAsia"/>
                <w:szCs w:val="21"/>
              </w:rPr>
              <w:t>WI</w:t>
            </w:r>
            <w:r w:rsidRPr="00AC78A1">
              <w:rPr>
                <w:rFonts w:ascii="Times New Roman" w:eastAsia="宋体" w:hAnsi="Times New Roman" w:cs="Times New Roman"/>
                <w:szCs w:val="21"/>
              </w:rPr>
              <w:t xml:space="preserve"> and high signal intensity on T2</w:t>
            </w:r>
            <w:r>
              <w:rPr>
                <w:rFonts w:ascii="Times New Roman" w:eastAsia="宋体" w:hAnsi="Times New Roman" w:cs="Times New Roman" w:hint="eastAsia"/>
                <w:szCs w:val="21"/>
              </w:rPr>
              <w:t>WI</w:t>
            </w:r>
            <w:r w:rsidRPr="00AC78A1">
              <w:rPr>
                <w:rFonts w:ascii="Times New Roman" w:eastAsia="宋体" w:hAnsi="Times New Roman" w:cs="Times New Roman"/>
                <w:szCs w:val="21"/>
              </w:rPr>
              <w:t>, surrounding the liver and other abdominal organs.</w:t>
            </w:r>
          </w:p>
        </w:tc>
      </w:tr>
    </w:tbl>
    <w:p w14:paraId="261AFA5D" w14:textId="1CA27DE1" w:rsidR="00D92DFB" w:rsidRPr="00D92DFB" w:rsidRDefault="006A65CF" w:rsidP="00D92DFB">
      <w:pPr>
        <w:spacing w:line="276" w:lineRule="auto"/>
        <w:rPr>
          <w:rFonts w:ascii="Times New Roman" w:eastAsia="宋体" w:hAnsi="Times New Roman" w:cs="Times New Roman" w:hint="eastAsia"/>
          <w:sz w:val="24"/>
          <w:szCs w:val="24"/>
        </w:rPr>
      </w:pPr>
      <w:r>
        <w:rPr>
          <w:rFonts w:ascii="Times New Roman" w:eastAsia="宋体" w:hAnsi="Times New Roman" w:cs="Times New Roman"/>
          <w:sz w:val="24"/>
          <w:szCs w:val="24"/>
        </w:rPr>
        <w:br w:type="page"/>
      </w:r>
    </w:p>
    <w:p w14:paraId="47F4EC20" w14:textId="166C4AA5" w:rsidR="00D92DFB" w:rsidRDefault="00D92DFB" w:rsidP="009B1FB1">
      <w:pPr>
        <w:spacing w:line="276" w:lineRule="auto"/>
        <w:jc w:val="center"/>
        <w:rPr>
          <w:rFonts w:ascii="Times New Roman" w:eastAsia="宋体" w:hAnsi="Times New Roman" w:cs="Times New Roman"/>
          <w:b/>
          <w:bCs/>
          <w:color w:val="000000"/>
          <w:sz w:val="24"/>
          <w:szCs w:val="28"/>
        </w:rPr>
      </w:pPr>
      <w:r>
        <w:rPr>
          <w:rFonts w:ascii="Times New Roman" w:eastAsia="宋体" w:hAnsi="Times New Roman" w:cs="Times New Roman"/>
          <w:b/>
          <w:bCs/>
          <w:noProof/>
          <w:color w:val="000000"/>
          <w:sz w:val="24"/>
          <w:szCs w:val="28"/>
        </w:rPr>
        <w:lastRenderedPageBreak/>
        <w:drawing>
          <wp:inline distT="0" distB="0" distL="0" distR="0" wp14:anchorId="15B4E482" wp14:editId="225C5FC9">
            <wp:extent cx="5256000" cy="7833414"/>
            <wp:effectExtent l="0" t="0" r="1905" b="0"/>
            <wp:docPr id="18243497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6000" cy="7833414"/>
                    </a:xfrm>
                    <a:prstGeom prst="rect">
                      <a:avLst/>
                    </a:prstGeom>
                    <a:noFill/>
                  </pic:spPr>
                </pic:pic>
              </a:graphicData>
            </a:graphic>
          </wp:inline>
        </w:drawing>
      </w:r>
    </w:p>
    <w:p w14:paraId="3D85EF47" w14:textId="74039195" w:rsidR="009B1FB1" w:rsidRPr="009B1FB1" w:rsidRDefault="009B1FB1" w:rsidP="00D92DFB">
      <w:pPr>
        <w:jc w:val="center"/>
        <w:rPr>
          <w:rFonts w:ascii="Times New Roman" w:eastAsia="宋体" w:hAnsi="Times New Roman" w:cs="Times New Roman"/>
          <w:sz w:val="32"/>
          <w:szCs w:val="32"/>
        </w:rPr>
      </w:pPr>
      <w:r>
        <w:rPr>
          <w:rFonts w:ascii="Times New Roman" w:eastAsia="宋体" w:hAnsi="Times New Roman" w:cs="Times New Roman" w:hint="eastAsia"/>
          <w:b/>
          <w:bCs/>
          <w:color w:val="000000"/>
          <w:sz w:val="24"/>
          <w:szCs w:val="28"/>
        </w:rPr>
        <w:t>F</w:t>
      </w:r>
      <w:r w:rsidRPr="009B1FB1">
        <w:rPr>
          <w:rFonts w:ascii="Times New Roman" w:eastAsia="宋体" w:hAnsi="Times New Roman" w:cs="Times New Roman"/>
          <w:b/>
          <w:bCs/>
          <w:color w:val="000000"/>
          <w:sz w:val="24"/>
          <w:szCs w:val="28"/>
        </w:rPr>
        <w:t xml:space="preserve">igure </w:t>
      </w:r>
      <w:r w:rsidR="00BE04C4">
        <w:rPr>
          <w:rFonts w:ascii="Times New Roman" w:eastAsia="宋体" w:hAnsi="Times New Roman" w:cs="Times New Roman" w:hint="eastAsia"/>
          <w:b/>
          <w:bCs/>
          <w:color w:val="000000"/>
          <w:sz w:val="24"/>
          <w:szCs w:val="28"/>
        </w:rPr>
        <w:t>S1</w:t>
      </w:r>
      <w:r w:rsidRPr="009B1FB1">
        <w:rPr>
          <w:rFonts w:ascii="Times New Roman" w:eastAsia="宋体" w:hAnsi="Times New Roman" w:cs="Times New Roman"/>
          <w:b/>
          <w:bCs/>
          <w:color w:val="000000"/>
          <w:sz w:val="24"/>
          <w:szCs w:val="28"/>
        </w:rPr>
        <w:t xml:space="preserve"> Kaplan-Meier Analysis of </w:t>
      </w:r>
      <w:r>
        <w:rPr>
          <w:rFonts w:ascii="Times New Roman" w:eastAsia="宋体" w:hAnsi="Times New Roman" w:cs="Times New Roman" w:hint="eastAsia"/>
          <w:b/>
          <w:bCs/>
          <w:color w:val="000000"/>
          <w:sz w:val="24"/>
          <w:szCs w:val="28"/>
        </w:rPr>
        <w:t>Clinical</w:t>
      </w:r>
      <w:r w:rsidRPr="009B1FB1">
        <w:rPr>
          <w:rFonts w:ascii="Times New Roman" w:eastAsia="宋体" w:hAnsi="Times New Roman" w:cs="Times New Roman"/>
          <w:b/>
          <w:bCs/>
          <w:color w:val="000000"/>
          <w:sz w:val="24"/>
          <w:szCs w:val="28"/>
        </w:rPr>
        <w:t xml:space="preserve"> Model</w:t>
      </w:r>
      <w:r>
        <w:rPr>
          <w:rFonts w:ascii="Times New Roman" w:eastAsia="宋体" w:hAnsi="Times New Roman" w:cs="Times New Roman" w:hint="eastAsia"/>
          <w:b/>
          <w:bCs/>
          <w:color w:val="000000"/>
          <w:sz w:val="24"/>
          <w:szCs w:val="28"/>
        </w:rPr>
        <w:t xml:space="preserve"> V</w:t>
      </w:r>
      <w:r w:rsidRPr="009B1FB1">
        <w:rPr>
          <w:rFonts w:ascii="Times New Roman" w:eastAsia="宋体" w:hAnsi="Times New Roman" w:cs="Times New Roman"/>
          <w:b/>
          <w:bCs/>
          <w:color w:val="000000"/>
          <w:sz w:val="24"/>
          <w:szCs w:val="28"/>
        </w:rPr>
        <w:t>ariables for Predicting HCC 5-</w:t>
      </w:r>
      <w:r w:rsidRPr="009B1FB1">
        <w:rPr>
          <w:rFonts w:ascii="Times New Roman" w:eastAsia="宋体" w:hAnsi="Times New Roman" w:cs="Times New Roman" w:hint="eastAsia"/>
          <w:b/>
          <w:bCs/>
          <w:color w:val="000000"/>
          <w:sz w:val="24"/>
          <w:szCs w:val="28"/>
        </w:rPr>
        <w:t>y</w:t>
      </w:r>
      <w:r w:rsidRPr="009B1FB1">
        <w:rPr>
          <w:rFonts w:ascii="Times New Roman" w:eastAsia="宋体" w:hAnsi="Times New Roman" w:cs="Times New Roman"/>
          <w:b/>
          <w:bCs/>
          <w:color w:val="000000"/>
          <w:sz w:val="24"/>
          <w:szCs w:val="28"/>
        </w:rPr>
        <w:t>ear Survival</w:t>
      </w:r>
    </w:p>
    <w:p w14:paraId="349A7EF9" w14:textId="4CD355CB" w:rsidR="00DB409D" w:rsidRPr="00B22375" w:rsidRDefault="009B1FB1" w:rsidP="00D92DFB">
      <w:pPr>
        <w:spacing w:line="276" w:lineRule="auto"/>
        <w:rPr>
          <w:rFonts w:ascii="Times New Roman" w:eastAsia="宋体" w:hAnsi="Times New Roman" w:cs="Times New Roman"/>
          <w:sz w:val="24"/>
          <w:szCs w:val="24"/>
        </w:rPr>
      </w:pPr>
      <w:r w:rsidRPr="009B1FB1">
        <w:rPr>
          <w:rFonts w:ascii="Times New Roman" w:eastAsia="宋体" w:hAnsi="Times New Roman" w:cs="Times New Roman"/>
          <w:sz w:val="24"/>
          <w:szCs w:val="24"/>
        </w:rPr>
        <w:t xml:space="preserve">(a), (b) Overall survival; (c), (d) Arterial peritumoral enhancement; (e), (f) Shape; (g), (h) </w:t>
      </w:r>
      <w:proofErr w:type="spellStart"/>
      <w:r w:rsidRPr="009B1FB1">
        <w:rPr>
          <w:rFonts w:ascii="Times New Roman" w:eastAsia="宋体" w:hAnsi="Times New Roman" w:cs="Times New Roman"/>
          <w:sz w:val="24"/>
          <w:szCs w:val="24"/>
        </w:rPr>
        <w:t>Intratumoral</w:t>
      </w:r>
      <w:proofErr w:type="spellEnd"/>
      <w:r w:rsidRPr="009B1FB1">
        <w:rPr>
          <w:rFonts w:ascii="Times New Roman" w:eastAsia="宋体" w:hAnsi="Times New Roman" w:cs="Times New Roman"/>
          <w:sz w:val="24"/>
          <w:szCs w:val="24"/>
        </w:rPr>
        <w:t xml:space="preserve"> necrosis; (a), (c), (e), (g) Training Set; (b), (d), (f), (h) Validation Set.</w:t>
      </w:r>
      <w:r w:rsidR="00F83888">
        <w:rPr>
          <w:rFonts w:ascii="Times New Roman" w:eastAsia="宋体" w:hAnsi="Times New Roman" w:cs="Times New Roman"/>
          <w:sz w:val="24"/>
          <w:szCs w:val="24"/>
        </w:rPr>
        <w:br w:type="page"/>
      </w:r>
    </w:p>
    <w:p w14:paraId="0F7A15FB" w14:textId="7ABA7FB7" w:rsidR="005329C3" w:rsidRPr="005329C3" w:rsidRDefault="00D92DFB" w:rsidP="005329C3">
      <w:pPr>
        <w:spacing w:line="276" w:lineRule="auto"/>
        <w:jc w:val="center"/>
        <w:rPr>
          <w:rFonts w:ascii="Times New Roman" w:eastAsia="宋体" w:hAnsi="Times New Roman" w:cs="Times New Roman"/>
          <w:b/>
          <w:bCs/>
          <w:color w:val="000000"/>
          <w:sz w:val="24"/>
          <w:szCs w:val="28"/>
        </w:rPr>
      </w:pPr>
      <w:r>
        <w:rPr>
          <w:rFonts w:ascii="Times New Roman" w:eastAsia="宋体" w:hAnsi="Times New Roman" w:cs="Times New Roman"/>
          <w:b/>
          <w:bCs/>
          <w:noProof/>
          <w:color w:val="000000"/>
          <w:sz w:val="24"/>
          <w:szCs w:val="28"/>
        </w:rPr>
        <w:lastRenderedPageBreak/>
        <w:drawing>
          <wp:anchor distT="0" distB="0" distL="114300" distR="114300" simplePos="0" relativeHeight="251665408" behindDoc="0" locked="0" layoutInCell="1" allowOverlap="1" wp14:anchorId="5502D3B1" wp14:editId="6C61B06F">
            <wp:simplePos x="0" y="0"/>
            <wp:positionH relativeFrom="margin">
              <wp:align>center</wp:align>
            </wp:positionH>
            <wp:positionV relativeFrom="paragraph">
              <wp:posOffset>78377</wp:posOffset>
            </wp:positionV>
            <wp:extent cx="5414010" cy="6383020"/>
            <wp:effectExtent l="0" t="0" r="0" b="0"/>
            <wp:wrapTopAndBottom/>
            <wp:docPr id="205727038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14010" cy="6383020"/>
                    </a:xfrm>
                    <a:prstGeom prst="rect">
                      <a:avLst/>
                    </a:prstGeom>
                    <a:noFill/>
                  </pic:spPr>
                </pic:pic>
              </a:graphicData>
            </a:graphic>
          </wp:anchor>
        </w:drawing>
      </w:r>
      <w:r w:rsidR="00DB409D">
        <w:rPr>
          <w:rFonts w:ascii="Times New Roman" w:eastAsia="宋体" w:hAnsi="Times New Roman" w:cs="Times New Roman" w:hint="eastAsia"/>
          <w:b/>
          <w:bCs/>
          <w:color w:val="000000"/>
          <w:sz w:val="24"/>
          <w:szCs w:val="28"/>
        </w:rPr>
        <w:t>F</w:t>
      </w:r>
      <w:r w:rsidR="00DB409D" w:rsidRPr="009B1FB1">
        <w:rPr>
          <w:rFonts w:ascii="Times New Roman" w:eastAsia="宋体" w:hAnsi="Times New Roman" w:cs="Times New Roman"/>
          <w:b/>
          <w:bCs/>
          <w:color w:val="000000"/>
          <w:sz w:val="24"/>
          <w:szCs w:val="28"/>
        </w:rPr>
        <w:t xml:space="preserve">igure </w:t>
      </w:r>
      <w:r w:rsidR="00DB409D">
        <w:rPr>
          <w:rFonts w:ascii="Times New Roman" w:eastAsia="宋体" w:hAnsi="Times New Roman" w:cs="Times New Roman" w:hint="eastAsia"/>
          <w:b/>
          <w:bCs/>
          <w:color w:val="000000"/>
          <w:sz w:val="24"/>
          <w:szCs w:val="28"/>
        </w:rPr>
        <w:t>S</w:t>
      </w:r>
      <w:r w:rsidR="00B22375">
        <w:rPr>
          <w:rFonts w:ascii="Times New Roman" w:eastAsia="宋体" w:hAnsi="Times New Roman" w:cs="Times New Roman" w:hint="eastAsia"/>
          <w:b/>
          <w:bCs/>
          <w:color w:val="000000"/>
          <w:sz w:val="24"/>
          <w:szCs w:val="28"/>
        </w:rPr>
        <w:t>2</w:t>
      </w:r>
      <w:r w:rsidR="00DB409D" w:rsidRPr="009B1FB1">
        <w:rPr>
          <w:rFonts w:ascii="Times New Roman" w:eastAsia="宋体" w:hAnsi="Times New Roman" w:cs="Times New Roman"/>
          <w:b/>
          <w:bCs/>
          <w:color w:val="000000"/>
          <w:sz w:val="24"/>
          <w:szCs w:val="28"/>
        </w:rPr>
        <w:t xml:space="preserve"> </w:t>
      </w:r>
      <w:r w:rsidR="005329C3" w:rsidRPr="005329C3">
        <w:rPr>
          <w:rFonts w:ascii="Times New Roman" w:eastAsia="宋体" w:hAnsi="Times New Roman" w:cs="Times New Roman"/>
          <w:b/>
          <w:bCs/>
          <w:color w:val="000000"/>
          <w:sz w:val="24"/>
          <w:szCs w:val="28"/>
        </w:rPr>
        <w:t>Web App</w:t>
      </w:r>
      <w:r w:rsidR="005329C3">
        <w:rPr>
          <w:rFonts w:ascii="Times New Roman" w:eastAsia="宋体" w:hAnsi="Times New Roman" w:cs="Times New Roman" w:hint="eastAsia"/>
          <w:b/>
          <w:bCs/>
          <w:color w:val="000000"/>
          <w:sz w:val="24"/>
          <w:szCs w:val="28"/>
        </w:rPr>
        <w:t xml:space="preserve"> of Clinical model and Immune model</w:t>
      </w:r>
    </w:p>
    <w:p w14:paraId="10926F6D" w14:textId="32316996" w:rsidR="00DB409D" w:rsidRPr="005329C3" w:rsidRDefault="005329C3" w:rsidP="007F78FE">
      <w:pPr>
        <w:spacing w:line="276" w:lineRule="auto"/>
        <w:rPr>
          <w:rFonts w:ascii="Times New Roman" w:hAnsi="Times New Roman" w:cs="Times New Roman"/>
          <w:color w:val="000000" w:themeColor="text1"/>
          <w:kern w:val="24"/>
          <w:sz w:val="24"/>
          <w:szCs w:val="24"/>
        </w:rPr>
      </w:pPr>
      <w:r w:rsidRPr="005329C3">
        <w:rPr>
          <w:rFonts w:ascii="Times New Roman" w:hAnsi="Times New Roman" w:cs="Times New Roman"/>
          <w:color w:val="000000" w:themeColor="text1"/>
          <w:kern w:val="24"/>
          <w:sz w:val="24"/>
          <w:szCs w:val="24"/>
        </w:rPr>
        <w:t xml:space="preserve">(a) Clinical </w:t>
      </w:r>
      <w:r w:rsidR="006C705D">
        <w:rPr>
          <w:rFonts w:ascii="Times New Roman" w:hAnsi="Times New Roman" w:cs="Times New Roman" w:hint="eastAsia"/>
          <w:color w:val="000000" w:themeColor="text1"/>
          <w:kern w:val="24"/>
          <w:sz w:val="24"/>
          <w:szCs w:val="24"/>
        </w:rPr>
        <w:t>m</w:t>
      </w:r>
      <w:r w:rsidRPr="005329C3">
        <w:rPr>
          <w:rFonts w:ascii="Times New Roman" w:hAnsi="Times New Roman" w:cs="Times New Roman"/>
          <w:color w:val="000000" w:themeColor="text1"/>
          <w:kern w:val="24"/>
          <w:sz w:val="24"/>
          <w:szCs w:val="24"/>
        </w:rPr>
        <w:t xml:space="preserve">odel Web App showing the potential survival curve: A 60-year-old male with an immune score of 22, arterial peritumoral enhancement, irregular shape, and no </w:t>
      </w:r>
      <w:proofErr w:type="spellStart"/>
      <w:r w:rsidRPr="005329C3">
        <w:rPr>
          <w:rFonts w:ascii="Times New Roman" w:hAnsi="Times New Roman" w:cs="Times New Roman"/>
          <w:color w:val="000000" w:themeColor="text1"/>
          <w:kern w:val="24"/>
          <w:sz w:val="24"/>
          <w:szCs w:val="24"/>
        </w:rPr>
        <w:t>intratumoral</w:t>
      </w:r>
      <w:proofErr w:type="spellEnd"/>
      <w:r w:rsidRPr="005329C3">
        <w:rPr>
          <w:rFonts w:ascii="Times New Roman" w:hAnsi="Times New Roman" w:cs="Times New Roman"/>
          <w:color w:val="000000" w:themeColor="text1"/>
          <w:kern w:val="24"/>
          <w:sz w:val="24"/>
          <w:szCs w:val="24"/>
        </w:rPr>
        <w:t xml:space="preserve"> necrosis. The patient ultimately survived for 1001 days. (c) Immune </w:t>
      </w:r>
      <w:r w:rsidR="006C705D">
        <w:rPr>
          <w:rFonts w:ascii="Times New Roman" w:hAnsi="Times New Roman" w:cs="Times New Roman" w:hint="eastAsia"/>
          <w:color w:val="000000" w:themeColor="text1"/>
          <w:kern w:val="24"/>
          <w:sz w:val="24"/>
          <w:szCs w:val="24"/>
        </w:rPr>
        <w:t>m</w:t>
      </w:r>
      <w:r w:rsidRPr="005329C3">
        <w:rPr>
          <w:rFonts w:ascii="Times New Roman" w:hAnsi="Times New Roman" w:cs="Times New Roman"/>
          <w:color w:val="000000" w:themeColor="text1"/>
          <w:kern w:val="24"/>
          <w:sz w:val="24"/>
          <w:szCs w:val="24"/>
        </w:rPr>
        <w:t>odel Web App</w:t>
      </w:r>
      <w:r>
        <w:rPr>
          <w:rFonts w:ascii="Times New Roman" w:hAnsi="Times New Roman" w:cs="Times New Roman" w:hint="eastAsia"/>
          <w:color w:val="000000" w:themeColor="text1"/>
          <w:kern w:val="24"/>
          <w:sz w:val="24"/>
          <w:szCs w:val="24"/>
        </w:rPr>
        <w:t xml:space="preserve"> </w:t>
      </w:r>
      <w:r w:rsidRPr="005329C3">
        <w:rPr>
          <w:rFonts w:ascii="Times New Roman" w:hAnsi="Times New Roman" w:cs="Times New Roman"/>
          <w:color w:val="000000" w:themeColor="text1"/>
          <w:kern w:val="24"/>
          <w:sz w:val="24"/>
          <w:szCs w:val="24"/>
        </w:rPr>
        <w:t xml:space="preserve">showing the potential survival curve: Showing the same patient as in the Clinical </w:t>
      </w:r>
      <w:r w:rsidR="006C705D">
        <w:rPr>
          <w:rFonts w:ascii="Times New Roman" w:hAnsi="Times New Roman" w:cs="Times New Roman" w:hint="eastAsia"/>
          <w:color w:val="000000" w:themeColor="text1"/>
          <w:kern w:val="24"/>
          <w:sz w:val="24"/>
          <w:szCs w:val="24"/>
        </w:rPr>
        <w:t>m</w:t>
      </w:r>
      <w:r w:rsidRPr="005329C3">
        <w:rPr>
          <w:rFonts w:ascii="Times New Roman" w:hAnsi="Times New Roman" w:cs="Times New Roman"/>
          <w:color w:val="000000" w:themeColor="text1"/>
          <w:kern w:val="24"/>
          <w:sz w:val="24"/>
          <w:szCs w:val="24"/>
        </w:rPr>
        <w:t xml:space="preserve">odel Web App. </w:t>
      </w:r>
    </w:p>
    <w:p w14:paraId="49990B0B" w14:textId="31D00AB2" w:rsidR="00DB409D" w:rsidRPr="005329C3" w:rsidRDefault="00DB409D" w:rsidP="007F78FE">
      <w:pPr>
        <w:spacing w:line="276" w:lineRule="auto"/>
        <w:rPr>
          <w:rFonts w:ascii="Times New Roman" w:hAnsi="Times New Roman" w:cs="Times New Roman"/>
          <w:color w:val="000000" w:themeColor="text1"/>
          <w:kern w:val="24"/>
          <w:sz w:val="28"/>
          <w:szCs w:val="28"/>
        </w:rPr>
      </w:pPr>
    </w:p>
    <w:p w14:paraId="177D1D27" w14:textId="77777777" w:rsidR="00B22375" w:rsidRDefault="00B22375" w:rsidP="007F78FE">
      <w:pPr>
        <w:spacing w:line="276" w:lineRule="auto"/>
        <w:rPr>
          <w:rFonts w:ascii="Times New Roman" w:hAnsi="Times New Roman" w:cs="Times New Roman" w:hint="eastAsia"/>
          <w:color w:val="000000" w:themeColor="text1"/>
          <w:kern w:val="24"/>
          <w:sz w:val="28"/>
          <w:szCs w:val="28"/>
        </w:rPr>
      </w:pPr>
    </w:p>
    <w:p w14:paraId="469F8FEA" w14:textId="77777777" w:rsidR="00B22375" w:rsidRPr="009B1FB1" w:rsidRDefault="00B22375" w:rsidP="00B22375">
      <w:pPr>
        <w:spacing w:line="276" w:lineRule="auto"/>
        <w:jc w:val="center"/>
        <w:rPr>
          <w:rFonts w:ascii="Times New Roman" w:eastAsia="宋体" w:hAnsi="Times New Roman" w:cs="Times New Roman"/>
          <w:sz w:val="24"/>
          <w:szCs w:val="24"/>
        </w:rPr>
      </w:pPr>
      <w:r>
        <w:rPr>
          <w:noProof/>
        </w:rPr>
        <w:lastRenderedPageBreak/>
        <w:drawing>
          <wp:anchor distT="0" distB="0" distL="114300" distR="114300" simplePos="0" relativeHeight="251664384" behindDoc="0" locked="0" layoutInCell="1" allowOverlap="1" wp14:anchorId="7260CC76" wp14:editId="4C847807">
            <wp:simplePos x="0" y="0"/>
            <wp:positionH relativeFrom="margin">
              <wp:align>center</wp:align>
            </wp:positionH>
            <wp:positionV relativeFrom="paragraph">
              <wp:posOffset>308</wp:posOffset>
            </wp:positionV>
            <wp:extent cx="5760000" cy="4773050"/>
            <wp:effectExtent l="0" t="0" r="0" b="8890"/>
            <wp:wrapTopAndBottom/>
            <wp:docPr id="7482776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3460"/>
                    <a:stretch/>
                  </pic:blipFill>
                  <pic:spPr bwMode="auto">
                    <a:xfrm>
                      <a:off x="0" y="0"/>
                      <a:ext cx="5760000" cy="4773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eastAsia="宋体" w:hAnsi="Times New Roman" w:cs="Times New Roman" w:hint="eastAsia"/>
          <w:b/>
          <w:bCs/>
          <w:color w:val="000000"/>
          <w:sz w:val="24"/>
          <w:szCs w:val="28"/>
        </w:rPr>
        <w:t>F</w:t>
      </w:r>
      <w:r w:rsidRPr="009B1FB1">
        <w:rPr>
          <w:rFonts w:ascii="Times New Roman" w:eastAsia="宋体" w:hAnsi="Times New Roman" w:cs="Times New Roman"/>
          <w:b/>
          <w:bCs/>
          <w:color w:val="000000"/>
          <w:sz w:val="24"/>
          <w:szCs w:val="28"/>
        </w:rPr>
        <w:t xml:space="preserve">igure </w:t>
      </w:r>
      <w:r>
        <w:rPr>
          <w:rFonts w:ascii="Times New Roman" w:eastAsia="宋体" w:hAnsi="Times New Roman" w:cs="Times New Roman" w:hint="eastAsia"/>
          <w:b/>
          <w:bCs/>
          <w:color w:val="000000"/>
          <w:sz w:val="24"/>
          <w:szCs w:val="28"/>
        </w:rPr>
        <w:t>S3</w:t>
      </w:r>
      <w:r w:rsidRPr="009B1FB1">
        <w:rPr>
          <w:rFonts w:ascii="Times New Roman" w:eastAsia="宋体" w:hAnsi="Times New Roman" w:cs="Times New Roman"/>
          <w:b/>
          <w:bCs/>
          <w:color w:val="000000"/>
          <w:sz w:val="24"/>
          <w:szCs w:val="28"/>
        </w:rPr>
        <w:t xml:space="preserve"> </w:t>
      </w:r>
      <w:r w:rsidRPr="00BE04C4">
        <w:rPr>
          <w:rFonts w:ascii="Times New Roman" w:eastAsia="宋体" w:hAnsi="Times New Roman" w:cs="Times New Roman"/>
          <w:b/>
          <w:bCs/>
          <w:color w:val="000000"/>
          <w:sz w:val="24"/>
          <w:szCs w:val="28"/>
        </w:rPr>
        <w:t>Variable Correlation Heatmap</w:t>
      </w:r>
    </w:p>
    <w:p w14:paraId="2522E45D" w14:textId="77777777" w:rsidR="00B22375" w:rsidRPr="00B22375" w:rsidRDefault="00B22375" w:rsidP="007F78FE">
      <w:pPr>
        <w:spacing w:line="276" w:lineRule="auto"/>
        <w:rPr>
          <w:rFonts w:ascii="Times New Roman" w:hAnsi="Times New Roman" w:cs="Times New Roman"/>
          <w:color w:val="000000" w:themeColor="text1"/>
          <w:kern w:val="24"/>
          <w:sz w:val="28"/>
          <w:szCs w:val="28"/>
        </w:rPr>
      </w:pPr>
    </w:p>
    <w:sectPr w:rsidR="00B22375" w:rsidRPr="00B22375" w:rsidSect="00D92DFB">
      <w:footerReference w:type="default" r:id="rId11"/>
      <w:pgSz w:w="11906" w:h="16838" w:code="9"/>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D3B5DC" w14:textId="77777777" w:rsidR="002A2DE0" w:rsidRDefault="002A2DE0" w:rsidP="0056312D">
      <w:r>
        <w:separator/>
      </w:r>
    </w:p>
  </w:endnote>
  <w:endnote w:type="continuationSeparator" w:id="0">
    <w:p w14:paraId="26DC647B" w14:textId="77777777" w:rsidR="002A2DE0" w:rsidRDefault="002A2DE0" w:rsidP="00563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1786396"/>
      <w:docPartObj>
        <w:docPartGallery w:val="Page Numbers (Bottom of Page)"/>
        <w:docPartUnique/>
      </w:docPartObj>
    </w:sdtPr>
    <w:sdtContent>
      <w:p w14:paraId="018A5FC0" w14:textId="77777777" w:rsidR="006A65CF" w:rsidRDefault="006A65CF">
        <w:pPr>
          <w:pStyle w:val="a5"/>
          <w:jc w:val="center"/>
        </w:pPr>
        <w:r>
          <w:fldChar w:fldCharType="begin"/>
        </w:r>
        <w:r>
          <w:instrText>PAGE   \* MERGEFORMAT</w:instrText>
        </w:r>
        <w:r>
          <w:fldChar w:fldCharType="separate"/>
        </w:r>
        <w:r w:rsidRPr="00E108AD">
          <w:rPr>
            <w:noProof/>
            <w:lang w:val="zh-CN"/>
          </w:rPr>
          <w:t>1</w:t>
        </w:r>
        <w:r>
          <w:fldChar w:fldCharType="end"/>
        </w:r>
      </w:p>
    </w:sdtContent>
  </w:sdt>
  <w:p w14:paraId="3487E945" w14:textId="77777777" w:rsidR="006A65CF" w:rsidRDefault="006A65C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1BD3AD" w14:textId="77777777" w:rsidR="002A2DE0" w:rsidRDefault="002A2DE0" w:rsidP="0056312D">
      <w:r>
        <w:separator/>
      </w:r>
    </w:p>
  </w:footnote>
  <w:footnote w:type="continuationSeparator" w:id="0">
    <w:p w14:paraId="1BEAE583" w14:textId="77777777" w:rsidR="002A2DE0" w:rsidRDefault="002A2DE0" w:rsidP="005631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13188A"/>
    <w:multiLevelType w:val="hybridMultilevel"/>
    <w:tmpl w:val="593CB9F2"/>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343747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C76"/>
    <w:rsid w:val="00107D03"/>
    <w:rsid w:val="00130E61"/>
    <w:rsid w:val="00186BFE"/>
    <w:rsid w:val="001D6010"/>
    <w:rsid w:val="001F522E"/>
    <w:rsid w:val="002A2DE0"/>
    <w:rsid w:val="002F059D"/>
    <w:rsid w:val="003A6DA5"/>
    <w:rsid w:val="00440BFA"/>
    <w:rsid w:val="004F0518"/>
    <w:rsid w:val="0050459C"/>
    <w:rsid w:val="005120BB"/>
    <w:rsid w:val="005329C3"/>
    <w:rsid w:val="0056312D"/>
    <w:rsid w:val="005E1C76"/>
    <w:rsid w:val="006A65CF"/>
    <w:rsid w:val="006C705D"/>
    <w:rsid w:val="007F78FE"/>
    <w:rsid w:val="0090294A"/>
    <w:rsid w:val="009B1FB1"/>
    <w:rsid w:val="00A251CE"/>
    <w:rsid w:val="00A719CE"/>
    <w:rsid w:val="00AC78A1"/>
    <w:rsid w:val="00B22375"/>
    <w:rsid w:val="00BE04C4"/>
    <w:rsid w:val="00CF34AF"/>
    <w:rsid w:val="00D92DFB"/>
    <w:rsid w:val="00DB409D"/>
    <w:rsid w:val="00F83888"/>
    <w:rsid w:val="00F8562F"/>
    <w:rsid w:val="00F951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7E72E6"/>
  <w15:chartTrackingRefBased/>
  <w15:docId w15:val="{48DAC250-B1F2-47AA-9F35-569711FCB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1C76"/>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312D"/>
    <w:pPr>
      <w:tabs>
        <w:tab w:val="center" w:pos="4153"/>
        <w:tab w:val="right" w:pos="8306"/>
      </w:tabs>
      <w:snapToGrid w:val="0"/>
      <w:jc w:val="center"/>
    </w:pPr>
    <w:rPr>
      <w:sz w:val="18"/>
      <w:szCs w:val="18"/>
    </w:rPr>
  </w:style>
  <w:style w:type="character" w:customStyle="1" w:styleId="a4">
    <w:name w:val="页眉 字符"/>
    <w:basedOn w:val="a0"/>
    <w:link w:val="a3"/>
    <w:uiPriority w:val="99"/>
    <w:rsid w:val="0056312D"/>
    <w:rPr>
      <w:sz w:val="18"/>
      <w:szCs w:val="18"/>
    </w:rPr>
  </w:style>
  <w:style w:type="paragraph" w:styleId="a5">
    <w:name w:val="footer"/>
    <w:basedOn w:val="a"/>
    <w:link w:val="a6"/>
    <w:uiPriority w:val="99"/>
    <w:unhideWhenUsed/>
    <w:qFormat/>
    <w:rsid w:val="0056312D"/>
    <w:pPr>
      <w:tabs>
        <w:tab w:val="center" w:pos="4153"/>
        <w:tab w:val="right" w:pos="8306"/>
      </w:tabs>
      <w:snapToGrid w:val="0"/>
      <w:jc w:val="left"/>
    </w:pPr>
    <w:rPr>
      <w:sz w:val="18"/>
      <w:szCs w:val="18"/>
    </w:rPr>
  </w:style>
  <w:style w:type="character" w:customStyle="1" w:styleId="a6">
    <w:name w:val="页脚 字符"/>
    <w:basedOn w:val="a0"/>
    <w:link w:val="a5"/>
    <w:uiPriority w:val="99"/>
    <w:qFormat/>
    <w:rsid w:val="0056312D"/>
    <w:rPr>
      <w:sz w:val="18"/>
      <w:szCs w:val="18"/>
    </w:rPr>
  </w:style>
  <w:style w:type="paragraph" w:styleId="a7">
    <w:name w:val="List Paragraph"/>
    <w:basedOn w:val="a"/>
    <w:uiPriority w:val="99"/>
    <w:rsid w:val="006A65CF"/>
    <w:pPr>
      <w:ind w:firstLineChars="200" w:firstLine="420"/>
    </w:pPr>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9003166">
      <w:bodyDiv w:val="1"/>
      <w:marLeft w:val="0"/>
      <w:marRight w:val="0"/>
      <w:marTop w:val="0"/>
      <w:marBottom w:val="0"/>
      <w:divBdr>
        <w:top w:val="none" w:sz="0" w:space="0" w:color="auto"/>
        <w:left w:val="none" w:sz="0" w:space="0" w:color="auto"/>
        <w:bottom w:val="none" w:sz="0" w:space="0" w:color="auto"/>
        <w:right w:val="none" w:sz="0" w:space="0" w:color="auto"/>
      </w:divBdr>
    </w:div>
    <w:div w:id="870848446">
      <w:bodyDiv w:val="1"/>
      <w:marLeft w:val="0"/>
      <w:marRight w:val="0"/>
      <w:marTop w:val="0"/>
      <w:marBottom w:val="0"/>
      <w:divBdr>
        <w:top w:val="none" w:sz="0" w:space="0" w:color="auto"/>
        <w:left w:val="none" w:sz="0" w:space="0" w:color="auto"/>
        <w:bottom w:val="none" w:sz="0" w:space="0" w:color="auto"/>
        <w:right w:val="none" w:sz="0" w:space="0" w:color="auto"/>
      </w:divBdr>
    </w:div>
    <w:div w:id="1828283151">
      <w:bodyDiv w:val="1"/>
      <w:marLeft w:val="0"/>
      <w:marRight w:val="0"/>
      <w:marTop w:val="0"/>
      <w:marBottom w:val="0"/>
      <w:divBdr>
        <w:top w:val="none" w:sz="0" w:space="0" w:color="auto"/>
        <w:left w:val="none" w:sz="0" w:space="0" w:color="auto"/>
        <w:bottom w:val="none" w:sz="0" w:space="0" w:color="auto"/>
        <w:right w:val="none" w:sz="0" w:space="0" w:color="auto"/>
      </w:divBdr>
    </w:div>
    <w:div w:id="1979139189">
      <w:bodyDiv w:val="1"/>
      <w:marLeft w:val="0"/>
      <w:marRight w:val="0"/>
      <w:marTop w:val="0"/>
      <w:marBottom w:val="0"/>
      <w:divBdr>
        <w:top w:val="none" w:sz="0" w:space="0" w:color="auto"/>
        <w:left w:val="none" w:sz="0" w:space="0" w:color="auto"/>
        <w:bottom w:val="none" w:sz="0" w:space="0" w:color="auto"/>
        <w:right w:val="none" w:sz="0" w:space="0" w:color="auto"/>
      </w:divBdr>
      <w:divsChild>
        <w:div w:id="1774783652">
          <w:marLeft w:val="0"/>
          <w:marRight w:val="0"/>
          <w:marTop w:val="0"/>
          <w:marBottom w:val="0"/>
          <w:divBdr>
            <w:top w:val="single" w:sz="2" w:space="0" w:color="E3E3E3"/>
            <w:left w:val="single" w:sz="2" w:space="0" w:color="E3E3E3"/>
            <w:bottom w:val="single" w:sz="2" w:space="0" w:color="E3E3E3"/>
            <w:right w:val="single" w:sz="2" w:space="0" w:color="E3E3E3"/>
          </w:divBdr>
          <w:divsChild>
            <w:div w:id="1725130645">
              <w:marLeft w:val="0"/>
              <w:marRight w:val="0"/>
              <w:marTop w:val="0"/>
              <w:marBottom w:val="0"/>
              <w:divBdr>
                <w:top w:val="single" w:sz="2" w:space="0" w:color="E3E3E3"/>
                <w:left w:val="single" w:sz="2" w:space="0" w:color="E3E3E3"/>
                <w:bottom w:val="single" w:sz="2" w:space="0" w:color="E3E3E3"/>
                <w:right w:val="single" w:sz="2" w:space="0" w:color="E3E3E3"/>
              </w:divBdr>
              <w:divsChild>
                <w:div w:id="59795906">
                  <w:marLeft w:val="0"/>
                  <w:marRight w:val="0"/>
                  <w:marTop w:val="0"/>
                  <w:marBottom w:val="0"/>
                  <w:divBdr>
                    <w:top w:val="single" w:sz="2" w:space="2" w:color="E3E3E3"/>
                    <w:left w:val="single" w:sz="2" w:space="0" w:color="E3E3E3"/>
                    <w:bottom w:val="single" w:sz="2" w:space="0" w:color="E3E3E3"/>
                    <w:right w:val="single" w:sz="2" w:space="0" w:color="E3E3E3"/>
                  </w:divBdr>
                  <w:divsChild>
                    <w:div w:id="117055937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D3EE0B-5DE3-4655-93B9-00AB699DF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5</Pages>
  <Words>687</Words>
  <Characters>4799</Characters>
  <Application>Microsoft Office Word</Application>
  <DocSecurity>0</DocSecurity>
  <Lines>97</Lines>
  <Paragraphs>65</Paragraphs>
  <ScaleCrop>false</ScaleCrop>
  <Company/>
  <LinksUpToDate>false</LinksUpToDate>
  <CharactersWithSpaces>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梦婷 古</dc:creator>
  <cp:keywords/>
  <dc:description/>
  <cp:lastModifiedBy>婉敏 刘</cp:lastModifiedBy>
  <cp:revision>13</cp:revision>
  <cp:lastPrinted>2024-06-01T07:04:00Z</cp:lastPrinted>
  <dcterms:created xsi:type="dcterms:W3CDTF">2024-05-18T06:40:00Z</dcterms:created>
  <dcterms:modified xsi:type="dcterms:W3CDTF">2024-06-01T07:55:00Z</dcterms:modified>
</cp:coreProperties>
</file>