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Additional file 1</w:t>
      </w:r>
    </w:p>
    <w:p>
      <w:pPr>
        <w:pStyle w:val="Heading2"/>
        <w:jc w:val="center"/>
      </w:pPr>
      <w:r>
        <w:t>Supplementary methods and evidence tables</w:t>
      </w:r>
    </w:p>
    <w:p>
      <w:r>
        <w:t>Article title: Beyond a negative PSMA PET: artificial intelligence for occult pN1 risk and extended pelvic lymph-node dissection selection in prostate cancer—a systematic scoping review</w:t>
      </w:r>
    </w:p>
    <w:p>
      <w:r>
        <w:t>This file documents the updated PubMed/MEDLINE, Scopus and OpenAlex searches, independent screening by PRP and AZM, the evidence hierarchy, the 79-report AI/radiomics evidence map, model-level clinical-utility fields, adapted PROBAST signalling questions and decision rules, appraisal of 55 conventional comparators, exclusions and the PRISMA-ScR checklist.</w:t>
      </w:r>
    </w:p>
    <w:p>
      <w:pPr>
        <w:pStyle w:val="Heading1"/>
      </w:pPr>
      <w:r>
        <w:t>Supplementary Methods S1. AI/radiomics search strategies</w:t>
      </w:r>
    </w:p>
    <w:p>
      <w:r>
        <w:t>The main systematic search covered PubMed/MEDLINE and Scopus from 1 January 2018 to 19 August 2026 without language restriction. PubMed strategies A-D returned 243 entries (199 unique); Scopus strategies A-D returned 660 entries (486 unique). After cross-database deduplication, the main union contained 496 unique records. OpenAlex and backward citation screening were retained as sensitivity sources.</w:t>
      </w:r>
    </w:p>
    <w:p>
      <w:r>
        <w:t>PubMed strategy A — 127 records</w:t>
      </w:r>
    </w:p>
    <w:p>
      <w:pPr>
        <w:pStyle w:val="Query"/>
      </w:pPr>
      <w:r>
        <w:t>("prostatic neoplasms"[MeSH Terms] OR "prostate cancer"[Title/Abstract]) AND ("prostate-specific membrane antigen"[Title/Abstract] OR PSMA[Title/Abstract]) AND (PET[Title/Abstract] OR "positron emission tomography"[Title/Abstract]) AND ("artificial intelligence"[Title/Abstract] OR "machine learning"[Title/Abstract] OR "deep learning"[Title/Abstract] OR radiomic*[Title/Abstract] OR convolutional[Title/Abstract] OR neural network*[Title/Abstract]) AND ("lymph node"[Title/Abstract] OR nodal[Title/Abstract] OR staging[Title/Abstract] OR metastas*[Title/Abstract] OR recurrence[Title/Abstract]) AND ("2018/01/01"[Date - Publication] : "2026/08/19"[Date - Publication])</w:t>
      </w:r>
    </w:p>
    <w:p>
      <w:r>
        <w:t>PubMed strategy B — 22 records</w:t>
      </w:r>
    </w:p>
    <w:p>
      <w:pPr>
        <w:pStyle w:val="Query"/>
      </w:pPr>
      <w:r>
        <w:t>("prostatic neoplasms"[MeSH Terms] OR "prostate cancer"[Title/Abstract]) AND ("magnetic resonance imaging"[MeSH Terms] OR MRI[Title/Abstract] OR mpMRI[Title/Abstract]) AND ("artificial intelligence"[Title/Abstract] OR "machine learning"[Title/Abstract] OR "deep learning"[Title/Abstract] OR radiomic*[Title/Abstract] OR convolutional[Title/Abstract] OR neural network*[Title/Abstract]) AND ("lymph node metastasis"[Title/Abstract] OR "lymph node invasion"[Title/Abstract] OR nodal[Title/Abstract] OR pN1[Title/Abstract] OR ePLND[Title/Abstract] OR "pelvic lymph node dissection"[Title/Abstract]) AND ("2018/01/01"[Date - Publication] : "2026/08/19"[Date - Publication])</w:t>
      </w:r>
    </w:p>
    <w:p>
      <w:r>
        <w:t>PubMed strategy C — 54 records</w:t>
      </w:r>
    </w:p>
    <w:p>
      <w:pPr>
        <w:pStyle w:val="Query"/>
      </w:pPr>
      <w:r>
        <w:t>("prostatic neoplasms"[MeSH Terms] OR "prostate cancer"[Title/Abstract]) AND ("artificial intelligence"[Title/Abstract] OR "machine learning"[Title/Abstract] OR "deep learning"[Title/Abstract] OR radiomic*[Title/Abstract] OR convolutional[Title/Abstract] OR neural network*[Title/Abstract]) AND ("lymph node metastasis"[Title/Abstract] OR "lymph node invasion"[Title/Abstract] OR pN1[Title/Abstract] OR ePLND[Title/Abstract] OR "pelvic lymph node dissection"[Title/Abstract]) AND (predict*[Title/Abstract] OR model*[Title/Abstract] OR nomogram*[Title/Abstract]) AND ("2018/01/01"[Date - Publication] : "2026/08/19"[Date - Publication])</w:t>
      </w:r>
    </w:p>
    <w:p>
      <w:r>
        <w:t>PubMed strategy D — 40 records</w:t>
      </w:r>
    </w:p>
    <w:p>
      <w:pPr>
        <w:pStyle w:val="Query"/>
      </w:pPr>
      <w:r>
        <w:t>("prostatic neoplasms"[MeSH Terms] OR "prostate cancer"[Title/Abstract]) AND ((("prostate-specific membrane antigen"[Title/Abstract] OR PSMA[Title/Abstract]) AND (PET[Title/Abstract] OR "positron emission tomography"[Title/Abstract])) OR "magnetic resonance imaging"[MeSH Terms] OR MRI[Title/Abstract] OR mpMRI[Title/Abstract]) AND ("artificial intelligence"[Title/Abstract] OR "machine learning"[Title/Abstract] OR "deep learning"[Title/Abstract] OR radiomic*[Title/Abstract] OR convolutional[Title/Abstract] OR neural network*[Title/Abstract]) AND ("biochemical recurrence"[Title/Abstract] OR "biochemical failure"[Title/Abstract]) AND ("radical prostatectomy"[Title/Abstract] OR prostatectomy[Title/Abstract]) AND ("2018/01/01"[Date - Publication] : "2026/08/19"[Date - Publication])</w:t>
      </w:r>
    </w:p>
    <w:p>
      <w:pPr/>
      <w:r>
        <w:t>Scopus strategy A — 256 records</w:t>
      </w:r>
    </w:p>
    <w:p>
      <w:pPr>
        <w:pStyle w:val="Query"/>
      </w:pPr>
      <w:r>
        <w:t>TITLE-ABS-KEY("prostate cancer" OR "prostatic cancer" OR "prostate neoplasm*" OR "prostatic neoplasm*" OR "prostate carcinoma" OR "prostatic carcinoma") AND TITLE-ABS-KEY(PSMA OR "prostate specific membrane antigen" OR "prostate-specific membrane antigen") AND TITLE-ABS-KEY(PET OR "positron emission tomography" OR "PET/CT" OR "PET-CT" OR "PET MRI" OR "PET/MRI") AND TITLE-ABS-KEY("artificial intelligence" OR "machine learning" OR "deep learning" OR radiomic* OR "texture analys*" OR convolutional OR "neural network*" OR "random forest*" OR "support vector machine*" OR "gradient boost*" OR xgboost) AND TITLE-ABS-KEY("lymph node*" OR nodal OR staging OR metastas* OR recurren*) AND PUBYEAR AFT 2017 AND PUBYEAR BEF 2027</w:t>
      </w:r>
    </w:p>
    <w:p>
      <w:pPr/>
      <w:r>
        <w:t>Scopus strategy B — 96 records</w:t>
      </w:r>
    </w:p>
    <w:p>
      <w:pPr>
        <w:pStyle w:val="Query"/>
      </w:pPr>
      <w:r>
        <w:t>TITLE-ABS-KEY("prostate cancer" OR "prostatic cancer" OR "prostate neoplasm*" OR "prostatic neoplasm*" OR "prostate carcinoma" OR "prostatic carcinoma") AND TITLE-ABS-KEY("magnetic resonance imag*" OR MRI OR mpMRI OR "multiparametric MRI" OR "multi-parametric MRI") AND TITLE-ABS-KEY("artificial intelligence" OR "machine learning" OR "deep learning" OR radiomic* OR "texture analys*" OR convolutional OR "neural network*" OR "random forest*" OR "support vector machine*" OR "gradient boost*" OR xgboost) AND TITLE-ABS-KEY("lymph node metastas*" OR "lymph node invasion" OR "lymph node involvement" OR "lymphatic metastas*" OR nodal OR pN1 OR ePLND OR "pelvic lymph node dissection") AND PUBYEAR AFT 2017 AND PUBYEAR BEF 2027</w:t>
      </w:r>
    </w:p>
    <w:p>
      <w:pPr/>
      <w:r>
        <w:t>Scopus strategy C — 212 records</w:t>
      </w:r>
    </w:p>
    <w:p>
      <w:pPr>
        <w:pStyle w:val="Query"/>
      </w:pPr>
      <w:r>
        <w:t>TITLE-ABS-KEY("prostate cancer" OR "prostatic cancer" OR "prostate neoplasm*" OR "prostatic neoplasm*" OR "prostate carcinoma" OR "prostatic carcinoma") AND TITLE-ABS-KEY("artificial intelligence" OR "machine learning" OR "deep learning" OR radiomic* OR "texture analys*" OR convolutional OR "neural network*" OR "random forest*" OR "support vector machine*" OR "gradient boost*" OR xgboost) AND TITLE-ABS-KEY("lymph node metastas*" OR "lymph node invasion" OR "lymph node involvement" OR "lymphatic metastas*" OR nodal OR pN1 OR ePLND OR "pelvic lymph node dissection") AND TITLE-ABS-KEY(predict* OR model* OR nomogram* OR classifier* OR "risk stratification" OR "decision support") AND PUBYEAR AFT 2017 AND PUBYEAR BEF 2027</w:t>
      </w:r>
    </w:p>
    <w:p>
      <w:pPr/>
      <w:r>
        <w:t>Scopus strategy D — 96 records</w:t>
      </w:r>
    </w:p>
    <w:p>
      <w:pPr>
        <w:pStyle w:val="Query"/>
      </w:pPr>
      <w:r>
        <w:t>TITLE-ABS-KEY("prostate cancer" OR "prostatic cancer" OR "prostate neoplasm*" OR "prostatic neoplasm*" OR "prostate carcinoma" OR "prostatic carcinoma") AND ((TITLE-ABS-KEY(PSMA OR "prostate specific membrane antigen" OR "prostate-specific membrane antigen") AND TITLE-ABS-KEY(PET OR "positron emission tomography" OR "PET/CT" OR "PET-CT" OR "PET MRI" OR "PET/MRI")) OR TITLE-ABS-KEY("magnetic resonance imag*" OR MRI OR mpMRI OR "multiparametric MRI" OR "multi-parametric MRI")) AND TITLE-ABS-KEY("artificial intelligence" OR "machine learning" OR "deep learning" OR radiomic* OR "texture analys*" OR convolutional OR "neural network*" OR "random forest*" OR "support vector machine*" OR "gradient boost*" OR xgboost) AND TITLE-ABS-KEY("biochemical recurren*" OR "biochemical failure" OR BCR) AND TITLE-ABS-KEY("radical prostatectomy" OR prostatectom*) AND PUBYEAR AFT 2017 AND PUBYEAR BEF 2027</w:t>
      </w:r>
    </w:p>
    <w:p>
      <w:pPr>
        <w:pStyle w:val="Heading2"/>
      </w:pPr>
      <w:r>
        <w:t>OpenAlex AI sensitivity search</w:t>
      </w:r>
    </w:p>
    <w:p>
      <w:r>
        <w:t>The OpenAlex Works API endpoint https://api.openalex.org/works was queried with the phrase in the search parameter, filter=from_publication_date:2018-01-01,to_publication_date:2026-08-19, per-page=200 and the default relevance order. No language or publication-type filter was applied. The fields requested were identifier, DOI, title, publication year/date, authorships, primary location, type and abstract. For broad queries, only the first 200 relevance-ranked records were retrieved; this was a sensitivity check rather than a substitute for a comprehensive Embase or Scopus search.</w:t>
      </w:r>
    </w:p>
    <w:p>
      <w:r>
        <w:rPr>
          <w:b/>
          <w:color w:val="2F75B5"/>
        </w:rPr>
        <w:t>OpenAlex AI query 1 — API total: 868; retrieved: 200</w:t>
      </w:r>
    </w:p>
    <w:p>
      <w:pPr>
        <w:pStyle w:val="Query"/>
      </w:pPr>
      <w:r>
        <w:t>prostate cancer PSMA PET radiomics lymph node</w:t>
      </w:r>
    </w:p>
    <w:p>
      <w:r>
        <w:rPr>
          <w:b/>
          <w:color w:val="2F75B5"/>
        </w:rPr>
        <w:t>OpenAlex AI query 2 — API total: 1017; retrieved: 200</w:t>
      </w:r>
    </w:p>
    <w:p>
      <w:pPr>
        <w:pStyle w:val="Query"/>
      </w:pPr>
      <w:r>
        <w:t>prostate cancer PSMA PET artificial intelligence lymph node</w:t>
      </w:r>
    </w:p>
    <w:p>
      <w:r>
        <w:rPr>
          <w:b/>
          <w:color w:val="2F75B5"/>
        </w:rPr>
        <w:t>OpenAlex AI query 3 — API total: 3998; retrieved: 200</w:t>
      </w:r>
    </w:p>
    <w:p>
      <w:pPr>
        <w:pStyle w:val="Query"/>
      </w:pPr>
      <w:r>
        <w:t>prostate cancer MRI radiomics lymph node</w:t>
      </w:r>
    </w:p>
    <w:p>
      <w:r>
        <w:rPr>
          <w:b/>
          <w:color w:val="2F75B5"/>
        </w:rPr>
        <w:t>OpenAlex AI query 4 — API total: 5632; retrieved: 200</w:t>
      </w:r>
    </w:p>
    <w:p>
      <w:pPr>
        <w:pStyle w:val="Query"/>
      </w:pPr>
      <w:r>
        <w:t>prostate cancer MRI machine learning lymph node</w:t>
      </w:r>
    </w:p>
    <w:p>
      <w:r>
        <w:rPr>
          <w:b/>
          <w:color w:val="2F75B5"/>
        </w:rPr>
        <w:t>OpenAlex AI query 5 — API total: 1367; retrieved: 200</w:t>
      </w:r>
    </w:p>
    <w:p>
      <w:pPr>
        <w:pStyle w:val="Query"/>
      </w:pPr>
      <w:r>
        <w:t>prostate cancer radiomics pelvic lymph node metastasis</w:t>
      </w:r>
    </w:p>
    <w:p>
      <w:r>
        <w:rPr>
          <w:b/>
          <w:color w:val="2F75B5"/>
        </w:rPr>
        <w:t>OpenAlex AI query 6 — API total: 783; retrieved: 200</w:t>
      </w:r>
    </w:p>
    <w:p>
      <w:pPr>
        <w:pStyle w:val="Query"/>
      </w:pPr>
      <w:r>
        <w:t>prostate cancer machine learning extended pelvic lymph node dissection</w:t>
      </w:r>
    </w:p>
    <w:p>
      <w:r>
        <w:rPr>
          <w:b/>
          <w:color w:val="2F75B5"/>
        </w:rPr>
        <w:t>OpenAlex AI query 7 — API total: 431; retrieved: 200</w:t>
      </w:r>
    </w:p>
    <w:p>
      <w:pPr>
        <w:pStyle w:val="Query"/>
      </w:pPr>
      <w:r>
        <w:t>prostate cancer PSMA PET radiomics biochemical recurrence radical prostatectomy</w:t>
      </w:r>
    </w:p>
    <w:p>
      <w:pPr>
        <w:pStyle w:val="Heading1"/>
      </w:pPr>
      <w:r>
        <w:t>Supplementary Methods S2. Separate conventional PSMA/MRI comparator search</w:t>
      </w:r>
    </w:p>
    <w:p>
      <w:pPr>
        <w:keepLines/>
      </w:pPr>
      <w:r>
        <w:t>Because AI/radiomics terms do not reliably retrieve conventional models, a separate PubMed/MEDLINE and Scopus search was performed on 19 August 2026. PubMed strategies E-F returned 379 entries (332 unique); Scopus strategies E-F returned 1,248 entries (1,022 unique). The deduplicated comparator union contained 1,086 records; 55 reports were retained for contextual appraisal. These reports were not counted in the 79-report AI/radiomics PRISMA flow.</w:t>
      </w:r>
    </w:p>
    <w:p>
      <w:r>
        <w:t>PubMed comparator strategy A — 229 records</w:t>
      </w:r>
    </w:p>
    <w:p>
      <w:pPr>
        <w:pStyle w:val="Query"/>
      </w:pPr>
      <w:r>
        <w:t>("prostatic neoplasms"[MeSH Terms] OR "prostate cancer"[Title/Abstract]) AND (("prostate-specific membrane antigen"[Title/Abstract] OR PSMA[Title/Abstract]) AND (PET[Title/Abstract] OR "positron emission tomography"[Title/Abstract])) AND ("lymph node invasion"[Title/Abstract] OR "lymph node involvement"[Title/Abstract] OR "lymph node metastasis"[Title/Abstract] OR pN1[Title/Abstract] OR ePLND[Title/Abstract] OR "pelvic lymph node dissection"[Title/Abstract]) AND (nomogram*[Title/Abstract] OR predict*[Title/Abstract] OR model*[Title/Abstract] OR risk[Title/Abstract] OR selection[Title/Abstract]) AND ("2018/01/01"[Date - Publication] : "2026/08/19"[Date - Publication])</w:t>
      </w:r>
    </w:p>
    <w:p>
      <w:r>
        <w:t>PubMed comparator strategy B — 150 records</w:t>
      </w:r>
    </w:p>
    <w:p>
      <w:pPr>
        <w:pStyle w:val="Query"/>
      </w:pPr>
      <w:r>
        <w:t>("prostatic neoplasms"[MeSH Terms] OR "prostate cancer"[Title/Abstract]) AND ("magnetic resonance imaging"[MeSH Terms] OR MRI[Title/Abstract] OR mpMRI[Title/Abstract]) AND ("lymph node invasion"[Title/Abstract] OR "lymph node involvement"[Title/Abstract] OR "lymph node metastasis"[Title/Abstract] OR pN1[Title/Abstract] OR ePLND[Title/Abstract] OR "pelvic lymph node dissection"[Title/Abstract]) AND (nomogram*[Title/Abstract] OR "risk calculator"[Title/Abstract] OR multivariable[Title/Abstract] OR regression[Title/Abstract] OR predict*[Title/Abstract] OR model*[Title/Abstract]) NOT (radiomic*[Title/Abstract] OR "machine learning"[Title/Abstract] OR "deep learning"[Title/Abstract] OR "artificial intelligence"[Title/Abstract]) AND ("2018/01/01"[Date - Publication] : "2026/08/19"[Date - Publication])</w:t>
      </w:r>
    </w:p>
    <w:p>
      <w:pPr/>
      <w:r>
        <w:t>Scopus strategy E — 644 records</w:t>
      </w:r>
    </w:p>
    <w:p>
      <w:pPr>
        <w:pStyle w:val="Query"/>
      </w:pPr>
      <w:r>
        <w:t>TITLE-ABS-KEY("prostate cancer" OR "prostatic cancer" OR "prostate neoplasm*" OR "prostatic neoplasm*" OR "prostate carcinoma" OR "prostatic carcinoma") AND TITLE-ABS-KEY(PSMA OR "prostate specific membrane antigen" OR "prostate-specific membrane antigen") AND TITLE-ABS-KEY(PET OR "positron emission tomography" OR "PET/CT" OR "PET-CT" OR "PET MRI" OR "PET/MRI") AND TITLE-ABS-KEY("lymph node metastas*" OR "lymph node invasion" OR "lymph node involvement" OR "lymphatic metastas*" OR nodal OR pN1 OR ePLND OR "pelvic lymph node dissection") AND TITLE-ABS-KEY(nomogram* OR predict* OR model* OR "risk calculator*" OR "risk score*" OR multivaria* OR regression OR selection) AND PUBYEAR AFT 2017 AND PUBYEAR BEF 2027</w:t>
      </w:r>
    </w:p>
    <w:p>
      <w:pPr/>
      <w:r>
        <w:t>Scopus strategy F — 604 records</w:t>
      </w:r>
    </w:p>
    <w:p>
      <w:pPr>
        <w:pStyle w:val="Query"/>
      </w:pPr>
      <w:r>
        <w:t>TITLE-ABS-KEY("prostate cancer" OR "prostatic cancer" OR "prostate neoplasm*" OR "prostatic neoplasm*" OR "prostate carcinoma" OR "prostatic carcinoma") AND TITLE-ABS-KEY("magnetic resonance imag*" OR MRI OR mpMRI OR "multiparametric MRI" OR "multi-parametric MRI") AND TITLE-ABS-KEY("lymph node metastas*" OR "lymph node invasion" OR "lymph node involvement" OR "lymphatic metastas*" OR nodal OR pN1 OR ePLND OR "pelvic lymph node dissection") AND TITLE-ABS-KEY(nomogram* OR "risk calculator*" OR "risk score*" OR multivaria* OR regression OR lasso OR predict* OR model* OR selection) AND NOT TITLE-ABS-KEY(radiomic* OR "artificial intelligence" OR "machine learning" OR "deep learning" OR convolutional OR "neural network*" OR "random forest*" OR "support vector machine*" OR "gradient boost*" OR xgboost) AND PUBYEAR AFT 2017 AND PUBYEAR BEF 2027</w:t>
      </w:r>
    </w:p>
    <w:p>
      <w:pPr>
        <w:pStyle w:val="Heading2"/>
      </w:pPr>
      <w:r>
        <w:t>OpenAlex comparator sensitivity search</w:t>
      </w:r>
    </w:p>
    <w:p>
      <w:r>
        <w:t>The same Works API endpoint, date filter, fields and default relevance order were used. The three queries returned 438 result entries and 346 unique works after within-search deduplication.</w:t>
      </w:r>
    </w:p>
    <w:p>
      <w:r>
        <w:rPr>
          <w:b/>
          <w:color w:val="2F75B5"/>
        </w:rPr>
        <w:t>OpenAlex comparator query 1 — API total: 441; retrieved: 200</w:t>
      </w:r>
    </w:p>
    <w:p>
      <w:pPr>
        <w:pStyle w:val="Query"/>
      </w:pPr>
      <w:r>
        <w:t>prostate cancer PSMA PET lymph node invasion nomogram pelvic lymph node dissection</w:t>
      </w:r>
    </w:p>
    <w:p>
      <w:r>
        <w:rPr>
          <w:b/>
          <w:color w:val="2F75B5"/>
        </w:rPr>
        <w:t>OpenAlex comparator query 2 — API total: 104; retrieved: 104</w:t>
      </w:r>
    </w:p>
    <w:p>
      <w:pPr>
        <w:pStyle w:val="Query"/>
      </w:pPr>
      <w:r>
        <w:t>prostate cancer negative PSMA PET lymph node invasion prediction model ePLND</w:t>
      </w:r>
    </w:p>
    <w:p>
      <w:r>
        <w:rPr>
          <w:b/>
          <w:color w:val="2F75B5"/>
        </w:rPr>
        <w:t>OpenAlex comparator query 3 — API total: 134; retrieved: 134</w:t>
      </w:r>
    </w:p>
    <w:p>
      <w:pPr>
        <w:pStyle w:val="Query"/>
      </w:pPr>
      <w:r>
        <w:t>prostate cancer PSMA PET MRI clinical model pathological pN1</w:t>
      </w:r>
    </w:p>
    <w:p>
      <w:pPr>
        <w:pStyle w:val="Heading1"/>
      </w:pPr>
      <w:r>
        <w:t>Supplementary Methods S3. Reviewer procedures and evidence hierarchy</w:t>
      </w:r>
    </w:p>
    <w:p>
      <w:r>
        <w:t>Patricia Rodríguez Parras (PRP) and Alberto Zambudio Munuera (AZM) independently screened all titles/abstracts and full reports and completed consensus on 20 August 2026. They independently extracted or verified charted items and completed adapted PROBAST assessments. Screening agreement was 100% (Cohen's kappa=1.00) in both the main and comparator sets, with no discrepancy requiring adjudication. Pre-consensus PROBAST ratings were not retained; therefore kappa was not calculated for risk-of-bias domains. No review protocol was registered.</w:t>
      </w:r>
    </w:p>
    <w:tbl>
      <w:tblPr>
        <w:tblStyle w:val="TableGrid"/>
        <w:tblW w:type="dxa" w:w="10080"/>
        <w:jc w:val="center"/>
        <w:tblLayout w:type="fixed"/>
        <w:tblLook w:firstColumn="1" w:firstRow="1" w:lastColumn="0" w:lastRow="0" w:noHBand="0" w:noVBand="1" w:val="04A0"/>
        <w:tblInd w:w="70" w:type="dxa"/>
      </w:tblPr>
      <w:tblGrid>
        <w:gridCol w:w="1944"/>
        <w:gridCol w:w="5544"/>
        <w:gridCol w:w="2592"/>
      </w:tblGrid>
      <w:tr>
        <w:trPr>
          <w:cantSplit/>
          <w:trHeight w:hRule="atLeast"/>
          <w:tblHeader w:val="true"/>
        </w:trPr>
        <w:tc>
          <w:tcPr>
            <w:tcW w:type="dxa" w:w="1944"/>
            <w:vAlign w:val="center"/>
            <w:tcMar>
              <w:top w:w="28" w:type="dxa"/>
              <w:start w:w="70" w:type="dxa"/>
              <w:bottom w:w="28" w:type="dxa"/>
              <w:end w:w="70" w:type="dxa"/>
            </w:tcMar>
          </w:tcPr>
          <w:p>
            <w:pPr>
              <w:spacing w:after="0" w:before="0" w:line="240" w:lineRule="auto"/>
            </w:pPr>
            <w:r>
              <w:rPr>
                <w:rFonts w:ascii="Arial" w:hAnsi="Arial"/>
                <w:b/>
                <w:color w:val="000000"/>
                <w:sz w:val="14"/>
              </w:rPr>
              <w:t>Evidence level</w:t>
            </w:r>
          </w:p>
        </w:tc>
        <w:tc>
          <w:tcPr>
            <w:tcW w:type="dxa" w:w="5544"/>
            <w:vAlign w:val="center"/>
            <w:tcMar>
              <w:top w:w="28" w:type="dxa"/>
              <w:start w:w="70" w:type="dxa"/>
              <w:bottom w:w="28" w:type="dxa"/>
              <w:end w:w="70" w:type="dxa"/>
            </w:tcMar>
          </w:tcPr>
          <w:p>
            <w:pPr>
              <w:spacing w:after="0" w:before="0" w:line="240" w:lineRule="auto"/>
            </w:pPr>
            <w:r>
              <w:rPr>
                <w:rFonts w:ascii="Arial" w:hAnsi="Arial"/>
                <w:b/>
                <w:color w:val="000000"/>
                <w:sz w:val="14"/>
              </w:rPr>
              <w:t>Operational definition</w:t>
            </w:r>
          </w:p>
        </w:tc>
        <w:tc>
          <w:tcPr>
            <w:tcW w:type="dxa" w:w="2592"/>
            <w:vAlign w:val="center"/>
            <w:tcMar>
              <w:top w:w="28" w:type="dxa"/>
              <w:start w:w="70" w:type="dxa"/>
              <w:bottom w:w="28" w:type="dxa"/>
              <w:end w:w="70" w:type="dxa"/>
            </w:tcMar>
          </w:tcPr>
          <w:p>
            <w:pPr>
              <w:spacing w:after="0" w:before="0" w:line="240" w:lineRule="auto"/>
            </w:pPr>
            <w:r>
              <w:rPr>
                <w:rFonts w:ascii="Arial" w:hAnsi="Arial"/>
                <w:b/>
                <w:color w:val="000000"/>
                <w:sz w:val="14"/>
              </w:rPr>
              <w:t>Inference</w:t>
            </w:r>
          </w:p>
        </w:tc>
      </w:tr>
      <w:tr>
        <w:trPr>
          <w:cantSplit/>
          <w:trHeight w:hRule="atLeast"/>
        </w:trPr>
        <w:tc>
          <w:tcPr>
            <w:tcW w:type="dxa" w:w="1944"/>
            <w:vAlign w:val="center"/>
            <w:tcMar>
              <w:top w:w="28" w:type="dxa"/>
              <w:start w:w="70" w:type="dxa"/>
              <w:bottom w:w="28" w:type="dxa"/>
              <w:end w:w="70" w:type="dxa"/>
            </w:tcMar>
          </w:tcPr>
          <w:p>
            <w:pPr>
              <w:spacing w:after="0" w:before="0" w:line="240" w:lineRule="auto"/>
            </w:pPr>
            <w:r>
              <w:rPr>
                <w:rFonts w:ascii="Arial" w:hAnsi="Arial"/>
                <w:sz w:val="14"/>
              </w:rPr>
              <w:t>Direct decision evidence</w:t>
            </w:r>
          </w:p>
        </w:tc>
        <w:tc>
          <w:tcPr>
            <w:tcW w:type="dxa" w:w="5544"/>
            <w:vAlign w:val="center"/>
            <w:tcMar>
              <w:top w:w="28" w:type="dxa"/>
              <w:start w:w="70" w:type="dxa"/>
              <w:bottom w:w="28" w:type="dxa"/>
              <w:end w:w="70" w:type="dxa"/>
            </w:tcMar>
          </w:tcPr>
          <w:p>
            <w:pPr>
              <w:spacing w:after="0" w:before="0" w:line="240" w:lineRule="auto"/>
            </w:pPr>
            <w:r>
              <w:rPr>
                <w:rFonts w:ascii="Arial" w:hAnsi="Arial"/>
                <w:sz w:val="14"/>
              </w:rPr>
              <w:t>Dedicated miN0 population; patient-level histological pN1 after PLND/ePLND; preoperative model; prespecified threshold with ePLNDs avoided and absolute pN1 misses. Prospective impact evidence would be highest level.</w:t>
            </w:r>
          </w:p>
        </w:tc>
        <w:tc>
          <w:tcPr>
            <w:tcW w:type="dxa" w:w="2592"/>
            <w:vAlign w:val="center"/>
            <w:tcMar>
              <w:top w:w="28" w:type="dxa"/>
              <w:start w:w="70" w:type="dxa"/>
              <w:bottom w:w="28" w:type="dxa"/>
              <w:end w:w="70" w:type="dxa"/>
            </w:tcMar>
          </w:tcPr>
          <w:p>
            <w:pPr>
              <w:spacing w:after="0" w:before="0" w:line="240" w:lineRule="auto"/>
            </w:pPr>
            <w:r>
              <w:rPr>
                <w:rFonts w:ascii="Arial" w:hAnsi="Arial"/>
                <w:sz w:val="14"/>
              </w:rPr>
              <w:t>None</w:t>
            </w:r>
          </w:p>
        </w:tc>
      </w:tr>
      <w:tr>
        <w:trPr>
          <w:cantSplit/>
          <w:trHeight w:hRule="atLeast"/>
        </w:trPr>
        <w:tc>
          <w:tcPr>
            <w:tcW w:type="dxa" w:w="1944"/>
            <w:vAlign w:val="center"/>
            <w:tcMar>
              <w:top w:w="28" w:type="dxa"/>
              <w:start w:w="70" w:type="dxa"/>
              <w:bottom w:w="28" w:type="dxa"/>
              <w:end w:w="70" w:type="dxa"/>
            </w:tcMar>
          </w:tcPr>
          <w:p>
            <w:pPr>
              <w:spacing w:after="0" w:before="0" w:line="240" w:lineRule="auto"/>
            </w:pPr>
            <w:r>
              <w:rPr>
                <w:rFonts w:ascii="Arial" w:hAnsi="Arial"/>
                <w:sz w:val="14"/>
              </w:rPr>
              <w:t>Closest histology-anchored evidence</w:t>
            </w:r>
          </w:p>
        </w:tc>
        <w:tc>
          <w:tcPr>
            <w:tcW w:type="dxa" w:w="5544"/>
            <w:vAlign w:val="center"/>
            <w:tcMar>
              <w:top w:w="28" w:type="dxa"/>
              <w:start w:w="70" w:type="dxa"/>
              <w:bottom w:w="28" w:type="dxa"/>
              <w:end w:w="70" w:type="dxa"/>
            </w:tcMar>
          </w:tcPr>
          <w:p>
            <w:pPr>
              <w:spacing w:after="0" w:before="0" w:line="240" w:lineRule="auto"/>
            </w:pPr>
            <w:r>
              <w:rPr>
                <w:rFonts w:ascii="Arial" w:hAnsi="Arial"/>
                <w:sz w:val="14"/>
              </w:rPr>
              <w:t>Patient-level surgical pN1, but molecular-imaging status mixed or incompletely reported.</w:t>
            </w:r>
          </w:p>
        </w:tc>
        <w:tc>
          <w:tcPr>
            <w:tcW w:type="dxa" w:w="2592"/>
            <w:vAlign w:val="center"/>
            <w:tcMar>
              <w:top w:w="28" w:type="dxa"/>
              <w:start w:w="70" w:type="dxa"/>
              <w:bottom w:w="28" w:type="dxa"/>
              <w:end w:w="70" w:type="dxa"/>
            </w:tcMar>
          </w:tcPr>
          <w:p>
            <w:pPr>
              <w:spacing w:after="0" w:before="0" w:line="240" w:lineRule="auto"/>
            </w:pPr>
            <w:r>
              <w:rPr>
                <w:rFonts w:ascii="Arial" w:hAnsi="Arial"/>
                <w:sz w:val="14"/>
              </w:rPr>
              <w:t>Four PSMA-PET AI studies plus patient-level MRI/clinical models; indirect to miN0</w:t>
            </w:r>
          </w:p>
        </w:tc>
      </w:tr>
      <w:tr>
        <w:trPr>
          <w:cantSplit/>
          <w:trHeight w:hRule="atLeast"/>
        </w:trPr>
        <w:tc>
          <w:tcPr>
            <w:tcW w:type="dxa" w:w="1944"/>
            <w:vAlign w:val="center"/>
            <w:tcMar>
              <w:top w:w="28" w:type="dxa"/>
              <w:start w:w="70" w:type="dxa"/>
              <w:bottom w:w="28" w:type="dxa"/>
              <w:end w:w="70" w:type="dxa"/>
            </w:tcMar>
          </w:tcPr>
          <w:p>
            <w:pPr>
              <w:spacing w:after="0" w:before="0" w:line="240" w:lineRule="auto"/>
            </w:pPr>
            <w:r>
              <w:rPr>
                <w:rFonts w:ascii="Arial" w:hAnsi="Arial"/>
                <w:sz w:val="14"/>
              </w:rPr>
              <w:t>Indirect nodal evidence</w:t>
            </w:r>
          </w:p>
        </w:tc>
        <w:tc>
          <w:tcPr>
            <w:tcW w:type="dxa" w:w="5544"/>
            <w:vAlign w:val="center"/>
            <w:tcMar>
              <w:top w:w="28" w:type="dxa"/>
              <w:start w:w="70" w:type="dxa"/>
              <w:bottom w:w="28" w:type="dxa"/>
              <w:end w:w="70" w:type="dxa"/>
            </w:tcMar>
          </w:tcPr>
          <w:p>
            <w:pPr>
              <w:spacing w:after="0" w:before="0" w:line="240" w:lineRule="auto"/>
            </w:pPr>
            <w:r>
              <w:rPr>
                <w:rFonts w:ascii="Arial" w:hAnsi="Arial"/>
                <w:sz w:val="14"/>
              </w:rPr>
              <w:t>Node-level unit, mixed or radiological reference standard, non-primary/recurrent setting.</w:t>
            </w:r>
          </w:p>
        </w:tc>
        <w:tc>
          <w:tcPr>
            <w:tcW w:type="dxa" w:w="2592"/>
            <w:vAlign w:val="center"/>
            <w:tcMar>
              <w:top w:w="28" w:type="dxa"/>
              <w:start w:w="70" w:type="dxa"/>
              <w:bottom w:w="28" w:type="dxa"/>
              <w:end w:w="70" w:type="dxa"/>
            </w:tcMar>
          </w:tcPr>
          <w:p>
            <w:pPr>
              <w:spacing w:after="0" w:before="0" w:line="240" w:lineRule="auto"/>
            </w:pPr>
            <w:r>
              <w:rPr>
                <w:rFonts w:ascii="Arial" w:hAnsi="Arial"/>
                <w:sz w:val="14"/>
              </w:rPr>
              <w:t>Cannot determine patient-level omission safety</w:t>
            </w:r>
          </w:p>
        </w:tc>
      </w:tr>
      <w:tr>
        <w:trPr>
          <w:cantSplit/>
          <w:trHeight w:hRule="atLeast"/>
        </w:trPr>
        <w:tc>
          <w:tcPr>
            <w:tcW w:type="dxa" w:w="1944"/>
            <w:vAlign w:val="center"/>
            <w:tcMar>
              <w:top w:w="28" w:type="dxa"/>
              <w:start w:w="70" w:type="dxa"/>
              <w:bottom w:w="28" w:type="dxa"/>
              <w:end w:w="70" w:type="dxa"/>
            </w:tcMar>
          </w:tcPr>
          <w:p>
            <w:pPr>
              <w:spacing w:after="0" w:before="0" w:line="240" w:lineRule="auto"/>
            </w:pPr>
            <w:r>
              <w:rPr>
                <w:rFonts w:ascii="Arial" w:hAnsi="Arial"/>
                <w:sz w:val="14"/>
              </w:rPr>
              <w:t>Adjacent prognostic evidence</w:t>
            </w:r>
          </w:p>
        </w:tc>
        <w:tc>
          <w:tcPr>
            <w:tcW w:type="dxa" w:w="5544"/>
            <w:vAlign w:val="center"/>
            <w:tcMar>
              <w:top w:w="28" w:type="dxa"/>
              <w:start w:w="70" w:type="dxa"/>
              <w:bottom w:w="28" w:type="dxa"/>
              <w:end w:w="70" w:type="dxa"/>
            </w:tcMar>
          </w:tcPr>
          <w:p>
            <w:pPr>
              <w:spacing w:after="0" w:before="0" w:line="240" w:lineRule="auto"/>
            </w:pPr>
            <w:r>
              <w:rPr>
                <w:rFonts w:ascii="Arial" w:hAnsi="Arial"/>
                <w:sz w:val="14"/>
              </w:rPr>
              <w:t>BCR, metastasis-free survival or other downstream outcome.</w:t>
            </w:r>
          </w:p>
        </w:tc>
        <w:tc>
          <w:tcPr>
            <w:tcW w:type="dxa" w:w="2592"/>
            <w:vAlign w:val="center"/>
            <w:tcMar>
              <w:top w:w="28" w:type="dxa"/>
              <w:start w:w="70" w:type="dxa"/>
              <w:bottom w:w="28" w:type="dxa"/>
              <w:end w:w="70" w:type="dxa"/>
            </w:tcMar>
          </w:tcPr>
          <w:p>
            <w:pPr>
              <w:spacing w:after="0" w:before="0" w:line="240" w:lineRule="auto"/>
            </w:pPr>
            <w:r>
              <w:rPr>
                <w:rFonts w:ascii="Arial" w:hAnsi="Arial"/>
                <w:sz w:val="14"/>
              </w:rPr>
              <w:t>Biological context only; not a substitute for pN1</w:t>
            </w:r>
          </w:p>
        </w:tc>
      </w:tr>
    </w:tbl>
    <w:p>
      <w:pPr>
        <w:sectPr>
          <w:footerReference w:type="default" r:id="rId12"/>
          <w:pgSz w:w="11909" w:h="16834"/>
          <w:pgMar w:top="893" w:right="893" w:bottom="893" w:left="893" w:header="567" w:footer="709" w:gutter="0"/>
          <w:cols w:space="720"/>
          <w:docGrid w:linePitch="360"/>
        </w:sectPr>
      </w:pPr>
    </w:p>
    <w:p>
      <w:pPr>
        <w:pStyle w:val="Heading1"/>
      </w:pPr>
      <w:r>
        <w:t>Supplementary Table S1. Evidence map of the 79 included AI/radiomics reports</w:t>
      </w:r>
    </w:p>
    <w:p>
      <w:r>
        <w:t>No row was classified as direct decision evidence. The first 29 rows are nodal-prediction reports; all are indirect to the dedicated miN0 omission question. They are followed by 22 PET detection/surrogate-reference and 28 prognostic reports.</w:t>
      </w:r>
    </w:p>
    <w:tbl>
      <w:tblPr>
        <w:tblStyle w:val="TableGrid"/>
        <w:tblW w:type="dxa" w:w="14486"/>
        <w:jc w:val="center"/>
        <w:tblLayout w:type="fixed"/>
        <w:tblLook w:firstColumn="1" w:firstRow="1" w:lastColumn="0" w:lastRow="0" w:noHBand="0" w:noVBand="1" w:val="04A0"/>
        <w:tblInd w:w="70" w:type="dxa"/>
      </w:tblPr>
      <w:tblGrid>
        <w:gridCol w:w="1699"/>
        <w:gridCol w:w="1728"/>
        <w:gridCol w:w="2232"/>
        <w:gridCol w:w="2232"/>
        <w:gridCol w:w="1195"/>
        <w:gridCol w:w="1728"/>
        <w:gridCol w:w="1800"/>
        <w:gridCol w:w="1872"/>
      </w:tblGrid>
      <w:tr>
        <w:trPr>
          <w:cantSplit/>
          <w:trHeight w:hRule="atLeast"/>
          <w:tblHeader w:val="true"/>
        </w:trPr>
        <w:tc>
          <w:tcPr>
            <w:tcW w:type="dxa" w:w="1699"/>
            <w:vAlign w:val="center"/>
            <w:tcMar>
              <w:top w:w="55" w:type="dxa"/>
              <w:start w:w="70" w:type="dxa"/>
              <w:bottom w:w="55" w:type="dxa"/>
              <w:end w:w="70" w:type="dxa"/>
            </w:tcMar>
          </w:tcPr>
          <w:p>
            <w:pPr>
              <w:spacing w:after="0" w:before="0" w:line="240" w:lineRule="auto"/>
            </w:pPr>
            <w:r>
              <w:rPr>
                <w:rFonts w:ascii="Arial" w:hAnsi="Arial"/>
                <w:b/>
                <w:color w:val="000000"/>
                <w:sz w:val="14"/>
              </w:rPr>
              <w:t>Study / evidence role</w:t>
            </w:r>
          </w:p>
        </w:tc>
        <w:tc>
          <w:tcPr>
            <w:tcW w:type="dxa" w:w="1728"/>
            <w:vAlign w:val="center"/>
            <w:tcMar>
              <w:top w:w="55" w:type="dxa"/>
              <w:start w:w="70" w:type="dxa"/>
              <w:bottom w:w="55" w:type="dxa"/>
              <w:end w:w="70" w:type="dxa"/>
            </w:tcMar>
          </w:tcPr>
          <w:p>
            <w:pPr>
              <w:spacing w:after="0" w:before="0" w:line="240" w:lineRule="auto"/>
            </w:pPr>
            <w:r>
              <w:rPr>
                <w:rFonts w:ascii="Arial" w:hAnsi="Arial"/>
                <w:b/>
                <w:color w:val="000000"/>
                <w:sz w:val="14"/>
              </w:rPr>
              <w:t>Design / n</w:t>
            </w:r>
          </w:p>
        </w:tc>
        <w:tc>
          <w:tcPr>
            <w:tcW w:type="dxa" w:w="2232"/>
            <w:vAlign w:val="center"/>
            <w:tcMar>
              <w:top w:w="55" w:type="dxa"/>
              <w:start w:w="70" w:type="dxa"/>
              <w:bottom w:w="55" w:type="dxa"/>
              <w:end w:w="70" w:type="dxa"/>
            </w:tcMar>
          </w:tcPr>
          <w:p>
            <w:pPr>
              <w:spacing w:after="0" w:before="0" w:line="240" w:lineRule="auto"/>
            </w:pPr>
            <w:r>
              <w:rPr>
                <w:rFonts w:ascii="Arial" w:hAnsi="Arial"/>
                <w:b/>
                <w:color w:val="000000"/>
                <w:sz w:val="14"/>
              </w:rPr>
              <w:t>Modality / model</w:t>
            </w:r>
          </w:p>
        </w:tc>
        <w:tc>
          <w:tcPr>
            <w:tcW w:type="dxa" w:w="2232"/>
            <w:vAlign w:val="center"/>
            <w:tcMar>
              <w:top w:w="55" w:type="dxa"/>
              <w:start w:w="70" w:type="dxa"/>
              <w:bottom w:w="55" w:type="dxa"/>
              <w:end w:w="70" w:type="dxa"/>
            </w:tcMar>
          </w:tcPr>
          <w:p>
            <w:pPr>
              <w:spacing w:after="0" w:before="0" w:line="240" w:lineRule="auto"/>
            </w:pPr>
            <w:r>
              <w:rPr>
                <w:rFonts w:ascii="Arial" w:hAnsi="Arial"/>
                <w:b/>
                <w:color w:val="000000"/>
                <w:sz w:val="14"/>
              </w:rPr>
              <w:t>Endpoint / population</w:t>
            </w:r>
          </w:p>
        </w:tc>
        <w:tc>
          <w:tcPr>
            <w:tcW w:type="dxa" w:w="1195"/>
            <w:vAlign w:val="center"/>
            <w:tcMar>
              <w:top w:w="55" w:type="dxa"/>
              <w:start w:w="70" w:type="dxa"/>
              <w:bottom w:w="55" w:type="dxa"/>
              <w:end w:w="70" w:type="dxa"/>
            </w:tcMar>
          </w:tcPr>
          <w:p>
            <w:pPr>
              <w:spacing w:after="0" w:before="0" w:line="240" w:lineRule="auto"/>
            </w:pPr>
            <w:r>
              <w:rPr>
                <w:rFonts w:ascii="Arial" w:hAnsi="Arial"/>
                <w:b/>
                <w:color w:val="000000"/>
                <w:sz w:val="14"/>
              </w:rPr>
              <w:t>Validation</w:t>
            </w:r>
          </w:p>
        </w:tc>
        <w:tc>
          <w:tcPr>
            <w:tcW w:type="dxa" w:w="1728"/>
            <w:vAlign w:val="center"/>
            <w:tcMar>
              <w:top w:w="55" w:type="dxa"/>
              <w:start w:w="70" w:type="dxa"/>
              <w:bottom w:w="55" w:type="dxa"/>
              <w:end w:w="70" w:type="dxa"/>
            </w:tcMar>
          </w:tcPr>
          <w:p>
            <w:pPr>
              <w:spacing w:after="0" w:before="0" w:line="240" w:lineRule="auto"/>
            </w:pPr>
            <w:r>
              <w:rPr>
                <w:rFonts w:ascii="Arial" w:hAnsi="Arial"/>
                <w:b/>
                <w:color w:val="000000"/>
                <w:sz w:val="14"/>
              </w:rPr>
              <w:t>Performance</w:t>
            </w:r>
          </w:p>
        </w:tc>
        <w:tc>
          <w:tcPr>
            <w:tcW w:type="dxa" w:w="1800"/>
            <w:vAlign w:val="center"/>
            <w:tcMar>
              <w:top w:w="55" w:type="dxa"/>
              <w:start w:w="70" w:type="dxa"/>
              <w:bottom w:w="55" w:type="dxa"/>
              <w:end w:w="70" w:type="dxa"/>
            </w:tcMar>
          </w:tcPr>
          <w:p>
            <w:pPr>
              <w:spacing w:after="0" w:before="0" w:line="240" w:lineRule="auto"/>
            </w:pPr>
            <w:r>
              <w:rPr>
                <w:rFonts w:ascii="Arial" w:hAnsi="Arial"/>
                <w:b/>
                <w:color w:val="000000"/>
                <w:sz w:val="14"/>
              </w:rPr>
              <w:t>Clinical relevance</w:t>
            </w:r>
          </w:p>
        </w:tc>
        <w:tc>
          <w:tcPr>
            <w:tcW w:type="dxa" w:w="1872"/>
            <w:vAlign w:val="center"/>
            <w:tcMar>
              <w:top w:w="55" w:type="dxa"/>
              <w:start w:w="70" w:type="dxa"/>
              <w:bottom w:w="55" w:type="dxa"/>
              <w:end w:w="70" w:type="dxa"/>
            </w:tcMar>
          </w:tcPr>
          <w:p>
            <w:pPr>
              <w:spacing w:after="0" w:before="0" w:line="240" w:lineRule="auto"/>
            </w:pPr>
            <w:r>
              <w:rPr>
                <w:rFonts w:ascii="Arial" w:hAnsi="Arial"/>
                <w:b/>
                <w:color w:val="000000"/>
                <w:sz w:val="14"/>
              </w:rPr>
              <w:t>Limitations</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NODAL–PATIENT (indirect to miN0) | Hou Y 2019</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single-centre model development</w:t>
              <w:br/>
              <w:t>n=248</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mpMRI + clinical/biopsy</w:t>
              <w:br/>
              <w:t>RF, SVM and logistic regression using 18 variables</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pN1 on surgical histology</w:t>
              <w:br/>
              <w:t>RP with PLND/ePLND; LNI 23.8%</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RF AUC 0.906 with MRI-reported LNI and 0.885 without</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At &lt;3% missed LNI, 54.4–56.9% ePLNDs spared</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Single centre; internal validation; data-driven thresholds</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NODAL–PATIENT (indirect to miN0) | Zamboglou C 2019</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Prospective derivation plus retrospective validation</w:t>
              <w:br/>
              <w:t>n=20 + 40</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68Ga-PSMA-11 PET/CT</w:t>
              <w:br/>
              <w:t>Primary-tumour radiomics; texture-feature analysis</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pN1 on surgical histology</w:t>
              <w:br/>
              <w:t>Intermediate/high-risk; RP + PLND</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Separate retrospective cohort</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QSZHGE AUC 0.87 derivation and 0.85 validation; sensitivity 85% vs 65% for visual PET</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Signal that primary-tumour heterogeneity carries occult nodal information</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Small cohorts; single feature; no multicentre external validation</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NODAL–PATIENT (indirect to miN0) | Bourbonne V 2021</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single-centre study</w:t>
              <w:br/>
              <w:t>n=280 (168 train, 112 test)</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T2/ADC MRI + clinical</w:t>
              <w:br/>
              <w:t>Multilayer perceptron radiomics model</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pN1 on surgical histology</w:t>
              <w:br/>
              <w:t>RP + extensive PLND; LNI 18.2%</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 test</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Combined model C-index 0.89</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Potential improvement over classical nomograms</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Internal validation; manual segmentation; no calibration transport</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NODAL–PATIENT (indirect to miN0) | Cysouw MCF 2021</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Prospective cohort</w:t>
              <w:br/>
              <w:t>n=76</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18F-DCFPyL PET/CT</w:t>
              <w:br/>
              <w:t>480 primary-tumour radiomic features; random forest</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pN1 on surgical histology</w:t>
              <w:br/>
              <w:t>Intermediate/high-risk; RP + ePLND</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50× repeated fivefold cross-validation</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Mean AUC 0.86 ± 0.15 for LNI</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Direct PET-radiomics pN1 model</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High feature-to-event ratio; no external cohort</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NODAL–PATIENT (indirect to miN0) | Hou Y 2021</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two-centre development and external test</w:t>
              <w:br/>
              <w:t>n=280 + 71 internal + 50 external</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mpMRI + clinical/biopsy</w:t>
              <w:br/>
              <w:t>Radiomics, deep transfer features and clinical variables</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pN1 on surgical histology</w:t>
              <w:br/>
              <w:t>RP + ePLND</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 and external</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AUC 0.93 development, 0.92 internal, 0.76 external</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At &lt;2% missed LNI, 59.6% ePLNDs spared vs 44.9% and 38.9%</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Large external performance drop; retrospective; threshold not prospectively tested</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NODAL–PATIENT (indirect to miN0) | Wei L 2021</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population-database study</w:t>
              <w:br/>
              <w:t>n=2,884</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Clinical/biopsy variables</w:t>
              <w:br/>
              <w:t>XGBoost and comparator algorithms</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Registry pN1/LNI</w:t>
              <w:br/>
              <w:t>SEER patients coded as undergoing ePLND; LNI 11.9%</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XGBoost AUC 0.883</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Claimed about 50% ePLND reduction with ≤3% LNI missed</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Registry coding; no MRI/PSMA; no external validation</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NODAL–PATIENT (indirect to miN0) | Liu X 2022 (ADC patient)</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development plus later surgical test</w:t>
              <w:br/>
              <w:t>n=474 development + 128 surgical test</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ADC MRI</w:t>
              <w:br/>
              <w:t>Radiomics from automated/manual gland and lesion masks</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pN1 in surgical test cohort</w:t>
              <w:br/>
              <w:t>Test cohort underwent RP + ePLND; 17 pN1</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Independent temporal test</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Best test AUC 0.73</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Shows limited incremental value under independent testing</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Development reference standard differed/was incompletely surgical; modest event count</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NODAL–NODE (indirect) | Liu X 2022 (T2 node)</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node-level temporal split</w:t>
              <w:br/>
              <w:t>n=71 patients; 231 nodes</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T2-weighted MRI</w:t>
              <w:br/>
              <w:t>RF radiomics plus nodal imaging features</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Node-level surgical histology</w:t>
              <w:br/>
              <w:t>Patients undergoing ePLND</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Temporal test: 15 patients/45 nodes</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Combined model test AUC 0.96</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May identify small abnormal nodes</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Very small test set; node clustering/pseudoreplication risk; not patient-level ePLND selection</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NODAL–NODE (indirect) | Liu X 2022 (DWI node)</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node-level study</w:t>
              <w:br/>
              <w:t>n=84 patients; 1,116 nodes</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DWI MRI</w:t>
              <w:br/>
              <w:t>Automatic LN segmentation + radiomics/logistic model</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Node-level surgical histology</w:t>
              <w:br/>
              <w:t>RP/PLND with node matching</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Held-out 17-patient cohort</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AUC 0.90 overall; 0.83 for nodes ≤10 mm</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Addresses normal-sized metastases</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Node-level rather than patient-level; clustering and matching uncertainty</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NODAL–PATIENT (indirect to miN0) | Zheng H 2022</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single-centre cohort</w:t>
              <w:br/>
              <w:t>n=244</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mpMRI + clinical</w:t>
              <w:br/>
              <w:t>Index-lesion radiomics integrated by SVM</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pN1 on surgical histology</w:t>
              <w:br/>
              <w:t>RP + ePLND</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 independent test</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Test AUC 0.915 (95% CI 0.846–0.984)</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Potential ePLND avoidance model</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Single centre; only 14 LNI events in test; no external validation</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NODAL–PATIENT (indirect to miN0) | Luining WI 2023</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Prospective development with internal and external testing</w:t>
              <w:br/>
              <w:t>n=72 + 24 internal + 27 external</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18F-DCFPyL PET/CT</w:t>
              <w:br/>
              <w:t>Primary-tumour PET radiomics with several ML algorithms</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pN1 on surgical histology</w:t>
              <w:br/>
              <w:t>Intermediate/high-risk; RP + ePLND</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 and external</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LNI AUC about 0.88 in development but 0.57 in combined/external validation</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Most important cautionary external-validation result</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Small external cohort; feature instability; no clinically reliable incremental value</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NODAL–PATIENT (indirect to miN0) | Sabbagh A 2023</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development with institutional external validation</w:t>
              <w:br/>
              <w:t>n=20,267 + 1,322</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Routine clinical/biopsy variables</w:t>
              <w:br/>
              <w:t>Calibrated XGBoost</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pN1 on PLND histology</w:t>
              <w:br/>
              <w:t>Surgery + PLND; external LNI prevalence 9%</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External</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External AUC 0.82</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Strongest large-scale clinical-ML comparator</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1990–2020 legacy cohorts; no PSMA/MRI; applicability to current staging uncertain</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NODAL–MIXED REFERENCE (indirect) | Li C 2024</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two-centre study</w:t>
              <w:br/>
              <w:t>n=394 (263 train, 74 internal, 57 external)</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Biparametric MRI</w:t>
              <w:br/>
              <w:t>Primary-lesion/lymph-node correlation radiomics</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PLNM; mixed reference in training, surgical histology in validation</w:t>
              <w:br/>
              <w:t>Localized to advanced spectrum; validation cohorts RP + ePLND</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 and external</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AUC 0.847 train, 0.827 internal, 0.787 external</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External imaging validation</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Training PLNM reference included biopsy or MRI size ≥1.5 cm; spectrum/reference bias</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NODAL–PATIENT (indirect to miN0) | Santucci D 2024</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single-centre study</w:t>
              <w:br/>
              <w:t>n=95</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mpMRI + clinical</w:t>
              <w:br/>
              <w:t>LR, RF and SVM radiomics; feature/model workflow reported as using ChatGPT-4o</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pN1 on surgical histology</w:t>
              <w:br/>
              <w:t>RP + pelvic lymphadenectomy</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DWI RF AUC 0.89</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Exploratory MRI model</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Small cohort; unconventional/nonreproducible model-development description; likely cohort overlap</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NODAL–PATIENT (indirect to miN0) | Ueki H 2024</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single-country cohort</w:t>
              <w:br/>
              <w:t>n=625</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Clinical/biopsy variables</w:t>
              <w:br/>
              <w:t>LightGBM, RF, SVM, logistic regression</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Surgical LNM</w:t>
              <w:br/>
              <w:t>Japanese localized PCa; ePLND or standard dissection; pN1 5.4%</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LightGBM AUC 0.924; RF 0.894</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Potential low-threshold triage</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Only 34 events; internal validation; heterogeneous dissection extent</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NODAL–PATIENT (indirect to miN0) | Faiella E 2025 (n=95)</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single-centre study</w:t>
              <w:br/>
              <w:t>n=95</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mpMRI + clinical</w:t>
              <w:br/>
              <w:t>Random forest radiomics by tumour zone</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pN1 on surgical histology</w:t>
              <w:br/>
              <w:t>Prostatectomy + lymphadenectomy</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Accuracy 84% peripheral-zone and 87% transition-zone lesions</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Exploratory preoperative selection</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No AUC/calibration in abstract; small cohort; likely overlap with related reports</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NODAL–PATIENT (indirect to miN0) | Faiella E 2025 (n=85)</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single-centre study</w:t>
              <w:br/>
              <w:t>n=85</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mpMRI of lesion, whole gland and periprostatic fat</w:t>
              <w:br/>
              <w:t>Random forest radiomics; workflow reported as using ChatGPT-4</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pN1 on surgical histology</w:t>
              <w:br/>
              <w:t>Prostatectomy + lymphadenectomy</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Best whole-gland/combined AUC reported near 1.0</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Raises hypothesis that extra-tumour tissue carries nodal signal</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Very small sample; near-perfect internal performance suggests overfitting; manual segmentation; cohort overlap</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NODAL–PATIENT (indirect to miN0) | Ma Q 2025</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single-centre imaging model</w:t>
              <w:br/>
              <w:t>n=116 (82 train, 34 test)</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68Ga-PSMA-617 PET/CT + clinical</w:t>
              <w:br/>
              <w:t>Med3D deep features + multikernel SVM</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pN1 on surgical histology</w:t>
              <w:br/>
              <w:t>Nomogram-selected ePLND candidates; RP + ePLND</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 test</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Final model AUC 0.89; test AUC 0.85</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Most directly aligned multimodal PET-AI ePLND study</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Small single-centre test set; no external validation; wide CIs</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NODAL–PATIENT (indirect to miN0) | Wu SY 2025</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four-centre study</w:t>
              <w:br/>
              <w:t>n=666 (545 discovery, 121 test)</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Biparametric MRI + clinical</w:t>
              <w:br/>
              <w:t>Radiomics models for BCR, ECE, PLNM and grade</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Histopathology and BCR</w:t>
              <w:br/>
              <w:t>PCa after RP</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Multicentre test cohort</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Test AUC 0.896 for PLNM; 0.884 for preoperative BCR model</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Links nodal and downstream recurrence prediction</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Retrospective; event counts and calibration transport incompletely reported in abstract</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NODAL–PATIENT (indirect to miN0) | Albayrak AT 2026</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single-centre study</w:t>
              <w:br/>
              <w:t>n=110</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Clinical, biopsy and mpMRI variables</w:t>
              <w:br/>
              <w:t>Artificial neural network and five comparators</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pN1 on surgical histology</w:t>
              <w:br/>
              <w:t>RP + ePLND</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 train/validation/test and fivefold CV</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ANN test AUC 0.962; accuracy 94.1%</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Potential decision-support model</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Small test set; internal validation; model calibration/utility not established</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NODAL–PATIENT (indirect to miN0) | Can O 2026</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comparative ML study</w:t>
              <w:br/>
              <w:t>n=Not reported in abstract</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Clinical/biopsy variables</w:t>
              <w:br/>
              <w:t>kNN, RF, SVM and XGBoost with SMOTE and SHAP</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Surgical LNI</w:t>
              <w:br/>
              <w:t>Surgical PCa cohort</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Tenfold cross-validation</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RF reported best; complete numeric performance not reported in abstract</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Contemporary clinical ML comparison</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No external validation; SMOTE may distort calibration; incomplete reporting</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NODAL–PATIENT (indirect to miN0) | Cao J 2026</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four-centre model</w:t>
              <w:br/>
              <w:t>n=867 (437 train, 125 internal, 305 external)</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mpMRI + clinical</w:t>
              <w:br/>
              <w:t>Transformer fusion of intratumoral habitats, 6-mm peritumoral radiomics and clinical variables</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pN1 on surgical histology</w:t>
              <w:br/>
              <w:t>RP + PLND</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Large external test</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Fusion AUC range 0.824–0.917; sensitivity 0.869–0.939</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Strongest externally tested MRI-AI model</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Retrospective; not restricted to PSMA-negative patients; no decision-impact trial</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NODAL–PATIENT (indirect to miN0) | Luo Y 2026</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single-centre cohort</w:t>
              <w:br/>
              <w:t>n=339</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Whole-prostate T2 MRI + clinical</w:t>
              <w:br/>
              <w:t>Radiomics + deep features + Briganti variables</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pN1 on surgical histology</w:t>
              <w:br/>
              <w:t>RP + ePLND</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 split</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AUC 0.963 train and 0.920 validation</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Promising whole-gland approach</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Internal validation only; high apparent performance; no PSMA integration</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NODAL–PATIENT (indirect to miN0) | Yılmaz IO 2026</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single-centre comparison</w:t>
              <w:br/>
              <w:t>n=471</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Clinical, biopsy, PI-RADS and some postoperative variables</w:t>
              <w:br/>
              <w:t>11 ML algorithms</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Surgical LNI</w:t>
              <w:br/>
              <w:t>RP cohort; pN1 20.6%</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Neural network AUC 0.81; RF 0.77</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Negative head-to-head comparison</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Potential predictor leakage (eg, lymphovascular invasion); no external validation</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NODAL–PATIENT (indirect to miN0) | Zhang T 2026</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two-centre study</w:t>
              <w:br/>
              <w:t>n=632 primary + 395 external</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Routine preoperative clinical/biopsy/laboratory variables</w:t>
              <w:br/>
              <w:t>LightGBM with SHAP</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pN1 on surgical histology</w:t>
              <w:br/>
              <w:t>Localized PCa; RP + ePLND</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External</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AUC 0.861 internal and 0.815 external</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Externally validated but not superior to nomograms</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Retrospective; inflammatory markers may be unstable; no imaging</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PET DETECTION/SURROGATE (indirect) | Hartenstein A 2020</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node-level deep-learning study</w:t>
              <w:br/>
              <w:t>n=549 patients; 2,616 nodes</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CT component of 68Ga-PSMA PET/CT</w:t>
              <w:br/>
              <w:t>CNNs with different class balancing</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PSMA-positive node on PET (surrogate)</w:t>
              <w:br/>
              <w:t>Patients with 68Ga-PSMA PET/CT</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Separate test</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AUC 0.95 status-balanced; 0.86 location-balanced/masked</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Automated CT triage, not occult pN1 detection</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PET label as ground truth; anatomy/location leakage; node-level analysis</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PET DETECTION/SURROGATE (indirect) | Moazemi S 2020</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hotspot-classification study</w:t>
              <w:br/>
              <w:t>n=72 patients; 2,419 hotspots</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68Ga-PSMA PET/CT</w:t>
              <w:br/>
              <w:t>Five ML classifiers using PET/CT texture</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Expert hotspot classification</w:t>
              <w:br/>
              <w:t>Mixed PSMA PET/CT examinations</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Internal/multiple datasets</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Up to AUC 0.98; sensitivity 94%; specificity 89%</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Reading assistance</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Reader-derived reference; hotspot rather than pN1 endpoint</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PET DETECTION/SURROGATE (indirect) | Peeken JC 2020</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radiomics with external-imaging test</w:t>
              <w:br/>
              <w:t>n=80 patients; 149 nodes</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CT in PSMA PET/CT</w:t>
              <w:br/>
              <w:t>LASSO radiomics + logistic regression</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Node histology at radioguided surgery</w:t>
              <w:br/>
              <w:t>Biochemical recurrence undergoing PSMA-radioguided surgery</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External-imaging test: 33 patients/62 nodes</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Test AUC 0.95</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Shows CT texture signal in selected recurrent PET-positive nodes</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Recurrent selected population; lesion-level; cannot estimate patient-level false negatives</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PET DETECTION/SURROGATE (indirect) | Capobianco N 2022</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deep-learning staging study</w:t>
              <w:br/>
              <w:t>n=173 (121 development, 52 test)</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Whole-body PSMA PET/CT</w:t>
              <w:br/>
              <w:t>CNN with dual-tracer transfer learning</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Expert miTNM annotations</w:t>
              <w:br/>
              <w:t>68Ga-PSMA-11 PET/CT</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Independent test</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81% agreement for regional N stage; 77% for M stage</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Automated miTNM support</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No histology; agreement is not sensitivity for occult micrometastasis</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PET DETECTION/SURROGATE (indirect) | Trägårdh E 2022</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CNN development/test</w:t>
              <w:br/>
              <w:t>n=211 (50 test)</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18F-PSMA-1007 PET/CT</w:t>
              <w:br/>
              <w:t>CNN lesion detector</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Consensus reader-labelled pelvic nodal metastases</w:t>
              <w:br/>
              <w:t>High-risk primary staging</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Held-out test</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Sensitivity 82% vs mean reader sensitivity 77%; 1.8 false positives/patient</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Automated nodal reading assistance</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Reader labels, not ePLND histology; inter-reader reference instability</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PET DETECTION/SURROGATE (indirect) | Trägårdh E 2022</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whole-body CNN study</w:t>
              <w:br/>
              <w:t>n=660 (120 test)</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18F-PSMA-1007 PET/CT</w:t>
              <w:br/>
              <w:t>Fully automated CNN detection/quantification</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Expert segmentations</w:t>
              <w:br/>
              <w:t>Primary and recurrent PSMA PET/CT</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Held-out test</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LN sensitivity 79% vs physicians 78%</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Workflow automation</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Reader reference; mixed setting; no occult pN1 endpoint</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PET DETECTION/SURROGATE (indirect) | Xu D 2023</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node-detection study</w:t>
              <w:br/>
              <w:t>n=88 patients; 739 nodes</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CT component of 68Ga-PSMA-11 PET/CT</w:t>
              <w:br/>
              <w:t>2.5D Mask R-CNN</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PSMA-positive pelvic node</w:t>
              <w:br/>
              <w:t>Post-RP biochemical recurrence before salvage RT</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18-patient test</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Sensitivity 83.4%; specificity 58.6%</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CT triage in low-resource restaging</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Recurrent population; PET surrogate; high false-positive burden</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PET DETECTION/SURROGATE (indirect) | Koehler D 2025</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reader study with histology</w:t>
              <w:br/>
              <w:t>n=96</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68Ga-PSMA-I&amp;T PET/CT</w:t>
              <w:br/>
              <w:t>aPROMISE deep-learning segmentation/reporting</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Radioguided-surgery histology</w:t>
              <w:br/>
              <w:t>Biochemical persistence/recurrence undergoing PSMA-radioguided surgery</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Repeated readings</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Automated segmentation of 92.1% of consensus lesions; imaging–histology agreement ≥86.5%</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Standardization and reading support</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Recurrent PET-targeted lesions; 13.5% had histologic metastases distant from imaging targets</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PET DETECTION/SURROGATE (indirect) | Mirshahvalad SA 2025</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single-centre imaging study</w:t>
              <w:br/>
              <w:t>n=103</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18F-DCFPyL PET/MRI</w:t>
              <w:br/>
              <w:t>Whole-gland PET/MRI radiomics + logistic regression</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Radiologic N1/M1</w:t>
              <w:br/>
              <w:t>Therapy-naïve primary PCa</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 train/test</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T2 + PET AUC 0.80 for N1; T2 + ADC AUC 0.93 for M1</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Closest PET+MRI AI fusion for metastatic staging</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Only 20 metastatic patients; no ePLND histology; oversampling/internal test</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PET DETECTION/SURROGATE (indirect) | Poelarends RJ 2025</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hotspot-classification study</w:t>
              <w:br/>
              <w:t>n=103 patients; 256 LN hotspots</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18F-PSMA-1007 PET/CT</w:t>
              <w:br/>
              <w:t>Context-enhanced RF and XGBoost</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Clinically classified malignant hotspot</w:t>
              <w:br/>
              <w:t>Clinically indicated PET/CT</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Context-enhanced RF LN AUC 0.95</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Context improves equivocal-node classification</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No ePLND histology; hotspot-level; possible incorporation bias</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PET DETECTION/SURROGATE (indirect) | Öğülmüş FE 2025</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multimodal imaging model</w:t>
              <w:br/>
              <w:t>n=229 (181 train, 48 test)</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68Ga-PSMA PET/CT + radiomics + clinical</w:t>
              <w:br/>
              <w:t>MNASNet-based multimodal deep learning</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PET/reader-defined LNM</w:t>
              <w:br/>
              <w:t>Intermediate/high-risk localized PCa</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 test + reader subset</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Accuracy 0.85; F1 0.73</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Multimodal read support</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No surgical histology reference; small test; slice-wise model</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PET DETECTION/SURROGATE (indirect) | Walter-Rittel TC 2026</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node-level radiomics study</w:t>
              <w:br/>
              <w:t>n=447 patients; 2,537 nodes</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Contrast-enhanced CT paired with 68Ga-PSMA PET</w:t>
              <w:br/>
              <w:t>Radiomics feature-selection/model grid</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PSMA-positive node (surrogate)</w:t>
              <w:br/>
              <w:t>Primary LN staging</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Accuracy 0.77–0.85; sensitivity 0.85–0.91</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Negative result: experts remained superior overall</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PET surrogate; node-level; selected annotated nodes</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PROGNOSTIC (adjacent) | Bourbonne V 2019</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high-risk post-RP cohort</w:t>
              <w:br/>
              <w:t>n=107</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T2 + ADC MRI</w:t>
              <w:br/>
              <w:t>Radiomic feature selection + Cox model</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BCR/BCR-free survival</w:t>
              <w:br/>
              <w:t>High recurrence risk; pN0; undetectable postoperative PSA</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 test</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ADC SZEGLSZM AUC 0.76 in test</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Early proof-of-concept for MRI heterogeneity</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17 events; postoperative selection variables; no external validation</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PROGNOSTIC (adjacent) | Bourbonne V 2020</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external validation</w:t>
              <w:br/>
              <w:t>n=107 retraining + 88 external</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T2 + ADC MRI</w:t>
              <w:br/>
              <w:t>Previously defined ADC radiomic feature</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BCR/BCR-free survival</w:t>
              <w:br/>
              <w:t>High-risk post-RP; pN0</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External institution</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External prediction accuracy about 0.76</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Rare external validation of a single MRI feature</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Postoperative-enriched selection; accuracy rather than calibrated survival risk</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PROGNOSTIC (adjacent) | Li L 2021</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four-institution study</w:t>
              <w:br/>
              <w:t>n=198 (71 train, 127 test)</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Biparametric MRI + clinicopathologic variables</w:t>
              <w:br/>
              <w:t>RadClip radiomic-clinical Cox nomogram</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BCR-free survival and adverse pathology</w:t>
              <w:br/>
              <w:t>Preoperative MRI followed by RP</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Multi-institution test</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Test C-index 0.77</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Preoperative risk stratification</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Limited events/follow-up; not an ePLND decision model</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PROGNOSTIC (adjacent) | Papp L 2021</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Prospective-trial pilot cohort</w:t>
              <w:br/>
              <w:t>n=52</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68Ga-PSMA-11 PET/MRI + 18F-FMC PET/MRI</w:t>
              <w:br/>
              <w:t>Ensemble ML combining PET/MRI radiomics, PSA and cT</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BCR and overall risk</w:t>
              <w:br/>
              <w:t>Primary PCa followed by RP</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1,000-fold Monte Carlo cross-validation</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BCR AUC 0.90</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Proof-of-concept PSMA PET/MRI prognosis</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Very small; resampling is not external validation; risk of optimism</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PROGNOSTIC (adjacent) | Yan Y 2021</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three-centre study</w:t>
              <w:br/>
              <w:t>n=485</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T2 MRI</w:t>
              <w:br/>
              <w:t>Deep-radiomic survival signature</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BCR</w:t>
              <w:br/>
              <w:t>RP cohorts</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Multicentre validation cohort</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C-index 0.802 in primary and validation cohorts</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MRI-derived recurrence stratification</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Retrospective; not tied to nodal false-negative prediction</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PROGNOSTIC (adjacent) | Gülbahar Ateş S 2024</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exploratory cohort</w:t>
              <w:br/>
              <w:t>n=51</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68Ga-PSMA-11 PET/CT</w:t>
              <w:br/>
              <w:t>Primary-tumour texture analysis + Cox regression</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BCR</w:t>
              <w:br/>
              <w:t>Definitive RP (22) or RT (29)</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None</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Two texture features independently associated with BCR</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Suggests tumour heterogeneity relates to recurrence</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Only 8 BCR events; mixed treatments; no validation</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PROGNOSTIC (adjacent) | Li T 2024</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development and external validation</w:t>
              <w:br/>
              <w:t>n=236 + 98 external</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18F-PSMA-1007 PET/CT + clinical</w:t>
              <w:br/>
              <w:t>LASSO-Cox PET radiomics nomogram</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BCR-free survival</w:t>
              <w:br/>
              <w:t>Preoperative PET followed by RP</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External</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Clinical-radiomics C-index 0.81 train and 0.78 external</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Best externally validated conventional PSMA-radiomics BCR model before 2026</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Retrospective; not limited to UIR/high-risk or PET-negative patients</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PROGNOSTIC (adjacent) | Li F 2025</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five-centre study</w:t>
              <w:br/>
              <w:t>n=923</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T2, ADC, DWI and DCE MRI + clinical</w:t>
              <w:br/>
              <w:t>2.5D DL/transformer fusion</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BCR</w:t>
              <w:br/>
              <w:t>Preoperative mpMRI before RP</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 and external test</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AUC 0.938 internal and 0.935 external</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Large multicentre MRI prognosis model</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Retrospective; calibration/transport requires prospective evaluation</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PROGNOSTIC (adjacent) | Singh A 2025</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prognostic model</w:t>
              <w:br/>
              <w:t>n=134</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Pretreatment PSMA PET/CT + clinical</w:t>
              <w:br/>
              <w:t>Primary, nodal and peritumoral radiomics + Cox model</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Metastasis-free survival</w:t>
              <w:br/>
              <w:t>Localized PCa treated with ADT + external RT; 28 node-positive</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 train/test</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Test C-score 0.69; five-year MFS AUC 0.81</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Nodal radiomics improved outcome prediction</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RT rather than RP/ePLND population; small event count; internal test</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PROGNOSTIC (adjacent) | Juarez Casillas JE 2026</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single-centre model</w:t>
              <w:br/>
              <w:t>n=Not reported in abstract</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18F-DCFPyL PET + clinical</w:t>
              <w:br/>
              <w:t>Primary-tumour CNN and multimodal model</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Synchronous and metachronous metastases</w:t>
              <w:br/>
              <w:t>Localized PCa receiving curative-intent therapy</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AUC 0.82 for synchronous metastases and 0.839 for metachronous progression</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Directly targets occult metastatic propensity</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Modest sample; single centre; model trained on synchronous endpoint then transferred; overfitting risk</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PROGNOSTIC (adjacent) | Li T 2026</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multicampus model</w:t>
              <w:br/>
              <w:t>n=697 (445 train, 190 + 62 validation)</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18F-PSMA-1007 PET/CT + D'Amico + SUVmax</w:t>
              <w:br/>
              <w:t>VGG19-derived deep-learning score and integrated model</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BCR-free survival</w:t>
              <w:br/>
              <w:t>Preoperative PET before RP</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Two validation cohorts</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Integrated C-index 0.846/0.806/0.774; 36-month AUC 0.853/0.801/0.779</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PSMA-DL BCR model with two validation cohorts</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Three campuses within one network; retrospective; no decision-impact study</w:t>
            </w:r>
          </w:p>
        </w:tc>
      </w:tr>
      <w:tr>
        <w:trPr>
          <w:cantSplit/>
          <w:trHeight w:hRule="atLeast"/>
        </w:trPr>
        <w:tc>
          <w:tcPr>
            <w:tcW w:type="dxa" w:w="1699"/>
            <w:vAlign w:val="center"/>
            <w:tcMar>
              <w:top w:w="55" w:type="dxa"/>
              <w:start w:w="70" w:type="dxa"/>
              <w:bottom w:w="55" w:type="dxa"/>
              <w:end w:w="70" w:type="dxa"/>
            </w:tcMar>
          </w:tcPr>
          <w:p>
            <w:pPr>
              <w:spacing w:after="0" w:before="0" w:line="240" w:lineRule="auto"/>
            </w:pPr>
            <w:r>
              <w:rPr>
                <w:rFonts w:ascii="Arial" w:hAnsi="Arial"/>
                <w:sz w:val="11"/>
              </w:rPr>
              <w:t>PROGNOSTIC (adjacent) | Simon BD 2026</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Retrospective two-centre study</w:t>
              <w:br/>
              <w:t>n=311 centre 1 + 168 external</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Biparametric MRI + preoperative clinical variables</w:t>
              <w:br/>
              <w:t>Automated lesion radiomics + multimodal AI</w:t>
            </w:r>
          </w:p>
        </w:tc>
        <w:tc>
          <w:tcPr>
            <w:tcW w:type="dxa" w:w="2232"/>
            <w:vAlign w:val="center"/>
            <w:tcMar>
              <w:top w:w="55" w:type="dxa"/>
              <w:start w:w="70" w:type="dxa"/>
              <w:bottom w:w="55" w:type="dxa"/>
              <w:end w:w="70" w:type="dxa"/>
            </w:tcMar>
          </w:tcPr>
          <w:p>
            <w:pPr>
              <w:spacing w:after="0" w:before="0" w:line="240" w:lineRule="auto"/>
            </w:pPr>
            <w:r>
              <w:rPr>
                <w:rFonts w:ascii="Arial" w:hAnsi="Arial"/>
                <w:sz w:val="11"/>
              </w:rPr>
              <w:t>BCR</w:t>
              <w:br/>
              <w:t>Baseline bpMRI before RP; intermediate-risk subgroup analysed</w:t>
            </w:r>
          </w:p>
        </w:tc>
        <w:tc>
          <w:tcPr>
            <w:tcW w:type="dxa" w:w="1195"/>
            <w:vAlign w:val="center"/>
            <w:tcMar>
              <w:top w:w="55" w:type="dxa"/>
              <w:start w:w="70" w:type="dxa"/>
              <w:bottom w:w="55" w:type="dxa"/>
              <w:end w:w="70" w:type="dxa"/>
            </w:tcMar>
          </w:tcPr>
          <w:p>
            <w:pPr>
              <w:spacing w:after="0" w:before="0" w:line="240" w:lineRule="auto"/>
            </w:pPr>
            <w:r>
              <w:rPr>
                <w:rFonts w:ascii="Arial" w:hAnsi="Arial"/>
                <w:sz w:val="11"/>
              </w:rPr>
              <w:t>Internal and external</w:t>
            </w:r>
          </w:p>
        </w:tc>
        <w:tc>
          <w:tcPr>
            <w:tcW w:type="dxa" w:w="1728"/>
            <w:vAlign w:val="center"/>
            <w:tcMar>
              <w:top w:w="55" w:type="dxa"/>
              <w:start w:w="70" w:type="dxa"/>
              <w:bottom w:w="55" w:type="dxa"/>
              <w:end w:w="70" w:type="dxa"/>
            </w:tcMar>
          </w:tcPr>
          <w:p>
            <w:pPr>
              <w:spacing w:after="0" w:before="0" w:line="240" w:lineRule="auto"/>
            </w:pPr>
            <w:r>
              <w:rPr>
                <w:rFonts w:ascii="Arial" w:hAnsi="Arial"/>
                <w:sz w:val="11"/>
              </w:rPr>
              <w:t>Multimodal AUC 0.70 centre 1 and 0.75 external</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Externally tested in difficult intermediate-risk subgroup</w:t>
            </w:r>
          </w:p>
        </w:tc>
        <w:tc>
          <w:tcPr>
            <w:tcW w:type="dxa" w:w="1872"/>
            <w:vAlign w:val="center"/>
            <w:tcMar>
              <w:top w:w="55" w:type="dxa"/>
              <w:start w:w="70" w:type="dxa"/>
              <w:bottom w:w="55" w:type="dxa"/>
              <w:end w:w="70" w:type="dxa"/>
            </w:tcMar>
          </w:tcPr>
          <w:p>
            <w:pPr>
              <w:spacing w:after="0" w:before="0" w:line="240" w:lineRule="auto"/>
            </w:pPr>
            <w:r>
              <w:rPr>
                <w:rFonts w:ascii="Arial" w:hAnsi="Arial"/>
                <w:sz w:val="11"/>
              </w:rPr>
              <w:t>Moderate discrimination; retrospective; outcome prevalence/threshold transport</w:t>
            </w:r>
          </w:p>
        </w:tc>
      </w:tr>
      <w:tr>
        <w:trPr>
          <w:cantSplit/>
        </w:trPr>
        <w:tc>
          <w:tcPr>
            <w:tcW w:type="dxa" w:w="1699"/>
            <w:vAlign w:val="top"/>
          </w:tcPr>
          <w:p>
            <w:pPr>
              <w:spacing w:after="0"/>
            </w:pPr>
            <w:r>
              <w:rPr>
                <w:sz w:val="14"/>
              </w:rPr>
              <w:t>NODAL-PATIENT (indirect to miN0) | Zhang Z. 2025 [74]</w:t>
            </w:r>
          </w:p>
        </w:tc>
        <w:tc>
          <w:tcPr>
            <w:tcW w:type="dxa" w:w="1728"/>
            <w:vAlign w:val="top"/>
          </w:tcPr>
          <w:p>
            <w:pPr>
              <w:spacing w:after="0"/>
            </w:pPr>
            <w:r>
              <w:rPr>
                <w:sz w:val="14"/>
              </w:rPr>
              <w:t>Original study | n=NR</w:t>
            </w:r>
          </w:p>
        </w:tc>
        <w:tc>
          <w:tcPr>
            <w:tcW w:type="dxa" w:w="2232"/>
            <w:vAlign w:val="top"/>
          </w:tcPr>
          <w:p>
            <w:pPr>
              <w:spacing w:after="0"/>
            </w:pPr>
            <w:r>
              <w:rPr>
                <w:sz w:val="14"/>
              </w:rPr>
              <w:t>Attention-Guided Multi-Task Learning for Prostate Cancer Pelvic Lymph Node Metastasis Prediction; [注意力引导多任务学习的前列腺癌 盆腔淋巴结转移预测]</w:t>
            </w:r>
          </w:p>
        </w:tc>
        <w:tc>
          <w:tcPr>
            <w:tcW w:type="dxa" w:w="2232"/>
            <w:vAlign w:val="top"/>
          </w:tcPr>
          <w:p>
            <w:pPr>
              <w:spacing w:after="0"/>
            </w:pPr>
            <w:r>
              <w:rPr>
                <w:sz w:val="14"/>
              </w:rPr>
              <w:t>Patient-level PLNM/LNI; miN0 not specifically analysed</w:t>
            </w:r>
          </w:p>
        </w:tc>
        <w:tc>
          <w:tcPr>
            <w:tcW w:type="dxa" w:w="1195"/>
            <w:vAlign w:val="top"/>
          </w:tcPr>
          <w:p>
            <w:pPr>
              <w:spacing w:after="0"/>
            </w:pPr>
            <w:r>
              <w:rPr>
                <w:sz w:val="14"/>
              </w:rPr>
              <w:t>Apparent or internal; details NR in abstract</w:t>
            </w:r>
          </w:p>
        </w:tc>
        <w:tc>
          <w:tcPr>
            <w:tcW w:type="dxa" w:w="1728"/>
            <w:vAlign w:val="top"/>
          </w:tcPr>
          <w:p>
            <w:pPr>
              <w:spacing w:after="0"/>
            </w:pPr>
            <w:r>
              <w:rPr>
                <w:sz w:val="14"/>
              </w:rPr>
              <w:t>The experimental results on a dataset of 320 cases demonstrate that the area under the precision-recall curve and the area under the receiver operating characteristic curve of the method proposed are (85.44+2.…</w:t>
            </w:r>
          </w:p>
        </w:tc>
        <w:tc>
          <w:tcPr>
            <w:tcW w:type="dxa" w:w="1800"/>
            <w:vAlign w:val="top"/>
          </w:tcPr>
          <w:p>
            <w:pPr>
              <w:spacing w:after="0"/>
            </w:pPr>
            <w:r>
              <w:rPr>
                <w:sz w:val="14"/>
              </w:rPr>
              <w:t>Histology-anchored or surgical-cohort nodal prediction; indirect to dedicated miN0 omission</w:t>
            </w:r>
          </w:p>
        </w:tc>
        <w:tc>
          <w:tcPr>
            <w:tcW w:type="dxa" w:w="1872"/>
            <w:vAlign w:val="top"/>
          </w:tcPr>
          <w:p>
            <w:pPr>
              <w:spacing w:after="0"/>
            </w:pPr>
            <w:r>
              <w:rPr>
                <w:sz w:val="14"/>
              </w:rPr>
              <w:t>No dedicated miN0 prospective omission validation; calibration/absolute misses incomplete</w:t>
            </w:r>
          </w:p>
        </w:tc>
      </w:tr>
      <w:tr>
        <w:trPr>
          <w:cantSplit/>
        </w:trPr>
        <w:tc>
          <w:tcPr>
            <w:tcW w:type="dxa" w:w="1699"/>
            <w:vAlign w:val="top"/>
          </w:tcPr>
          <w:p>
            <w:pPr>
              <w:spacing w:after="0"/>
            </w:pPr>
            <w:r>
              <w:rPr>
                <w:sz w:val="14"/>
              </w:rPr>
              <w:t>NODAL-PATIENT (indirect to miN0) | Wagaskar V.G. 2025 [75]</w:t>
            </w:r>
          </w:p>
        </w:tc>
        <w:tc>
          <w:tcPr>
            <w:tcW w:type="dxa" w:w="1728"/>
            <w:vAlign w:val="top"/>
          </w:tcPr>
          <w:p>
            <w:pPr>
              <w:spacing w:after="0"/>
            </w:pPr>
            <w:r>
              <w:rPr>
                <w:sz w:val="14"/>
              </w:rPr>
              <w:t>Original study | n=2172</w:t>
            </w:r>
          </w:p>
        </w:tc>
        <w:tc>
          <w:tcPr>
            <w:tcW w:type="dxa" w:w="2232"/>
            <w:vAlign w:val="top"/>
          </w:tcPr>
          <w:p>
            <w:pPr>
              <w:spacing w:after="0"/>
            </w:pPr>
            <w:r>
              <w:rPr>
                <w:sz w:val="14"/>
              </w:rPr>
              <w:t>Integrating Genomic Classifiers and Nonsuspicious Magnetic Resonance Imaging Findings in Predictive Modelling for Lymph Node Metastasis in Patie…</w:t>
            </w:r>
          </w:p>
        </w:tc>
        <w:tc>
          <w:tcPr>
            <w:tcW w:type="dxa" w:w="2232"/>
            <w:vAlign w:val="top"/>
          </w:tcPr>
          <w:p>
            <w:pPr>
              <w:spacing w:after="0"/>
            </w:pPr>
            <w:r>
              <w:rPr>
                <w:sz w:val="14"/>
              </w:rPr>
              <w:t>Patient-level PLNM/LNI; miN0 not specifically analysed</w:t>
            </w:r>
          </w:p>
        </w:tc>
        <w:tc>
          <w:tcPr>
            <w:tcW w:type="dxa" w:w="1195"/>
            <w:vAlign w:val="top"/>
          </w:tcPr>
          <w:p>
            <w:pPr>
              <w:spacing w:after="0"/>
            </w:pPr>
            <w:r>
              <w:rPr>
                <w:sz w:val="14"/>
              </w:rPr>
              <w:t>Apparent or internal; details NR in abstract</w:t>
            </w:r>
          </w:p>
        </w:tc>
        <w:tc>
          <w:tcPr>
            <w:tcW w:type="dxa" w:w="1728"/>
            <w:vAlign w:val="top"/>
          </w:tcPr>
          <w:p>
            <w:pPr>
              <w:spacing w:after="0"/>
            </w:pPr>
            <w:r>
              <w:rPr>
                <w:sz w:val="14"/>
              </w:rPr>
              <w:t>NR</w:t>
            </w:r>
          </w:p>
        </w:tc>
        <w:tc>
          <w:tcPr>
            <w:tcW w:type="dxa" w:w="1800"/>
            <w:vAlign w:val="top"/>
          </w:tcPr>
          <w:p>
            <w:pPr>
              <w:spacing w:after="0"/>
            </w:pPr>
            <w:r>
              <w:rPr>
                <w:sz w:val="14"/>
              </w:rPr>
              <w:t>Histology-anchored or surgical-cohort nodal prediction; indirect to dedicated miN0 omission</w:t>
            </w:r>
          </w:p>
        </w:tc>
        <w:tc>
          <w:tcPr>
            <w:tcW w:type="dxa" w:w="1872"/>
            <w:vAlign w:val="top"/>
          </w:tcPr>
          <w:p>
            <w:pPr>
              <w:spacing w:after="0"/>
            </w:pPr>
            <w:r>
              <w:rPr>
                <w:sz w:val="14"/>
              </w:rPr>
              <w:t>No dedicated miN0 prospective omission validation; calibration/absolute misses incomplete</w:t>
            </w:r>
          </w:p>
        </w:tc>
      </w:tr>
      <w:tr>
        <w:trPr>
          <w:cantSplit/>
        </w:trPr>
        <w:tc>
          <w:tcPr>
            <w:tcW w:type="dxa" w:w="1699"/>
            <w:vAlign w:val="top"/>
          </w:tcPr>
          <w:p>
            <w:pPr>
              <w:spacing w:after="0"/>
            </w:pPr>
            <w:r>
              <w:rPr>
                <w:sz w:val="14"/>
              </w:rPr>
              <w:t>NODAL-PATIENT (indirect to miN0) | Yao L. 2023 [76]</w:t>
            </w:r>
          </w:p>
        </w:tc>
        <w:tc>
          <w:tcPr>
            <w:tcW w:type="dxa" w:w="1728"/>
            <w:vAlign w:val="top"/>
          </w:tcPr>
          <w:p>
            <w:pPr>
              <w:spacing w:after="0"/>
            </w:pPr>
            <w:r>
              <w:rPr>
                <w:sz w:val="14"/>
              </w:rPr>
              <w:t>Original study | n=63,</w:t>
            </w:r>
          </w:p>
        </w:tc>
        <w:tc>
          <w:tcPr>
            <w:tcW w:type="dxa" w:w="2232"/>
            <w:vAlign w:val="top"/>
          </w:tcPr>
          <w:p>
            <w:pPr>
              <w:spacing w:after="0"/>
            </w:pPr>
            <w:r>
              <w:rPr>
                <w:sz w:val="14"/>
              </w:rPr>
              <w:t>Application of Dynamic Enhanced Magnetic Resonance Imaging Texture Analysis Combined with ADCs in Predicting Pelvic Lymph Metastasis of Prostate…</w:t>
            </w:r>
          </w:p>
        </w:tc>
        <w:tc>
          <w:tcPr>
            <w:tcW w:type="dxa" w:w="2232"/>
            <w:vAlign w:val="top"/>
          </w:tcPr>
          <w:p>
            <w:pPr>
              <w:spacing w:after="0"/>
            </w:pPr>
            <w:r>
              <w:rPr>
                <w:sz w:val="14"/>
              </w:rPr>
              <w:t>Patient-level PLNM/LNI; miN0 not specifically analysed</w:t>
            </w:r>
          </w:p>
        </w:tc>
        <w:tc>
          <w:tcPr>
            <w:tcW w:type="dxa" w:w="1195"/>
            <w:vAlign w:val="top"/>
          </w:tcPr>
          <w:p>
            <w:pPr>
              <w:spacing w:after="0"/>
            </w:pPr>
            <w:r>
              <w:rPr>
                <w:sz w:val="14"/>
              </w:rPr>
              <w:t>Apparent or internal; details NR in abstract</w:t>
            </w:r>
          </w:p>
        </w:tc>
        <w:tc>
          <w:tcPr>
            <w:tcW w:type="dxa" w:w="1728"/>
            <w:vAlign w:val="top"/>
          </w:tcPr>
          <w:p>
            <w:pPr>
              <w:spacing w:after="0"/>
            </w:pPr>
            <w:r>
              <w:rPr>
                <w:sz w:val="14"/>
              </w:rPr>
              <w:t>The ROC curve showed that the area under the curve (AUC) of DCE-MRI texture analysis parameters Ktrans and Kep combined with ADC was large, and the prediction efficiency increased.</w:t>
            </w:r>
          </w:p>
        </w:tc>
        <w:tc>
          <w:tcPr>
            <w:tcW w:type="dxa" w:w="1800"/>
            <w:vAlign w:val="top"/>
          </w:tcPr>
          <w:p>
            <w:pPr>
              <w:spacing w:after="0"/>
            </w:pPr>
            <w:r>
              <w:rPr>
                <w:sz w:val="14"/>
              </w:rPr>
              <w:t>Histology-anchored or surgical-cohort nodal prediction; indirect to dedicated miN0 omission</w:t>
            </w:r>
          </w:p>
        </w:tc>
        <w:tc>
          <w:tcPr>
            <w:tcW w:type="dxa" w:w="1872"/>
            <w:vAlign w:val="top"/>
          </w:tcPr>
          <w:p>
            <w:pPr>
              <w:spacing w:after="0"/>
            </w:pPr>
            <w:r>
              <w:rPr>
                <w:sz w:val="14"/>
              </w:rPr>
              <w:t>No dedicated miN0 prospective omission validation; calibration/absolute misses incomplete</w:t>
            </w:r>
          </w:p>
        </w:tc>
      </w:tr>
      <w:tr>
        <w:trPr>
          <w:cantSplit/>
        </w:trPr>
        <w:tc>
          <w:tcPr>
            <w:tcW w:type="dxa" w:w="1699"/>
            <w:vAlign w:val="top"/>
          </w:tcPr>
          <w:p>
            <w:pPr>
              <w:spacing w:after="0"/>
            </w:pPr>
            <w:r>
              <w:rPr>
                <w:sz w:val="14"/>
              </w:rPr>
              <w:t>NODAL-PATIENT (indirect to miN0) | Rho M.J. 2020 [77]</w:t>
            </w:r>
          </w:p>
        </w:tc>
        <w:tc>
          <w:tcPr>
            <w:tcW w:type="dxa" w:w="1728"/>
            <w:vAlign w:val="top"/>
          </w:tcPr>
          <w:p>
            <w:pPr>
              <w:spacing w:after="0"/>
            </w:pPr>
            <w:r>
              <w:rPr>
                <w:sz w:val="14"/>
              </w:rPr>
              <w:t>Original study | n=NR</w:t>
            </w:r>
          </w:p>
        </w:tc>
        <w:tc>
          <w:tcPr>
            <w:tcW w:type="dxa" w:w="2232"/>
            <w:vAlign w:val="top"/>
          </w:tcPr>
          <w:p>
            <w:pPr>
              <w:spacing w:after="0"/>
            </w:pPr>
            <w:r>
              <w:rPr>
                <w:sz w:val="14"/>
              </w:rPr>
              <w:t>Dr. Answer ai for prostate cancer: Clinical outcome prediction model and service</w:t>
            </w:r>
          </w:p>
        </w:tc>
        <w:tc>
          <w:tcPr>
            <w:tcW w:type="dxa" w:w="2232"/>
            <w:vAlign w:val="top"/>
          </w:tcPr>
          <w:p>
            <w:pPr>
              <w:spacing w:after="0"/>
            </w:pPr>
            <w:r>
              <w:rPr>
                <w:sz w:val="14"/>
              </w:rPr>
              <w:t>Patient-level PLNM/LNI; miN0 not specifically analysed</w:t>
            </w:r>
          </w:p>
        </w:tc>
        <w:tc>
          <w:tcPr>
            <w:tcW w:type="dxa" w:w="1195"/>
            <w:vAlign w:val="top"/>
          </w:tcPr>
          <w:p>
            <w:pPr>
              <w:spacing w:after="0"/>
            </w:pPr>
            <w:r>
              <w:rPr>
                <w:sz w:val="14"/>
              </w:rPr>
              <w:t>Multicentre; validation design as reported</w:t>
            </w:r>
          </w:p>
        </w:tc>
        <w:tc>
          <w:tcPr>
            <w:tcW w:type="dxa" w:w="1728"/>
            <w:vAlign w:val="top"/>
          </w:tcPr>
          <w:p>
            <w:pPr>
              <w:spacing w:after="0"/>
            </w:pPr>
            <w:r>
              <w:rPr>
                <w:sz w:val="14"/>
              </w:rPr>
              <w:t>NR</w:t>
            </w:r>
          </w:p>
        </w:tc>
        <w:tc>
          <w:tcPr>
            <w:tcW w:type="dxa" w:w="1800"/>
            <w:vAlign w:val="top"/>
          </w:tcPr>
          <w:p>
            <w:pPr>
              <w:spacing w:after="0"/>
            </w:pPr>
            <w:r>
              <w:rPr>
                <w:sz w:val="14"/>
              </w:rPr>
              <w:t>Histology-anchored or surgical-cohort nodal prediction; indirect to dedicated miN0 omission</w:t>
            </w:r>
          </w:p>
        </w:tc>
        <w:tc>
          <w:tcPr>
            <w:tcW w:type="dxa" w:w="1872"/>
            <w:vAlign w:val="top"/>
          </w:tcPr>
          <w:p>
            <w:pPr>
              <w:spacing w:after="0"/>
            </w:pPr>
            <w:r>
              <w:rPr>
                <w:sz w:val="14"/>
              </w:rPr>
              <w:t>No dedicated miN0 prospective omission validation; calibration/absolute misses incomplete</w:t>
            </w:r>
          </w:p>
        </w:tc>
      </w:tr>
      <w:tr>
        <w:trPr>
          <w:cantSplit/>
        </w:trPr>
        <w:tc>
          <w:tcPr>
            <w:tcW w:type="dxa" w:w="1699"/>
            <w:vAlign w:val="top"/>
          </w:tcPr>
          <w:p>
            <w:pPr>
              <w:spacing w:after="0"/>
            </w:pPr>
            <w:r>
              <w:rPr>
                <w:sz w:val="14"/>
              </w:rPr>
              <w:t>PET DETECTION/SURROGATE (indirect) | Stamouli I. 2026 [78]</w:t>
            </w:r>
          </w:p>
        </w:tc>
        <w:tc>
          <w:tcPr>
            <w:tcW w:type="dxa" w:w="1728"/>
            <w:vAlign w:val="top"/>
          </w:tcPr>
          <w:p>
            <w:pPr>
              <w:spacing w:after="0"/>
            </w:pPr>
            <w:r>
              <w:rPr>
                <w:sz w:val="14"/>
              </w:rPr>
              <w:t>Original study | n=NR</w:t>
            </w:r>
          </w:p>
        </w:tc>
        <w:tc>
          <w:tcPr>
            <w:tcW w:type="dxa" w:w="2232"/>
            <w:vAlign w:val="top"/>
          </w:tcPr>
          <w:p>
            <w:pPr>
              <w:spacing w:after="0"/>
            </w:pPr>
            <w:r>
              <w:rPr>
                <w:sz w:val="14"/>
              </w:rPr>
              <w:t>A computer-aided diagnosis tool in prostate cancer patients with biochemical recurrence using 18F-PSMA PET/CT imaging</w:t>
            </w:r>
          </w:p>
        </w:tc>
        <w:tc>
          <w:tcPr>
            <w:tcW w:type="dxa" w:w="2232"/>
            <w:vAlign w:val="top"/>
          </w:tcPr>
          <w:p>
            <w:pPr>
              <w:spacing w:after="0"/>
            </w:pPr>
            <w:r>
              <w:rPr>
                <w:sz w:val="14"/>
              </w:rPr>
              <w:t>recurrent disease; follow-up reference standard</w:t>
            </w:r>
          </w:p>
        </w:tc>
        <w:tc>
          <w:tcPr>
            <w:tcW w:type="dxa" w:w="1195"/>
            <w:vAlign w:val="top"/>
          </w:tcPr>
          <w:p>
            <w:pPr>
              <w:spacing w:after="0"/>
            </w:pPr>
            <w:r>
              <w:rPr>
                <w:sz w:val="14"/>
              </w:rPr>
              <w:t>Internal/separate test cohort</w:t>
            </w:r>
          </w:p>
        </w:tc>
        <w:tc>
          <w:tcPr>
            <w:tcW w:type="dxa" w:w="1728"/>
            <w:vAlign w:val="top"/>
          </w:tcPr>
          <w:p>
            <w:pPr>
              <w:spacing w:after="0"/>
            </w:pPr>
            <w:r>
              <w:rPr>
                <w:sz w:val="14"/>
              </w:rPr>
              <w:t>Results: For task 1, the stacking ensemble model achieved an accuracy of 92.5% (SD, 3.5%), sensitivity of 92.3% (SD, 4.6%), specificity of 93.0% (SD, 9.2%), and an area under the receiver operating characteris…</w:t>
            </w:r>
          </w:p>
        </w:tc>
        <w:tc>
          <w:tcPr>
            <w:tcW w:type="dxa" w:w="1800"/>
            <w:vAlign w:val="top"/>
          </w:tcPr>
          <w:p>
            <w:pPr>
              <w:spacing w:after="0"/>
            </w:pPr>
            <w:r>
              <w:rPr>
                <w:sz w:val="14"/>
              </w:rPr>
              <w:t>Supports automated detection or interpretation, not occult patient-level pN1 prediction</w:t>
            </w:r>
          </w:p>
        </w:tc>
        <w:tc>
          <w:tcPr>
            <w:tcW w:type="dxa" w:w="1872"/>
            <w:vAlign w:val="top"/>
          </w:tcPr>
          <w:p>
            <w:pPr>
              <w:spacing w:after="0"/>
            </w:pPr>
            <w:r>
              <w:rPr>
                <w:sz w:val="14"/>
              </w:rPr>
              <w:t>Detection/surrogate reference standard; cannot establish ePLND omission safety</w:t>
            </w:r>
          </w:p>
        </w:tc>
      </w:tr>
      <w:tr>
        <w:trPr>
          <w:cantSplit/>
        </w:trPr>
        <w:tc>
          <w:tcPr>
            <w:tcW w:type="dxa" w:w="1699"/>
            <w:vAlign w:val="top"/>
          </w:tcPr>
          <w:p>
            <w:pPr>
              <w:spacing w:after="0"/>
            </w:pPr>
            <w:r>
              <w:rPr>
                <w:sz w:val="14"/>
              </w:rPr>
              <w:t>PET DETECTION/SURROGATE (indirect) | Bauckneht M. 2025 [79]</w:t>
            </w:r>
          </w:p>
        </w:tc>
        <w:tc>
          <w:tcPr>
            <w:tcW w:type="dxa" w:w="1728"/>
            <w:vAlign w:val="top"/>
          </w:tcPr>
          <w:p>
            <w:pPr>
              <w:spacing w:after="0"/>
            </w:pPr>
            <w:r>
              <w:rPr>
                <w:sz w:val="14"/>
              </w:rPr>
              <w:t>Original study | n=2</w:t>
            </w:r>
          </w:p>
        </w:tc>
        <w:tc>
          <w:tcPr>
            <w:tcW w:type="dxa" w:w="2232"/>
            <w:vAlign w:val="top"/>
          </w:tcPr>
          <w:p>
            <w:pPr>
              <w:spacing w:after="0"/>
            </w:pPr>
            <w:r>
              <w:rPr>
                <w:sz w:val="14"/>
              </w:rPr>
              <w:t>[18F]PSMA-1007 PET/CT-based radiomics may help enhance the interpretation of bone focal uptakes in hormone-sensitive prostate cancer patients</w:t>
            </w:r>
          </w:p>
        </w:tc>
        <w:tc>
          <w:tcPr>
            <w:tcW w:type="dxa" w:w="2232"/>
            <w:vAlign w:val="top"/>
          </w:tcPr>
          <w:p>
            <w:pPr>
              <w:spacing w:after="0"/>
            </w:pPr>
            <w:r>
              <w:rPr>
                <w:sz w:val="14"/>
              </w:rPr>
              <w:t>PSMA-avid bone uptake classification</w:t>
            </w:r>
          </w:p>
        </w:tc>
        <w:tc>
          <w:tcPr>
            <w:tcW w:type="dxa" w:w="1195"/>
            <w:vAlign w:val="top"/>
          </w:tcPr>
          <w:p>
            <w:pPr>
              <w:spacing w:after="0"/>
            </w:pPr>
            <w:r>
              <w:rPr>
                <w:sz w:val="14"/>
              </w:rPr>
              <w:t>Apparent or internal; details NR in abstract</w:t>
            </w:r>
          </w:p>
        </w:tc>
        <w:tc>
          <w:tcPr>
            <w:tcW w:type="dxa" w:w="1728"/>
            <w:vAlign w:val="top"/>
          </w:tcPr>
          <w:p>
            <w:pPr>
              <w:spacing w:after="0"/>
            </w:pPr>
            <w:r>
              <w:rPr>
                <w:sz w:val="14"/>
              </w:rPr>
              <w:t>A radiomic model combining PET and CT features achieved an accuracy of 84.69%, though it did not surpass expert PET readers in either round.</w:t>
            </w:r>
          </w:p>
        </w:tc>
        <w:tc>
          <w:tcPr>
            <w:tcW w:type="dxa" w:w="1800"/>
            <w:vAlign w:val="top"/>
          </w:tcPr>
          <w:p>
            <w:pPr>
              <w:spacing w:after="0"/>
            </w:pPr>
            <w:r>
              <w:rPr>
                <w:sz w:val="14"/>
              </w:rPr>
              <w:t>Supports automated detection or interpretation, not occult patient-level pN1 prediction</w:t>
            </w:r>
          </w:p>
        </w:tc>
        <w:tc>
          <w:tcPr>
            <w:tcW w:type="dxa" w:w="1872"/>
            <w:vAlign w:val="top"/>
          </w:tcPr>
          <w:p>
            <w:pPr>
              <w:spacing w:after="0"/>
            </w:pPr>
            <w:r>
              <w:rPr>
                <w:sz w:val="14"/>
              </w:rPr>
              <w:t>Detection/surrogate reference standard; cannot establish ePLND omission safety</w:t>
            </w:r>
          </w:p>
        </w:tc>
      </w:tr>
      <w:tr>
        <w:trPr>
          <w:cantSplit/>
        </w:trPr>
        <w:tc>
          <w:tcPr>
            <w:tcW w:type="dxa" w:w="1699"/>
            <w:vAlign w:val="top"/>
          </w:tcPr>
          <w:p>
            <w:pPr>
              <w:spacing w:after="0"/>
            </w:pPr>
            <w:r>
              <w:rPr>
                <w:sz w:val="14"/>
              </w:rPr>
              <w:t>PET DETECTION/SURROGATE (indirect) | Trägårdh E. 2025 [80]</w:t>
            </w:r>
          </w:p>
        </w:tc>
        <w:tc>
          <w:tcPr>
            <w:tcW w:type="dxa" w:w="1728"/>
            <w:vAlign w:val="top"/>
          </w:tcPr>
          <w:p>
            <w:pPr>
              <w:spacing w:after="0"/>
            </w:pPr>
            <w:r>
              <w:rPr>
                <w:sz w:val="14"/>
              </w:rPr>
              <w:t>Original study | n=1064</w:t>
            </w:r>
          </w:p>
        </w:tc>
        <w:tc>
          <w:tcPr>
            <w:tcW w:type="dxa" w:w="2232"/>
            <w:vAlign w:val="top"/>
          </w:tcPr>
          <w:p>
            <w:pPr>
              <w:spacing w:after="0"/>
            </w:pPr>
            <w:r>
              <w:rPr>
                <w:sz w:val="14"/>
              </w:rPr>
              <w:t>A fully automated AI-based method for tumour detection and quantification on [18F]PSMA-1007 PET–CT images in prostate cancer</w:t>
            </w:r>
          </w:p>
        </w:tc>
        <w:tc>
          <w:tcPr>
            <w:tcW w:type="dxa" w:w="2232"/>
            <w:vAlign w:val="top"/>
          </w:tcPr>
          <w:p>
            <w:pPr>
              <w:spacing w:after="0"/>
            </w:pPr>
            <w:r>
              <w:rPr>
                <w:sz w:val="14"/>
              </w:rPr>
              <w:t>automated prostate, nodal and bone lesion detection</w:t>
            </w:r>
          </w:p>
        </w:tc>
        <w:tc>
          <w:tcPr>
            <w:tcW w:type="dxa" w:w="1195"/>
            <w:vAlign w:val="top"/>
          </w:tcPr>
          <w:p>
            <w:pPr>
              <w:spacing w:after="0"/>
            </w:pPr>
            <w:r>
              <w:rPr>
                <w:sz w:val="14"/>
              </w:rPr>
              <w:t>Internal/separate test cohort</w:t>
            </w:r>
          </w:p>
        </w:tc>
        <w:tc>
          <w:tcPr>
            <w:tcW w:type="dxa" w:w="1728"/>
            <w:vAlign w:val="top"/>
          </w:tcPr>
          <w:p>
            <w:pPr>
              <w:spacing w:after="0"/>
            </w:pPr>
            <w:r>
              <w:rPr>
                <w:sz w:val="14"/>
              </w:rPr>
              <w:t>The sensitivity and positive predictive value (PPV) were calculated using two sets of manual segmentations as reference.</w:t>
            </w:r>
          </w:p>
        </w:tc>
        <w:tc>
          <w:tcPr>
            <w:tcW w:type="dxa" w:w="1800"/>
            <w:vAlign w:val="top"/>
          </w:tcPr>
          <w:p>
            <w:pPr>
              <w:spacing w:after="0"/>
            </w:pPr>
            <w:r>
              <w:rPr>
                <w:sz w:val="14"/>
              </w:rPr>
              <w:t>Supports automated detection or interpretation, not occult patient-level pN1 prediction</w:t>
            </w:r>
          </w:p>
        </w:tc>
        <w:tc>
          <w:tcPr>
            <w:tcW w:type="dxa" w:w="1872"/>
            <w:vAlign w:val="top"/>
          </w:tcPr>
          <w:p>
            <w:pPr>
              <w:spacing w:after="0"/>
            </w:pPr>
            <w:r>
              <w:rPr>
                <w:sz w:val="14"/>
              </w:rPr>
              <w:t>Detection/surrogate reference standard; cannot establish ePLND omission safety</w:t>
            </w:r>
          </w:p>
        </w:tc>
      </w:tr>
      <w:tr>
        <w:trPr>
          <w:cantSplit/>
        </w:trPr>
        <w:tc>
          <w:tcPr>
            <w:tcW w:type="dxa" w:w="1699"/>
            <w:vAlign w:val="top"/>
          </w:tcPr>
          <w:p>
            <w:pPr>
              <w:spacing w:after="0"/>
            </w:pPr>
            <w:r>
              <w:rPr>
                <w:sz w:val="14"/>
              </w:rPr>
              <w:t>PET DETECTION/SURROGATE (indirect) | Korb M. 2025 [81]</w:t>
            </w:r>
          </w:p>
        </w:tc>
        <w:tc>
          <w:tcPr>
            <w:tcW w:type="dxa" w:w="1728"/>
            <w:vAlign w:val="top"/>
          </w:tcPr>
          <w:p>
            <w:pPr>
              <w:spacing w:after="0"/>
            </w:pPr>
            <w:r>
              <w:rPr>
                <w:sz w:val="14"/>
              </w:rPr>
              <w:t>Original study | n=NR</w:t>
            </w:r>
          </w:p>
        </w:tc>
        <w:tc>
          <w:tcPr>
            <w:tcW w:type="dxa" w:w="2232"/>
            <w:vAlign w:val="top"/>
          </w:tcPr>
          <w:p>
            <w:pPr>
              <w:spacing w:after="0"/>
            </w:pPr>
            <w:r>
              <w:rPr>
                <w:sz w:val="14"/>
              </w:rPr>
              <w:t>Detection of Local Prostate Cancer Recurrence from PET/CT Scans Using Deep Learning</w:t>
            </w:r>
          </w:p>
        </w:tc>
        <w:tc>
          <w:tcPr>
            <w:tcW w:type="dxa" w:w="2232"/>
            <w:vAlign w:val="top"/>
          </w:tcPr>
          <w:p>
            <w:pPr>
              <w:spacing w:after="0"/>
            </w:pPr>
            <w:r>
              <w:rPr>
                <w:sz w:val="14"/>
              </w:rPr>
              <w:t>local recurrence detection after treatment</w:t>
            </w:r>
          </w:p>
        </w:tc>
        <w:tc>
          <w:tcPr>
            <w:tcW w:type="dxa" w:w="1195"/>
            <w:vAlign w:val="top"/>
          </w:tcPr>
          <w:p>
            <w:pPr>
              <w:spacing w:after="0"/>
            </w:pPr>
            <w:r>
              <w:rPr>
                <w:sz w:val="14"/>
              </w:rPr>
              <w:t>Apparent or internal; details NR in abstract</w:t>
            </w:r>
          </w:p>
        </w:tc>
        <w:tc>
          <w:tcPr>
            <w:tcW w:type="dxa" w:w="1728"/>
            <w:vAlign w:val="top"/>
          </w:tcPr>
          <w:p>
            <w:pPr>
              <w:spacing w:after="0"/>
            </w:pPr>
            <w:r>
              <w:rPr>
                <w:sz w:val="14"/>
              </w:rPr>
              <w:t>PSMA-directed positron emission tomography (PET) has shown promising results in detecting recurrent PC and metastasis, improving the accuracy of diagnosis and treatment planning.</w:t>
            </w:r>
          </w:p>
        </w:tc>
        <w:tc>
          <w:tcPr>
            <w:tcW w:type="dxa" w:w="1800"/>
            <w:vAlign w:val="top"/>
          </w:tcPr>
          <w:p>
            <w:pPr>
              <w:spacing w:after="0"/>
            </w:pPr>
            <w:r>
              <w:rPr>
                <w:sz w:val="14"/>
              </w:rPr>
              <w:t>Supports automated detection or interpretation, not occult patient-level pN1 prediction</w:t>
            </w:r>
          </w:p>
        </w:tc>
        <w:tc>
          <w:tcPr>
            <w:tcW w:type="dxa" w:w="1872"/>
            <w:vAlign w:val="top"/>
          </w:tcPr>
          <w:p>
            <w:pPr>
              <w:spacing w:after="0"/>
            </w:pPr>
            <w:r>
              <w:rPr>
                <w:sz w:val="14"/>
              </w:rPr>
              <w:t>Detection/surrogate reference standard; cannot establish ePLND omission safety</w:t>
            </w:r>
          </w:p>
        </w:tc>
      </w:tr>
      <w:tr>
        <w:trPr>
          <w:cantSplit/>
        </w:trPr>
        <w:tc>
          <w:tcPr>
            <w:tcW w:type="dxa" w:w="1699"/>
            <w:vAlign w:val="top"/>
          </w:tcPr>
          <w:p>
            <w:pPr>
              <w:spacing w:after="0"/>
            </w:pPr>
            <w:r>
              <w:rPr>
                <w:sz w:val="14"/>
              </w:rPr>
              <w:t>PET DETECTION/SURROGATE (indirect) | Hao J. 2025 [82]</w:t>
            </w:r>
          </w:p>
        </w:tc>
        <w:tc>
          <w:tcPr>
            <w:tcW w:type="dxa" w:w="1728"/>
            <w:vAlign w:val="top"/>
          </w:tcPr>
          <w:p>
            <w:pPr>
              <w:spacing w:after="0"/>
            </w:pPr>
            <w:r>
              <w:rPr>
                <w:sz w:val="14"/>
              </w:rPr>
              <w:t>Original study | n=NR</w:t>
            </w:r>
          </w:p>
        </w:tc>
        <w:tc>
          <w:tcPr>
            <w:tcW w:type="dxa" w:w="2232"/>
            <w:vAlign w:val="top"/>
          </w:tcPr>
          <w:p>
            <w:pPr>
              <w:spacing w:after="0"/>
            </w:pPr>
            <w:r>
              <w:rPr>
                <w:sz w:val="14"/>
              </w:rPr>
              <w:t>MECF-Net: A prostate cancer lymph node metastasis classification method based on 18F-PSMA-1007 and 18F-FDG dual-tracer PET/CT image feature opti…</w:t>
            </w:r>
          </w:p>
        </w:tc>
        <w:tc>
          <w:tcPr>
            <w:tcW w:type="dxa" w:w="2232"/>
            <w:vAlign w:val="top"/>
          </w:tcPr>
          <w:p>
            <w:pPr>
              <w:spacing w:after="0"/>
            </w:pPr>
            <w:r>
              <w:rPr>
                <w:sz w:val="14"/>
              </w:rPr>
              <w:t>dual-tracer lymph-node classification</w:t>
            </w:r>
          </w:p>
        </w:tc>
        <w:tc>
          <w:tcPr>
            <w:tcW w:type="dxa" w:w="1195"/>
            <w:vAlign w:val="top"/>
          </w:tcPr>
          <w:p>
            <w:pPr>
              <w:spacing w:after="0"/>
            </w:pPr>
            <w:r>
              <w:rPr>
                <w:sz w:val="14"/>
              </w:rPr>
              <w:t>Apparent or internal; details NR in abstract</w:t>
            </w:r>
          </w:p>
        </w:tc>
        <w:tc>
          <w:tcPr>
            <w:tcW w:type="dxa" w:w="1728"/>
            <w:vAlign w:val="top"/>
          </w:tcPr>
          <w:p>
            <w:pPr>
              <w:spacing w:after="0"/>
            </w:pPr>
            <w:r>
              <w:rPr>
                <w:sz w:val="14"/>
              </w:rPr>
              <w:t>Our experimental results on a private dual-tracer 18F-PSMA-1007/18F-FDG PET/CT dataset and a public single-tracer 18F-FDG PET/CT dataset demonstrate the effectiveness of MECF-Net, which achieved 0.9269 and 0.8…</w:t>
            </w:r>
          </w:p>
        </w:tc>
        <w:tc>
          <w:tcPr>
            <w:tcW w:type="dxa" w:w="1800"/>
            <w:vAlign w:val="top"/>
          </w:tcPr>
          <w:p>
            <w:pPr>
              <w:spacing w:after="0"/>
            </w:pPr>
            <w:r>
              <w:rPr>
                <w:sz w:val="14"/>
              </w:rPr>
              <w:t>Supports automated detection or interpretation, not occult patient-level pN1 prediction</w:t>
            </w:r>
          </w:p>
        </w:tc>
        <w:tc>
          <w:tcPr>
            <w:tcW w:type="dxa" w:w="1872"/>
            <w:vAlign w:val="top"/>
          </w:tcPr>
          <w:p>
            <w:pPr>
              <w:spacing w:after="0"/>
            </w:pPr>
            <w:r>
              <w:rPr>
                <w:sz w:val="14"/>
              </w:rPr>
              <w:t>Detection/surrogate reference standard; cannot establish ePLND omission safety</w:t>
            </w:r>
          </w:p>
        </w:tc>
      </w:tr>
      <w:tr>
        <w:trPr>
          <w:cantSplit/>
        </w:trPr>
        <w:tc>
          <w:tcPr>
            <w:tcW w:type="dxa" w:w="1699"/>
            <w:vAlign w:val="top"/>
          </w:tcPr>
          <w:p>
            <w:pPr>
              <w:spacing w:after="0"/>
            </w:pPr>
            <w:r>
              <w:rPr>
                <w:sz w:val="14"/>
              </w:rPr>
              <w:t>PET DETECTION/SURROGATE (indirect) | Li Y. 2024 [83]</w:t>
            </w:r>
          </w:p>
        </w:tc>
        <w:tc>
          <w:tcPr>
            <w:tcW w:type="dxa" w:w="1728"/>
            <w:vAlign w:val="top"/>
          </w:tcPr>
          <w:p>
            <w:pPr>
              <w:spacing w:after="0"/>
            </w:pPr>
            <w:r>
              <w:rPr>
                <w:sz w:val="14"/>
              </w:rPr>
              <w:t>Original study | n=NR</w:t>
            </w:r>
          </w:p>
        </w:tc>
        <w:tc>
          <w:tcPr>
            <w:tcW w:type="dxa" w:w="2232"/>
            <w:vAlign w:val="top"/>
          </w:tcPr>
          <w:p>
            <w:pPr>
              <w:spacing w:after="0"/>
            </w:pPr>
            <w:r>
              <w:rPr>
                <w:sz w:val="14"/>
              </w:rPr>
              <w:t>An Automated Deep Learning-Based Framework for Uptake Segmentation and Classification on PSMA PET/CT Imaging of Patients with Prostate Cancer</w:t>
            </w:r>
          </w:p>
        </w:tc>
        <w:tc>
          <w:tcPr>
            <w:tcW w:type="dxa" w:w="2232"/>
            <w:vAlign w:val="top"/>
          </w:tcPr>
          <w:p>
            <w:pPr>
              <w:spacing w:after="0"/>
            </w:pPr>
            <w:r>
              <w:rPr>
                <w:sz w:val="14"/>
              </w:rPr>
              <w:t>externally tested uptake segmentation/classification</w:t>
            </w:r>
          </w:p>
        </w:tc>
        <w:tc>
          <w:tcPr>
            <w:tcW w:type="dxa" w:w="1195"/>
            <w:vAlign w:val="top"/>
          </w:tcPr>
          <w:p>
            <w:pPr>
              <w:spacing w:after="0"/>
            </w:pPr>
            <w:r>
              <w:rPr>
                <w:sz w:val="14"/>
              </w:rPr>
              <w:t>Internal/separate test cohort</w:t>
            </w:r>
          </w:p>
        </w:tc>
        <w:tc>
          <w:tcPr>
            <w:tcW w:type="dxa" w:w="1728"/>
            <w:vAlign w:val="top"/>
          </w:tcPr>
          <w:p>
            <w:pPr>
              <w:spacing w:after="0"/>
            </w:pPr>
            <w:r>
              <w:rPr>
                <w:sz w:val="14"/>
              </w:rPr>
              <w:t>Classification model was constructed with multi-modal decision fusion framework evaluated by accuracy, AUC, F1 score, precision, and recall.</w:t>
            </w:r>
          </w:p>
        </w:tc>
        <w:tc>
          <w:tcPr>
            <w:tcW w:type="dxa" w:w="1800"/>
            <w:vAlign w:val="top"/>
          </w:tcPr>
          <w:p>
            <w:pPr>
              <w:spacing w:after="0"/>
            </w:pPr>
            <w:r>
              <w:rPr>
                <w:sz w:val="14"/>
              </w:rPr>
              <w:t>Supports automated detection or interpretation, not occult patient-level pN1 prediction</w:t>
            </w:r>
          </w:p>
        </w:tc>
        <w:tc>
          <w:tcPr>
            <w:tcW w:type="dxa" w:w="1872"/>
            <w:vAlign w:val="top"/>
          </w:tcPr>
          <w:p>
            <w:pPr>
              <w:spacing w:after="0"/>
            </w:pPr>
            <w:r>
              <w:rPr>
                <w:sz w:val="14"/>
              </w:rPr>
              <w:t>Detection/surrogate reference standard; cannot establish ePLND omission safety</w:t>
            </w:r>
          </w:p>
        </w:tc>
      </w:tr>
      <w:tr>
        <w:trPr>
          <w:cantSplit/>
        </w:trPr>
        <w:tc>
          <w:tcPr>
            <w:tcW w:type="dxa" w:w="1699"/>
            <w:vAlign w:val="top"/>
          </w:tcPr>
          <w:p>
            <w:pPr>
              <w:spacing w:after="0"/>
            </w:pPr>
            <w:r>
              <w:rPr>
                <w:sz w:val="14"/>
              </w:rPr>
              <w:t>PET DETECTION/SURROGATE (indirect) | Huang B. 2024 [84]</w:t>
            </w:r>
          </w:p>
        </w:tc>
        <w:tc>
          <w:tcPr>
            <w:tcW w:type="dxa" w:w="1728"/>
            <w:vAlign w:val="top"/>
          </w:tcPr>
          <w:p>
            <w:pPr>
              <w:spacing w:after="0"/>
            </w:pPr>
            <w:r>
              <w:rPr>
                <w:sz w:val="14"/>
              </w:rPr>
              <w:t>Original study | n=78</w:t>
            </w:r>
          </w:p>
        </w:tc>
        <w:tc>
          <w:tcPr>
            <w:tcW w:type="dxa" w:w="2232"/>
            <w:vAlign w:val="top"/>
          </w:tcPr>
          <w:p>
            <w:pPr>
              <w:spacing w:after="0"/>
            </w:pPr>
            <w:r>
              <w:rPr>
                <w:sz w:val="14"/>
              </w:rPr>
              <w:t>Deep learning–based whole-body characterization of prostate cancer lesions on [68Ga]Ga-PSMA-11 PET/CT in patients with post-prostatectomy recurr…</w:t>
            </w:r>
          </w:p>
        </w:tc>
        <w:tc>
          <w:tcPr>
            <w:tcW w:type="dxa" w:w="2232"/>
            <w:vAlign w:val="top"/>
          </w:tcPr>
          <w:p>
            <w:pPr>
              <w:spacing w:after="0"/>
            </w:pPr>
            <w:r>
              <w:rPr>
                <w:sz w:val="14"/>
              </w:rPr>
              <w:t>post-prostatectomy whole-body lesion detection</w:t>
            </w:r>
          </w:p>
        </w:tc>
        <w:tc>
          <w:tcPr>
            <w:tcW w:type="dxa" w:w="1195"/>
            <w:vAlign w:val="top"/>
          </w:tcPr>
          <w:p>
            <w:pPr>
              <w:spacing w:after="0"/>
            </w:pPr>
            <w:r>
              <w:rPr>
                <w:sz w:val="14"/>
              </w:rPr>
              <w:t>Internal/separate test cohort</w:t>
            </w:r>
          </w:p>
        </w:tc>
        <w:tc>
          <w:tcPr>
            <w:tcW w:type="dxa" w:w="1728"/>
            <w:vAlign w:val="top"/>
          </w:tcPr>
          <w:p>
            <w:pPr>
              <w:spacing w:after="0"/>
            </w:pPr>
            <w:r>
              <w:rPr>
                <w:sz w:val="14"/>
              </w:rPr>
              <w:t>NR</w:t>
            </w:r>
          </w:p>
        </w:tc>
        <w:tc>
          <w:tcPr>
            <w:tcW w:type="dxa" w:w="1800"/>
            <w:vAlign w:val="top"/>
          </w:tcPr>
          <w:p>
            <w:pPr>
              <w:spacing w:after="0"/>
            </w:pPr>
            <w:r>
              <w:rPr>
                <w:sz w:val="14"/>
              </w:rPr>
              <w:t>Supports automated detection or interpretation, not occult patient-level pN1 prediction</w:t>
            </w:r>
          </w:p>
        </w:tc>
        <w:tc>
          <w:tcPr>
            <w:tcW w:type="dxa" w:w="1872"/>
            <w:vAlign w:val="top"/>
          </w:tcPr>
          <w:p>
            <w:pPr>
              <w:spacing w:after="0"/>
            </w:pPr>
            <w:r>
              <w:rPr>
                <w:sz w:val="14"/>
              </w:rPr>
              <w:t>Detection/surrogate reference standard; cannot establish ePLND omission safety</w:t>
            </w:r>
          </w:p>
        </w:tc>
      </w:tr>
      <w:tr>
        <w:trPr>
          <w:cantSplit/>
        </w:trPr>
        <w:tc>
          <w:tcPr>
            <w:tcW w:type="dxa" w:w="1699"/>
            <w:vAlign w:val="top"/>
          </w:tcPr>
          <w:p>
            <w:pPr>
              <w:spacing w:after="0"/>
            </w:pPr>
            <w:r>
              <w:rPr>
                <w:sz w:val="14"/>
              </w:rPr>
              <w:t>PET DETECTION/SURROGATE (indirect) | Trägårdh E. 2024 [85]</w:t>
            </w:r>
          </w:p>
        </w:tc>
        <w:tc>
          <w:tcPr>
            <w:tcW w:type="dxa" w:w="1728"/>
            <w:vAlign w:val="top"/>
          </w:tcPr>
          <w:p>
            <w:pPr>
              <w:spacing w:after="0"/>
            </w:pPr>
            <w:r>
              <w:rPr>
                <w:sz w:val="14"/>
              </w:rPr>
              <w:t>Original study | n=420</w:t>
            </w:r>
          </w:p>
        </w:tc>
        <w:tc>
          <w:tcPr>
            <w:tcW w:type="dxa" w:w="2232"/>
            <w:vAlign w:val="top"/>
          </w:tcPr>
          <w:p>
            <w:pPr>
              <w:spacing w:after="0"/>
            </w:pPr>
            <w:r>
              <w:rPr>
                <w:sz w:val="14"/>
              </w:rPr>
              <w:t>Improving sensitivity through data augmentation with synthetic lymph node metastases for AI-based analysis of PSMA PET-CT images</w:t>
            </w:r>
          </w:p>
        </w:tc>
        <w:tc>
          <w:tcPr>
            <w:tcW w:type="dxa" w:w="2232"/>
            <w:vAlign w:val="top"/>
          </w:tcPr>
          <w:p>
            <w:pPr>
              <w:spacing w:after="0"/>
            </w:pPr>
            <w:r>
              <w:rPr>
                <w:sz w:val="14"/>
              </w:rPr>
              <w:t>synthetic-data update of nodal lesion detector</w:t>
            </w:r>
          </w:p>
        </w:tc>
        <w:tc>
          <w:tcPr>
            <w:tcW w:type="dxa" w:w="1195"/>
            <w:vAlign w:val="top"/>
          </w:tcPr>
          <w:p>
            <w:pPr>
              <w:spacing w:after="0"/>
            </w:pPr>
            <w:r>
              <w:rPr>
                <w:sz w:val="14"/>
              </w:rPr>
              <w:t>Apparent or internal; details NR in abstract</w:t>
            </w:r>
          </w:p>
        </w:tc>
        <w:tc>
          <w:tcPr>
            <w:tcW w:type="dxa" w:w="1728"/>
            <w:vAlign w:val="top"/>
          </w:tcPr>
          <w:p>
            <w:pPr>
              <w:spacing w:after="0"/>
            </w:pPr>
            <w:r>
              <w:rPr>
                <w:sz w:val="14"/>
              </w:rPr>
              <w:t>Results: The new AI model had an average sensitivity of 84% for detecting lymph node metastases compared with 78% for human readings.</w:t>
            </w:r>
          </w:p>
        </w:tc>
        <w:tc>
          <w:tcPr>
            <w:tcW w:type="dxa" w:w="1800"/>
            <w:vAlign w:val="top"/>
          </w:tcPr>
          <w:p>
            <w:pPr>
              <w:spacing w:after="0"/>
            </w:pPr>
            <w:r>
              <w:rPr>
                <w:sz w:val="14"/>
              </w:rPr>
              <w:t>Supports automated detection or interpretation, not occult patient-level pN1 prediction</w:t>
            </w:r>
          </w:p>
        </w:tc>
        <w:tc>
          <w:tcPr>
            <w:tcW w:type="dxa" w:w="1872"/>
            <w:vAlign w:val="top"/>
          </w:tcPr>
          <w:p>
            <w:pPr>
              <w:spacing w:after="0"/>
            </w:pPr>
            <w:r>
              <w:rPr>
                <w:sz w:val="14"/>
              </w:rPr>
              <w:t>Detection/surrogate reference standard; cannot establish ePLND omission safety</w:t>
            </w:r>
          </w:p>
        </w:tc>
      </w:tr>
      <w:tr>
        <w:trPr>
          <w:cantSplit/>
        </w:trPr>
        <w:tc>
          <w:tcPr>
            <w:tcW w:type="dxa" w:w="1699"/>
            <w:vAlign w:val="top"/>
          </w:tcPr>
          <w:p>
            <w:pPr>
              <w:spacing w:after="0"/>
            </w:pPr>
            <w:r>
              <w:rPr>
                <w:sz w:val="14"/>
              </w:rPr>
              <w:t>PET DETECTION/SURROGATE (indirect) | Johnsson K. 2022 [86]</w:t>
            </w:r>
          </w:p>
        </w:tc>
        <w:tc>
          <w:tcPr>
            <w:tcW w:type="dxa" w:w="1728"/>
            <w:vAlign w:val="top"/>
          </w:tcPr>
          <w:p>
            <w:pPr>
              <w:spacing w:after="0"/>
            </w:pPr>
            <w:r>
              <w:rPr>
                <w:sz w:val="14"/>
              </w:rPr>
              <w:t>Original study | n=NR</w:t>
            </w:r>
          </w:p>
        </w:tc>
        <w:tc>
          <w:tcPr>
            <w:tcW w:type="dxa" w:w="2232"/>
            <w:vAlign w:val="top"/>
          </w:tcPr>
          <w:p>
            <w:pPr>
              <w:spacing w:after="0"/>
            </w:pPr>
            <w:r>
              <w:rPr>
                <w:sz w:val="14"/>
              </w:rPr>
              <w:t>Analytical performance of aPROMISE: automated anatomic contextualization, detection, and quantification of [18F]DCFPyL (PSMA) imaging for standa…</w:t>
            </w:r>
          </w:p>
        </w:tc>
        <w:tc>
          <w:tcPr>
            <w:tcW w:type="dxa" w:w="2232"/>
            <w:vAlign w:val="top"/>
          </w:tcPr>
          <w:p>
            <w:pPr>
              <w:spacing w:after="0"/>
            </w:pPr>
            <w:r>
              <w:rPr>
                <w:sz w:val="14"/>
              </w:rPr>
              <w:t>aPROMISE analytical validation</w:t>
            </w:r>
          </w:p>
        </w:tc>
        <w:tc>
          <w:tcPr>
            <w:tcW w:type="dxa" w:w="1195"/>
            <w:vAlign w:val="top"/>
          </w:tcPr>
          <w:p>
            <w:pPr>
              <w:spacing w:after="0"/>
            </w:pPr>
            <w:r>
              <w:rPr>
                <w:sz w:val="14"/>
              </w:rPr>
              <w:t>Apparent or internal; details NR in abstract</w:t>
            </w:r>
          </w:p>
        </w:tc>
        <w:tc>
          <w:tcPr>
            <w:tcW w:type="dxa" w:w="1728"/>
            <w:vAlign w:val="top"/>
          </w:tcPr>
          <w:p>
            <w:pPr>
              <w:spacing w:after="0"/>
            </w:pPr>
            <w:r>
              <w:rPr>
                <w:sz w:val="14"/>
              </w:rPr>
              <w:t>The sensitivity of detection and pre-segmentation of potential lesions was evaluated by determining the percent of manually selected abnormal lesions that were automatically detected by aPROMISE.</w:t>
            </w:r>
          </w:p>
        </w:tc>
        <w:tc>
          <w:tcPr>
            <w:tcW w:type="dxa" w:w="1800"/>
            <w:vAlign w:val="top"/>
          </w:tcPr>
          <w:p>
            <w:pPr>
              <w:spacing w:after="0"/>
            </w:pPr>
            <w:r>
              <w:rPr>
                <w:sz w:val="14"/>
              </w:rPr>
              <w:t>Supports automated detection or interpretation, not occult patient-level pN1 prediction</w:t>
            </w:r>
          </w:p>
        </w:tc>
        <w:tc>
          <w:tcPr>
            <w:tcW w:type="dxa" w:w="1872"/>
            <w:vAlign w:val="top"/>
          </w:tcPr>
          <w:p>
            <w:pPr>
              <w:spacing w:after="0"/>
            </w:pPr>
            <w:r>
              <w:rPr>
                <w:sz w:val="14"/>
              </w:rPr>
              <w:t>Detection/surrogate reference standard; cannot establish ePLND omission safety</w:t>
            </w:r>
          </w:p>
        </w:tc>
      </w:tr>
      <w:tr>
        <w:trPr>
          <w:cantSplit/>
        </w:trPr>
        <w:tc>
          <w:tcPr>
            <w:tcW w:type="dxa" w:w="1699"/>
            <w:vAlign w:val="top"/>
          </w:tcPr>
          <w:p>
            <w:pPr>
              <w:spacing w:after="0"/>
            </w:pPr>
            <w:r>
              <w:rPr>
                <w:sz w:val="14"/>
              </w:rPr>
              <w:t>PET DETECTION/SURROGATE (indirect) | Hinzpeter R. 2022 [87]</w:t>
            </w:r>
          </w:p>
        </w:tc>
        <w:tc>
          <w:tcPr>
            <w:tcW w:type="dxa" w:w="1728"/>
            <w:vAlign w:val="top"/>
          </w:tcPr>
          <w:p>
            <w:pPr>
              <w:spacing w:after="0"/>
            </w:pPr>
            <w:r>
              <w:rPr>
                <w:sz w:val="14"/>
              </w:rPr>
              <w:t>Original study | n=205</w:t>
            </w:r>
          </w:p>
        </w:tc>
        <w:tc>
          <w:tcPr>
            <w:tcW w:type="dxa" w:w="2232"/>
            <w:vAlign w:val="top"/>
          </w:tcPr>
          <w:p>
            <w:pPr>
              <w:spacing w:after="0"/>
            </w:pPr>
            <w:r>
              <w:rPr>
                <w:sz w:val="14"/>
              </w:rPr>
              <w:t>Radiomics for detecting prostate cancer bone metastases invisible in CT: a proof-of-concept study</w:t>
            </w:r>
          </w:p>
        </w:tc>
        <w:tc>
          <w:tcPr>
            <w:tcW w:type="dxa" w:w="2232"/>
            <w:vAlign w:val="top"/>
          </w:tcPr>
          <w:p>
            <w:pPr>
              <w:spacing w:after="0"/>
            </w:pPr>
            <w:r>
              <w:rPr>
                <w:sz w:val="14"/>
              </w:rPr>
              <w:t>CT radiomics using PSMA-positive bone lesions as labels</w:t>
            </w:r>
          </w:p>
        </w:tc>
        <w:tc>
          <w:tcPr>
            <w:tcW w:type="dxa" w:w="1195"/>
            <w:vAlign w:val="top"/>
          </w:tcPr>
          <w:p>
            <w:pPr>
              <w:spacing w:after="0"/>
            </w:pPr>
            <w:r>
              <w:rPr>
                <w:sz w:val="14"/>
              </w:rPr>
              <w:t>Apparent or internal; details NR in abstract</w:t>
            </w:r>
          </w:p>
        </w:tc>
        <w:tc>
          <w:tcPr>
            <w:tcW w:type="dxa" w:w="1728"/>
            <w:vAlign w:val="top"/>
          </w:tcPr>
          <w:p>
            <w:pPr>
              <w:spacing w:after="0"/>
            </w:pPr>
            <w:r>
              <w:rPr>
                <w:sz w:val="14"/>
              </w:rPr>
              <w:t>This trained model achieved a classification accuracy of 0.85 (95% confidence interval [CI]: 0.76–0.92, p &lt;.001) with 78% sensitivity and 93% specificity.</w:t>
            </w:r>
          </w:p>
        </w:tc>
        <w:tc>
          <w:tcPr>
            <w:tcW w:type="dxa" w:w="1800"/>
            <w:vAlign w:val="top"/>
          </w:tcPr>
          <w:p>
            <w:pPr>
              <w:spacing w:after="0"/>
            </w:pPr>
            <w:r>
              <w:rPr>
                <w:sz w:val="14"/>
              </w:rPr>
              <w:t>Supports automated detection or interpretation, not occult patient-level pN1 prediction</w:t>
            </w:r>
          </w:p>
        </w:tc>
        <w:tc>
          <w:tcPr>
            <w:tcW w:type="dxa" w:w="1872"/>
            <w:vAlign w:val="top"/>
          </w:tcPr>
          <w:p>
            <w:pPr>
              <w:spacing w:after="0"/>
            </w:pPr>
            <w:r>
              <w:rPr>
                <w:sz w:val="14"/>
              </w:rPr>
              <w:t>Detection/surrogate reference standard; cannot establish ePLND omission safety</w:t>
            </w:r>
          </w:p>
        </w:tc>
      </w:tr>
      <w:tr>
        <w:trPr>
          <w:cantSplit/>
        </w:trPr>
        <w:tc>
          <w:tcPr>
            <w:tcW w:type="dxa" w:w="1699"/>
            <w:vAlign w:val="top"/>
          </w:tcPr>
          <w:p>
            <w:pPr>
              <w:spacing w:after="0"/>
            </w:pPr>
            <w:r>
              <w:rPr>
                <w:sz w:val="14"/>
              </w:rPr>
              <w:t>PROGNOSTIC (indirect) | Yousefirizi F. 2026 [88]</w:t>
            </w:r>
          </w:p>
        </w:tc>
        <w:tc>
          <w:tcPr>
            <w:tcW w:type="dxa" w:w="1728"/>
            <w:vAlign w:val="top"/>
          </w:tcPr>
          <w:p>
            <w:pPr>
              <w:spacing w:after="0"/>
            </w:pPr>
            <w:r>
              <w:rPr>
                <w:sz w:val="14"/>
              </w:rPr>
              <w:t>Original study | n=NR</w:t>
            </w:r>
          </w:p>
        </w:tc>
        <w:tc>
          <w:tcPr>
            <w:tcW w:type="dxa" w:w="2232"/>
            <w:vAlign w:val="top"/>
          </w:tcPr>
          <w:p>
            <w:pPr>
              <w:spacing w:after="0"/>
            </w:pPr>
            <w:r>
              <w:rPr>
                <w:sz w:val="14"/>
              </w:rPr>
              <w:t>Beyond the tumor: recurrence-prone radiomics for prognostication in negative PSMA PET/CT scans of prostate cancer</w:t>
            </w:r>
          </w:p>
        </w:tc>
        <w:tc>
          <w:tcPr>
            <w:tcW w:type="dxa" w:w="2232"/>
            <w:vAlign w:val="top"/>
          </w:tcPr>
          <w:p>
            <w:pPr>
              <w:spacing w:after="0"/>
            </w:pPr>
            <w:r>
              <w:rPr>
                <w:sz w:val="14"/>
              </w:rPr>
              <w:t>progression after negative PSMA PET in biochemical recurrence</w:t>
            </w:r>
          </w:p>
        </w:tc>
        <w:tc>
          <w:tcPr>
            <w:tcW w:type="dxa" w:w="1195"/>
            <w:vAlign w:val="top"/>
          </w:tcPr>
          <w:p>
            <w:pPr>
              <w:spacing w:after="0"/>
            </w:pPr>
            <w:r>
              <w:rPr>
                <w:sz w:val="14"/>
              </w:rPr>
              <w:t>External validation reported</w:t>
            </w:r>
          </w:p>
        </w:tc>
        <w:tc>
          <w:tcPr>
            <w:tcW w:type="dxa" w:w="1728"/>
            <w:vAlign w:val="top"/>
          </w:tcPr>
          <w:p>
            <w:pPr>
              <w:spacing w:after="0"/>
            </w:pPr>
            <w:r>
              <w:rPr>
                <w:sz w:val="14"/>
              </w:rPr>
              <w:t>Predictive performance was strongly influenced by diagnostic certainty, with moderate-certainty negative scans showing higher accuracy than high-certainty negative scans.</w:t>
            </w:r>
          </w:p>
        </w:tc>
        <w:tc>
          <w:tcPr>
            <w:tcW w:type="dxa" w:w="1800"/>
            <w:vAlign w:val="top"/>
          </w:tcPr>
          <w:p>
            <w:pPr>
              <w:spacing w:after="0"/>
            </w:pPr>
            <w:r>
              <w:rPr>
                <w:sz w:val="14"/>
              </w:rPr>
              <w:t>Prognostic stratification after or around curative treatment</w:t>
            </w:r>
          </w:p>
        </w:tc>
        <w:tc>
          <w:tcPr>
            <w:tcW w:type="dxa" w:w="1872"/>
            <w:vAlign w:val="top"/>
          </w:tcPr>
          <w:p>
            <w:pPr>
              <w:spacing w:after="0"/>
            </w:pPr>
            <w:r>
              <w:rPr>
                <w:sz w:val="14"/>
              </w:rPr>
              <w:t>Prognosis is not the immediate patient-level histological pN1 decision</w:t>
            </w:r>
          </w:p>
        </w:tc>
      </w:tr>
      <w:tr>
        <w:trPr>
          <w:cantSplit/>
        </w:trPr>
        <w:tc>
          <w:tcPr>
            <w:tcW w:type="dxa" w:w="1699"/>
            <w:vAlign w:val="top"/>
          </w:tcPr>
          <w:p>
            <w:pPr>
              <w:spacing w:after="0"/>
            </w:pPr>
            <w:r>
              <w:rPr>
                <w:sz w:val="14"/>
              </w:rPr>
              <w:t>PROGNOSTIC (indirect) | Bozorgpana S. 2026 [89]</w:t>
            </w:r>
          </w:p>
        </w:tc>
        <w:tc>
          <w:tcPr>
            <w:tcW w:type="dxa" w:w="1728"/>
            <w:vAlign w:val="top"/>
          </w:tcPr>
          <w:p>
            <w:pPr>
              <w:spacing w:after="0"/>
            </w:pPr>
            <w:r>
              <w:rPr>
                <w:sz w:val="14"/>
              </w:rPr>
              <w:t>Original study | n=153</w:t>
            </w:r>
          </w:p>
        </w:tc>
        <w:tc>
          <w:tcPr>
            <w:tcW w:type="dxa" w:w="2232"/>
            <w:vAlign w:val="top"/>
          </w:tcPr>
          <w:p>
            <w:pPr>
              <w:spacing w:after="0"/>
            </w:pPr>
            <w:r>
              <w:rPr>
                <w:sz w:val="14"/>
              </w:rPr>
              <w:t>Integrating biparametric MRI radiomics with clinical variables improves pre-treatment prediction of prostate cancer recurrence</w:t>
            </w:r>
          </w:p>
        </w:tc>
        <w:tc>
          <w:tcPr>
            <w:tcW w:type="dxa" w:w="2232"/>
            <w:vAlign w:val="top"/>
          </w:tcPr>
          <w:p>
            <w:pPr>
              <w:spacing w:after="0"/>
            </w:pPr>
            <w:r>
              <w:rPr>
                <w:sz w:val="14"/>
              </w:rPr>
              <w:t>bpMRI radiomics for BCR after radical prostatectomy</w:t>
            </w:r>
          </w:p>
        </w:tc>
        <w:tc>
          <w:tcPr>
            <w:tcW w:type="dxa" w:w="1195"/>
            <w:vAlign w:val="top"/>
          </w:tcPr>
          <w:p>
            <w:pPr>
              <w:spacing w:after="0"/>
            </w:pPr>
            <w:r>
              <w:rPr>
                <w:sz w:val="14"/>
              </w:rPr>
              <w:t>External validation reported</w:t>
            </w:r>
          </w:p>
        </w:tc>
        <w:tc>
          <w:tcPr>
            <w:tcW w:type="dxa" w:w="1728"/>
            <w:vAlign w:val="top"/>
          </w:tcPr>
          <w:p>
            <w:pPr>
              <w:spacing w:after="0"/>
            </w:pPr>
            <w:r>
              <w:rPr>
                <w:sz w:val="14"/>
              </w:rPr>
              <w:t>Performance was evaluated using AUC, calibration, and decision-curve analysis (DCA).</w:t>
            </w:r>
          </w:p>
        </w:tc>
        <w:tc>
          <w:tcPr>
            <w:tcW w:type="dxa" w:w="1800"/>
            <w:vAlign w:val="top"/>
          </w:tcPr>
          <w:p>
            <w:pPr>
              <w:spacing w:after="0"/>
            </w:pPr>
            <w:r>
              <w:rPr>
                <w:sz w:val="14"/>
              </w:rPr>
              <w:t>Prognostic stratification after or around curative treatment</w:t>
            </w:r>
          </w:p>
        </w:tc>
        <w:tc>
          <w:tcPr>
            <w:tcW w:type="dxa" w:w="1872"/>
            <w:vAlign w:val="top"/>
          </w:tcPr>
          <w:p>
            <w:pPr>
              <w:spacing w:after="0"/>
            </w:pPr>
            <w:r>
              <w:rPr>
                <w:sz w:val="14"/>
              </w:rPr>
              <w:t>Prognosis is not the immediate patient-level histological pN1 decision</w:t>
            </w:r>
          </w:p>
        </w:tc>
      </w:tr>
      <w:tr>
        <w:trPr>
          <w:cantSplit/>
        </w:trPr>
        <w:tc>
          <w:tcPr>
            <w:tcW w:type="dxa" w:w="1699"/>
            <w:vAlign w:val="top"/>
          </w:tcPr>
          <w:p>
            <w:pPr>
              <w:spacing w:after="0"/>
            </w:pPr>
            <w:r>
              <w:rPr>
                <w:sz w:val="14"/>
              </w:rPr>
              <w:t>PROGNOSTIC (indirect) | Simon B.D. 2025 [90]</w:t>
            </w:r>
          </w:p>
        </w:tc>
        <w:tc>
          <w:tcPr>
            <w:tcW w:type="dxa" w:w="1728"/>
            <w:vAlign w:val="top"/>
          </w:tcPr>
          <w:p>
            <w:pPr>
              <w:spacing w:after="0"/>
            </w:pPr>
            <w:r>
              <w:rPr>
                <w:sz w:val="14"/>
              </w:rPr>
              <w:t>Original study | n=311</w:t>
            </w:r>
          </w:p>
        </w:tc>
        <w:tc>
          <w:tcPr>
            <w:tcW w:type="dxa" w:w="2232"/>
            <w:vAlign w:val="top"/>
          </w:tcPr>
          <w:p>
            <w:pPr>
              <w:spacing w:after="0"/>
            </w:pPr>
            <w:r>
              <w:rPr>
                <w:sz w:val="14"/>
              </w:rPr>
              <w:t>A multimodal automated deep learning-based model for predicting biochemical recurrence of prostate cancer following prostatectomy from baseline…</w:t>
            </w:r>
          </w:p>
        </w:tc>
        <w:tc>
          <w:tcPr>
            <w:tcW w:type="dxa" w:w="2232"/>
            <w:vAlign w:val="top"/>
          </w:tcPr>
          <w:p>
            <w:pPr>
              <w:spacing w:after="0"/>
            </w:pPr>
            <w:r>
              <w:rPr>
                <w:sz w:val="14"/>
              </w:rPr>
              <w:t>multimodal MRI/clinical model for BCR after prostatectomy</w:t>
            </w:r>
          </w:p>
        </w:tc>
        <w:tc>
          <w:tcPr>
            <w:tcW w:type="dxa" w:w="1195"/>
            <w:vAlign w:val="top"/>
          </w:tcPr>
          <w:p>
            <w:pPr>
              <w:spacing w:after="0"/>
            </w:pPr>
            <w:r>
              <w:rPr>
                <w:sz w:val="14"/>
              </w:rPr>
              <w:t>Internal/separate test cohort</w:t>
            </w:r>
          </w:p>
        </w:tc>
        <w:tc>
          <w:tcPr>
            <w:tcW w:type="dxa" w:w="1728"/>
            <w:vAlign w:val="top"/>
          </w:tcPr>
          <w:p>
            <w:pPr>
              <w:spacing w:after="0"/>
            </w:pPr>
            <w:r>
              <w:rPr>
                <w:sz w:val="14"/>
              </w:rPr>
              <w:t>This model had the highest sensitivity at 75 %, with CAPRA-S at 37 %.</w:t>
            </w:r>
          </w:p>
        </w:tc>
        <w:tc>
          <w:tcPr>
            <w:tcW w:type="dxa" w:w="1800"/>
            <w:vAlign w:val="top"/>
          </w:tcPr>
          <w:p>
            <w:pPr>
              <w:spacing w:after="0"/>
            </w:pPr>
            <w:r>
              <w:rPr>
                <w:sz w:val="14"/>
              </w:rPr>
              <w:t>Prognostic stratification after or around curative treatment</w:t>
            </w:r>
          </w:p>
        </w:tc>
        <w:tc>
          <w:tcPr>
            <w:tcW w:type="dxa" w:w="1872"/>
            <w:vAlign w:val="top"/>
          </w:tcPr>
          <w:p>
            <w:pPr>
              <w:spacing w:after="0"/>
            </w:pPr>
            <w:r>
              <w:rPr>
                <w:sz w:val="14"/>
              </w:rPr>
              <w:t>Prognosis is not the immediate patient-level histological pN1 decision</w:t>
            </w:r>
          </w:p>
        </w:tc>
      </w:tr>
      <w:tr>
        <w:trPr>
          <w:cantSplit/>
        </w:trPr>
        <w:tc>
          <w:tcPr>
            <w:tcW w:type="dxa" w:w="1699"/>
            <w:vAlign w:val="top"/>
          </w:tcPr>
          <w:p>
            <w:pPr>
              <w:spacing w:after="0"/>
            </w:pPr>
            <w:r>
              <w:rPr>
                <w:sz w:val="14"/>
              </w:rPr>
              <w:t>PROGNOSTIC (indirect) | Niu X. 2025 [91]</w:t>
            </w:r>
          </w:p>
        </w:tc>
        <w:tc>
          <w:tcPr>
            <w:tcW w:type="dxa" w:w="1728"/>
            <w:vAlign w:val="top"/>
          </w:tcPr>
          <w:p>
            <w:pPr>
              <w:spacing w:after="0"/>
            </w:pPr>
            <w:r>
              <w:rPr>
                <w:sz w:val="14"/>
              </w:rPr>
              <w:t>Original study | n=349</w:t>
            </w:r>
          </w:p>
        </w:tc>
        <w:tc>
          <w:tcPr>
            <w:tcW w:type="dxa" w:w="2232"/>
            <w:vAlign w:val="top"/>
          </w:tcPr>
          <w:p>
            <w:pPr>
              <w:spacing w:after="0"/>
            </w:pPr>
            <w:r>
              <w:rPr>
                <w:sz w:val="14"/>
              </w:rPr>
              <w:t>DWI-based Biologically Interpretable Radiomic Nomogram for Predicting 1-year Biochemical Recurrence after Radical Prostatectomy: A Deep Learning…</w:t>
            </w:r>
          </w:p>
        </w:tc>
        <w:tc>
          <w:tcPr>
            <w:tcW w:type="dxa" w:w="2232"/>
            <w:vAlign w:val="top"/>
          </w:tcPr>
          <w:p>
            <w:pPr>
              <w:spacing w:after="0"/>
            </w:pPr>
            <w:r>
              <w:rPr>
                <w:sz w:val="14"/>
              </w:rPr>
              <w:t>DWI deep-radiomic nomogram for BCR after prostatectomy</w:t>
            </w:r>
          </w:p>
        </w:tc>
        <w:tc>
          <w:tcPr>
            <w:tcW w:type="dxa" w:w="1195"/>
            <w:vAlign w:val="top"/>
          </w:tcPr>
          <w:p>
            <w:pPr>
              <w:spacing w:after="0"/>
            </w:pPr>
            <w:r>
              <w:rPr>
                <w:sz w:val="14"/>
              </w:rPr>
              <w:t>Multicentre; validation design as reported</w:t>
            </w:r>
          </w:p>
        </w:tc>
        <w:tc>
          <w:tcPr>
            <w:tcW w:type="dxa" w:w="1728"/>
            <w:vAlign w:val="top"/>
          </w:tcPr>
          <w:p>
            <w:pPr>
              <w:spacing w:after="0"/>
            </w:pPr>
            <w:r>
              <w:rPr>
                <w:sz w:val="14"/>
              </w:rPr>
              <w:t>Results: In the development cohort, the clinical-radiomic nomogram had an AUC of 0.892 (95% confidence interval: 0.783--0.939), which was considerably greater than those of the radiomic signature and clinical…</w:t>
            </w:r>
          </w:p>
        </w:tc>
        <w:tc>
          <w:tcPr>
            <w:tcW w:type="dxa" w:w="1800"/>
            <w:vAlign w:val="top"/>
          </w:tcPr>
          <w:p>
            <w:pPr>
              <w:spacing w:after="0"/>
            </w:pPr>
            <w:r>
              <w:rPr>
                <w:sz w:val="14"/>
              </w:rPr>
              <w:t>Prognostic stratification after or around curative treatment</w:t>
            </w:r>
          </w:p>
        </w:tc>
        <w:tc>
          <w:tcPr>
            <w:tcW w:type="dxa" w:w="1872"/>
            <w:vAlign w:val="top"/>
          </w:tcPr>
          <w:p>
            <w:pPr>
              <w:spacing w:after="0"/>
            </w:pPr>
            <w:r>
              <w:rPr>
                <w:sz w:val="14"/>
              </w:rPr>
              <w:t>Prognosis is not the immediate patient-level histological pN1 decision</w:t>
            </w:r>
          </w:p>
        </w:tc>
      </w:tr>
      <w:tr>
        <w:trPr>
          <w:cantSplit/>
        </w:trPr>
        <w:tc>
          <w:tcPr>
            <w:tcW w:type="dxa" w:w="1699"/>
            <w:vAlign w:val="top"/>
          </w:tcPr>
          <w:p>
            <w:pPr>
              <w:spacing w:after="0"/>
            </w:pPr>
            <w:r>
              <w:rPr>
                <w:sz w:val="14"/>
              </w:rPr>
              <w:t>PROGNOSTIC (indirect) | Yang D.D. 2024 [92]</w:t>
            </w:r>
          </w:p>
        </w:tc>
        <w:tc>
          <w:tcPr>
            <w:tcW w:type="dxa" w:w="1728"/>
            <w:vAlign w:val="top"/>
          </w:tcPr>
          <w:p>
            <w:pPr>
              <w:spacing w:after="0"/>
            </w:pPr>
            <w:r>
              <w:rPr>
                <w:sz w:val="14"/>
              </w:rPr>
              <w:t>Original study | n=NR</w:t>
            </w:r>
          </w:p>
        </w:tc>
        <w:tc>
          <w:tcPr>
            <w:tcW w:type="dxa" w:w="2232"/>
            <w:vAlign w:val="top"/>
          </w:tcPr>
          <w:p>
            <w:pPr>
              <w:spacing w:after="0"/>
            </w:pPr>
            <w:r>
              <w:rPr>
                <w:sz w:val="14"/>
              </w:rPr>
              <w:t>AI-derived Tumor Volume from Multiparametric MRI and Outcomes in Localized Prostate Cancer</w:t>
            </w:r>
          </w:p>
        </w:tc>
        <w:tc>
          <w:tcPr>
            <w:tcW w:type="dxa" w:w="2232"/>
            <w:vAlign w:val="top"/>
          </w:tcPr>
          <w:p>
            <w:pPr>
              <w:spacing w:after="0"/>
            </w:pPr>
            <w:r>
              <w:rPr>
                <w:sz w:val="14"/>
              </w:rPr>
              <w:t>AI-derived MRI tumour volume and metastatic outcome</w:t>
            </w:r>
          </w:p>
        </w:tc>
        <w:tc>
          <w:tcPr>
            <w:tcW w:type="dxa" w:w="1195"/>
            <w:vAlign w:val="top"/>
          </w:tcPr>
          <w:p>
            <w:pPr>
              <w:spacing w:after="0"/>
            </w:pPr>
            <w:r>
              <w:rPr>
                <w:sz w:val="14"/>
              </w:rPr>
              <w:t>Apparent or internal; details NR in abstract</w:t>
            </w:r>
          </w:p>
        </w:tc>
        <w:tc>
          <w:tcPr>
            <w:tcW w:type="dxa" w:w="1728"/>
            <w:vAlign w:val="top"/>
          </w:tcPr>
          <w:p>
            <w:pPr>
              <w:spacing w:after="0"/>
            </w:pPr>
            <w:r>
              <w:rPr>
                <w:sz w:val="14"/>
              </w:rPr>
              <w:t>Areas under the receiver operating characteristic curve (AUCs) were calculated for VAI and National Comprehensive Cancer Network (NCCN) risk categorization for prediction of 5-year metastasis (RP group) and 7-…</w:t>
            </w:r>
          </w:p>
        </w:tc>
        <w:tc>
          <w:tcPr>
            <w:tcW w:type="dxa" w:w="1800"/>
            <w:vAlign w:val="top"/>
          </w:tcPr>
          <w:p>
            <w:pPr>
              <w:spacing w:after="0"/>
            </w:pPr>
            <w:r>
              <w:rPr>
                <w:sz w:val="14"/>
              </w:rPr>
              <w:t>Prognostic stratification after or around curative treatment</w:t>
            </w:r>
          </w:p>
        </w:tc>
        <w:tc>
          <w:tcPr>
            <w:tcW w:type="dxa" w:w="1872"/>
            <w:vAlign w:val="top"/>
          </w:tcPr>
          <w:p>
            <w:pPr>
              <w:spacing w:after="0"/>
            </w:pPr>
            <w:r>
              <w:rPr>
                <w:sz w:val="14"/>
              </w:rPr>
              <w:t>Prognosis is not the immediate patient-level histological pN1 decision</w:t>
            </w:r>
          </w:p>
        </w:tc>
      </w:tr>
      <w:tr>
        <w:trPr>
          <w:cantSplit/>
        </w:trPr>
        <w:tc>
          <w:tcPr>
            <w:tcW w:type="dxa" w:w="1699"/>
            <w:vAlign w:val="top"/>
          </w:tcPr>
          <w:p>
            <w:pPr>
              <w:spacing w:after="0"/>
            </w:pPr>
            <w:r>
              <w:rPr>
                <w:sz w:val="14"/>
              </w:rPr>
              <w:t>PROGNOSTIC (indirect) | Liu W. 2024 [93]</w:t>
            </w:r>
          </w:p>
        </w:tc>
        <w:tc>
          <w:tcPr>
            <w:tcW w:type="dxa" w:w="1728"/>
            <w:vAlign w:val="top"/>
          </w:tcPr>
          <w:p>
            <w:pPr>
              <w:spacing w:after="0"/>
            </w:pPr>
            <w:r>
              <w:rPr>
                <w:sz w:val="14"/>
              </w:rPr>
              <w:t>Original study | n=175</w:t>
            </w:r>
          </w:p>
        </w:tc>
        <w:tc>
          <w:tcPr>
            <w:tcW w:type="dxa" w:w="2232"/>
            <w:vAlign w:val="top"/>
          </w:tcPr>
          <w:p>
            <w:pPr>
              <w:spacing w:after="0"/>
            </w:pPr>
            <w:r>
              <w:rPr>
                <w:sz w:val="14"/>
              </w:rPr>
              <w:t>Biparametric magnetic resonance imaging radiomics for predicting biochemical recurrence in elderly prostate cancer patients after radical prosta…</w:t>
            </w:r>
          </w:p>
        </w:tc>
        <w:tc>
          <w:tcPr>
            <w:tcW w:type="dxa" w:w="2232"/>
            <w:vAlign w:val="top"/>
          </w:tcPr>
          <w:p>
            <w:pPr>
              <w:spacing w:after="0"/>
            </w:pPr>
            <w:r>
              <w:rPr>
                <w:sz w:val="14"/>
              </w:rPr>
              <w:t>bpMRI radiomics for BCR after radical prostatectomy</w:t>
            </w:r>
          </w:p>
        </w:tc>
        <w:tc>
          <w:tcPr>
            <w:tcW w:type="dxa" w:w="1195"/>
            <w:vAlign w:val="top"/>
          </w:tcPr>
          <w:p>
            <w:pPr>
              <w:spacing w:after="0"/>
            </w:pPr>
            <w:r>
              <w:rPr>
                <w:sz w:val="14"/>
              </w:rPr>
              <w:t>Internal/separate test cohort</w:t>
            </w:r>
          </w:p>
        </w:tc>
        <w:tc>
          <w:tcPr>
            <w:tcW w:type="dxa" w:w="1728"/>
            <w:vAlign w:val="top"/>
          </w:tcPr>
          <w:p>
            <w:pPr>
              <w:spacing w:after="0"/>
            </w:pPr>
            <w:r>
              <w:rPr>
                <w:sz w:val="14"/>
              </w:rPr>
              <w:t>Methods A retrospective analysis was conducted on data from 175 patients treated at Beijing Hospital from August 2017 to December 2021.Based on pathological results, image segmentation was performed on preoper…</w:t>
            </w:r>
          </w:p>
        </w:tc>
        <w:tc>
          <w:tcPr>
            <w:tcW w:type="dxa" w:w="1800"/>
            <w:vAlign w:val="top"/>
          </w:tcPr>
          <w:p>
            <w:pPr>
              <w:spacing w:after="0"/>
            </w:pPr>
            <w:r>
              <w:rPr>
                <w:sz w:val="14"/>
              </w:rPr>
              <w:t>Prognostic stratification after or around curative treatment</w:t>
            </w:r>
          </w:p>
        </w:tc>
        <w:tc>
          <w:tcPr>
            <w:tcW w:type="dxa" w:w="1872"/>
            <w:vAlign w:val="top"/>
          </w:tcPr>
          <w:p>
            <w:pPr>
              <w:spacing w:after="0"/>
            </w:pPr>
            <w:r>
              <w:rPr>
                <w:sz w:val="14"/>
              </w:rPr>
              <w:t>Prognosis is not the immediate patient-level histological pN1 decision</w:t>
            </w:r>
          </w:p>
        </w:tc>
      </w:tr>
      <w:tr>
        <w:trPr>
          <w:cantSplit/>
        </w:trPr>
        <w:tc>
          <w:tcPr>
            <w:tcW w:type="dxa" w:w="1699"/>
            <w:vAlign w:val="top"/>
          </w:tcPr>
          <w:p>
            <w:pPr>
              <w:spacing w:after="0"/>
            </w:pPr>
            <w:r>
              <w:rPr>
                <w:sz w:val="14"/>
              </w:rPr>
              <w:t>PROGNOSTIC (indirect) | Wu X.-H. 2024 [94]</w:t>
            </w:r>
          </w:p>
        </w:tc>
        <w:tc>
          <w:tcPr>
            <w:tcW w:type="dxa" w:w="1728"/>
            <w:vAlign w:val="top"/>
          </w:tcPr>
          <w:p>
            <w:pPr>
              <w:spacing w:after="0"/>
            </w:pPr>
            <w:r>
              <w:rPr>
                <w:sz w:val="14"/>
              </w:rPr>
              <w:t>Original study | n=NR</w:t>
            </w:r>
          </w:p>
        </w:tc>
        <w:tc>
          <w:tcPr>
            <w:tcW w:type="dxa" w:w="2232"/>
            <w:vAlign w:val="top"/>
          </w:tcPr>
          <w:p>
            <w:pPr>
              <w:spacing w:after="0"/>
            </w:pPr>
            <w:r>
              <w:rPr>
                <w:sz w:val="14"/>
              </w:rPr>
              <w:t>Periprostatic fat magnetic resonance imaging based radiomics nomogram for predicting biochemical recurrence-free survival in patients with non-m…</w:t>
            </w:r>
          </w:p>
        </w:tc>
        <w:tc>
          <w:tcPr>
            <w:tcW w:type="dxa" w:w="2232"/>
            <w:vAlign w:val="top"/>
          </w:tcPr>
          <w:p>
            <w:pPr>
              <w:spacing w:after="0"/>
            </w:pPr>
            <w:r>
              <w:rPr>
                <w:sz w:val="14"/>
              </w:rPr>
              <w:t>periprostatic-fat MRI radiomics for BCR after prostatectomy</w:t>
            </w:r>
          </w:p>
        </w:tc>
        <w:tc>
          <w:tcPr>
            <w:tcW w:type="dxa" w:w="1195"/>
            <w:vAlign w:val="top"/>
          </w:tcPr>
          <w:p>
            <w:pPr>
              <w:spacing w:after="0"/>
            </w:pPr>
            <w:r>
              <w:rPr>
                <w:sz w:val="14"/>
              </w:rPr>
              <w:t>Apparent or internal; details NR in abstract</w:t>
            </w:r>
          </w:p>
        </w:tc>
        <w:tc>
          <w:tcPr>
            <w:tcW w:type="dxa" w:w="1728"/>
            <w:vAlign w:val="top"/>
          </w:tcPr>
          <w:p>
            <w:pPr>
              <w:spacing w:after="0"/>
            </w:pPr>
            <w:r>
              <w:rPr>
                <w:sz w:val="14"/>
              </w:rPr>
              <w:t>ROC analyses showed that the Area Under the Curve (AUC) of the periprostatic fat-intratumoral radiomics model demonstrated the highest AUC at 0.921 (95%CI, 0.857–0.981), 0.875 (95%CI, 0.763–0.950), 0.854 (95%C…</w:t>
            </w:r>
          </w:p>
        </w:tc>
        <w:tc>
          <w:tcPr>
            <w:tcW w:type="dxa" w:w="1800"/>
            <w:vAlign w:val="top"/>
          </w:tcPr>
          <w:p>
            <w:pPr>
              <w:spacing w:after="0"/>
            </w:pPr>
            <w:r>
              <w:rPr>
                <w:sz w:val="14"/>
              </w:rPr>
              <w:t>Prognostic stratification after or around curative treatment</w:t>
            </w:r>
          </w:p>
        </w:tc>
        <w:tc>
          <w:tcPr>
            <w:tcW w:type="dxa" w:w="1872"/>
            <w:vAlign w:val="top"/>
          </w:tcPr>
          <w:p>
            <w:pPr>
              <w:spacing w:after="0"/>
            </w:pPr>
            <w:r>
              <w:rPr>
                <w:sz w:val="14"/>
              </w:rPr>
              <w:t>Prognosis is not the immediate patient-level histological pN1 decision</w:t>
            </w:r>
          </w:p>
        </w:tc>
      </w:tr>
      <w:tr>
        <w:trPr>
          <w:cantSplit/>
        </w:trPr>
        <w:tc>
          <w:tcPr>
            <w:tcW w:type="dxa" w:w="1699"/>
            <w:vAlign w:val="top"/>
          </w:tcPr>
          <w:p>
            <w:pPr>
              <w:spacing w:after="0"/>
            </w:pPr>
            <w:r>
              <w:rPr>
                <w:sz w:val="14"/>
              </w:rPr>
              <w:t>PROGNOSTIC (indirect) | Gu W.-J. 2023 [95]</w:t>
            </w:r>
          </w:p>
        </w:tc>
        <w:tc>
          <w:tcPr>
            <w:tcW w:type="dxa" w:w="1728"/>
            <w:vAlign w:val="top"/>
          </w:tcPr>
          <w:p>
            <w:pPr>
              <w:spacing w:after="0"/>
            </w:pPr>
            <w:r>
              <w:rPr>
                <w:sz w:val="14"/>
              </w:rPr>
              <w:t>Original study | n=367</w:t>
            </w:r>
          </w:p>
        </w:tc>
        <w:tc>
          <w:tcPr>
            <w:tcW w:type="dxa" w:w="2232"/>
            <w:vAlign w:val="top"/>
          </w:tcPr>
          <w:p>
            <w:pPr>
              <w:spacing w:after="0"/>
            </w:pPr>
            <w:r>
              <w:rPr>
                <w:sz w:val="14"/>
              </w:rPr>
              <w:t>A deep learning model, NAFNet, predicts adverse pathology and recurrence in prostate cancer using MRIs</w:t>
            </w:r>
          </w:p>
        </w:tc>
        <w:tc>
          <w:tcPr>
            <w:tcW w:type="dxa" w:w="2232"/>
            <w:vAlign w:val="top"/>
          </w:tcPr>
          <w:p>
            <w:pPr>
              <w:spacing w:after="0"/>
            </w:pPr>
            <w:r>
              <w:rPr>
                <w:sz w:val="14"/>
              </w:rPr>
              <w:t>MRI deep learning for adverse pathology and BCR</w:t>
            </w:r>
          </w:p>
        </w:tc>
        <w:tc>
          <w:tcPr>
            <w:tcW w:type="dxa" w:w="1195"/>
            <w:vAlign w:val="top"/>
          </w:tcPr>
          <w:p>
            <w:pPr>
              <w:spacing w:after="0"/>
            </w:pPr>
            <w:r>
              <w:rPr>
                <w:sz w:val="14"/>
              </w:rPr>
              <w:t>Internal/separate test cohort</w:t>
            </w:r>
          </w:p>
        </w:tc>
        <w:tc>
          <w:tcPr>
            <w:tcW w:type="dxa" w:w="1728"/>
            <w:vAlign w:val="top"/>
          </w:tcPr>
          <w:p>
            <w:pPr>
              <w:spacing w:after="0"/>
            </w:pPr>
            <w:r>
              <w:rPr>
                <w:sz w:val="14"/>
              </w:rPr>
              <w:t>The DL-nomogram, including the NAFNet-classifier, clinical T stage and biopsy results, showed the highest AUC (0.915, 95% CI: 0.871–0.959) and accuracy (0.850) compared with the PI-RADS and CAPRA scores.</w:t>
            </w:r>
          </w:p>
        </w:tc>
        <w:tc>
          <w:tcPr>
            <w:tcW w:type="dxa" w:w="1800"/>
            <w:vAlign w:val="top"/>
          </w:tcPr>
          <w:p>
            <w:pPr>
              <w:spacing w:after="0"/>
            </w:pPr>
            <w:r>
              <w:rPr>
                <w:sz w:val="14"/>
              </w:rPr>
              <w:t>Prognostic stratification after or around curative treatment</w:t>
            </w:r>
          </w:p>
        </w:tc>
        <w:tc>
          <w:tcPr>
            <w:tcW w:type="dxa" w:w="1872"/>
            <w:vAlign w:val="top"/>
          </w:tcPr>
          <w:p>
            <w:pPr>
              <w:spacing w:after="0"/>
            </w:pPr>
            <w:r>
              <w:rPr>
                <w:sz w:val="14"/>
              </w:rPr>
              <w:t>Prognosis is not the immediate patient-level histological pN1 decision</w:t>
            </w:r>
          </w:p>
        </w:tc>
      </w:tr>
      <w:tr>
        <w:trPr>
          <w:cantSplit/>
        </w:trPr>
        <w:tc>
          <w:tcPr>
            <w:tcW w:type="dxa" w:w="1699"/>
            <w:vAlign w:val="top"/>
          </w:tcPr>
          <w:p>
            <w:pPr>
              <w:spacing w:after="0"/>
            </w:pPr>
            <w:r>
              <w:rPr>
                <w:sz w:val="14"/>
              </w:rPr>
              <w:t>PROGNOSTIC (indirect) | Hou Y. 2023 [96]</w:t>
            </w:r>
          </w:p>
        </w:tc>
        <w:tc>
          <w:tcPr>
            <w:tcW w:type="dxa" w:w="1728"/>
            <w:vAlign w:val="top"/>
          </w:tcPr>
          <w:p>
            <w:pPr>
              <w:spacing w:after="0"/>
            </w:pPr>
            <w:r>
              <w:rPr>
                <w:sz w:val="14"/>
              </w:rPr>
              <w:t>Original study | n=NR</w:t>
            </w:r>
          </w:p>
        </w:tc>
        <w:tc>
          <w:tcPr>
            <w:tcW w:type="dxa" w:w="2232"/>
            <w:vAlign w:val="top"/>
          </w:tcPr>
          <w:p>
            <w:pPr>
              <w:spacing w:after="0"/>
            </w:pPr>
            <w:r>
              <w:rPr>
                <w:sz w:val="14"/>
              </w:rPr>
              <w:t>Biopsy-free AI-aided precision MRI assessment in prediction of prostate cancer biochemical recurrence</w:t>
            </w:r>
          </w:p>
        </w:tc>
        <w:tc>
          <w:tcPr>
            <w:tcW w:type="dxa" w:w="2232"/>
            <w:vAlign w:val="top"/>
          </w:tcPr>
          <w:p>
            <w:pPr>
              <w:spacing w:after="0"/>
            </w:pPr>
            <w:r>
              <w:rPr>
                <w:sz w:val="14"/>
              </w:rPr>
              <w:t>MRI deep-survival model for BCR after prostatectomy</w:t>
            </w:r>
          </w:p>
        </w:tc>
        <w:tc>
          <w:tcPr>
            <w:tcW w:type="dxa" w:w="1195"/>
            <w:vAlign w:val="top"/>
          </w:tcPr>
          <w:p>
            <w:pPr>
              <w:spacing w:after="0"/>
            </w:pPr>
            <w:r>
              <w:rPr>
                <w:sz w:val="14"/>
              </w:rPr>
              <w:t>Apparent or internal; details NR in abstract</w:t>
            </w:r>
          </w:p>
        </w:tc>
        <w:tc>
          <w:tcPr>
            <w:tcW w:type="dxa" w:w="1728"/>
            <w:vAlign w:val="top"/>
          </w:tcPr>
          <w:p>
            <w:pPr>
              <w:spacing w:after="0"/>
            </w:pPr>
            <w:r>
              <w:rPr>
                <w:sz w:val="14"/>
              </w:rPr>
              <w:t>Two predefined AI models achieved an accuracy of 82.6% and 78.4% in staging T3 and LN+.</w:t>
            </w:r>
          </w:p>
        </w:tc>
        <w:tc>
          <w:tcPr>
            <w:tcW w:type="dxa" w:w="1800"/>
            <w:vAlign w:val="top"/>
          </w:tcPr>
          <w:p>
            <w:pPr>
              <w:spacing w:after="0"/>
            </w:pPr>
            <w:r>
              <w:rPr>
                <w:sz w:val="14"/>
              </w:rPr>
              <w:t>Prognostic stratification after or around curative treatment</w:t>
            </w:r>
          </w:p>
        </w:tc>
        <w:tc>
          <w:tcPr>
            <w:tcW w:type="dxa" w:w="1872"/>
            <w:vAlign w:val="top"/>
          </w:tcPr>
          <w:p>
            <w:pPr>
              <w:spacing w:after="0"/>
            </w:pPr>
            <w:r>
              <w:rPr>
                <w:sz w:val="14"/>
              </w:rPr>
              <w:t>Prognosis is not the immediate patient-level histological pN1 decision</w:t>
            </w:r>
          </w:p>
        </w:tc>
      </w:tr>
      <w:tr>
        <w:trPr>
          <w:cantSplit/>
        </w:trPr>
        <w:tc>
          <w:tcPr>
            <w:tcW w:type="dxa" w:w="1699"/>
            <w:vAlign w:val="top"/>
          </w:tcPr>
          <w:p>
            <w:pPr>
              <w:spacing w:after="0"/>
            </w:pPr>
            <w:r>
              <w:rPr>
                <w:sz w:val="14"/>
              </w:rPr>
              <w:t>PROGNOSTIC (indirect) | Ji Y. 2023 [97]</w:t>
            </w:r>
          </w:p>
        </w:tc>
        <w:tc>
          <w:tcPr>
            <w:tcW w:type="dxa" w:w="1728"/>
            <w:vAlign w:val="top"/>
          </w:tcPr>
          <w:p>
            <w:pPr>
              <w:spacing w:after="0"/>
            </w:pPr>
            <w:r>
              <w:rPr>
                <w:sz w:val="14"/>
              </w:rPr>
              <w:t>Original study | n=212</w:t>
            </w:r>
          </w:p>
        </w:tc>
        <w:tc>
          <w:tcPr>
            <w:tcW w:type="dxa" w:w="2232"/>
            <w:vAlign w:val="top"/>
          </w:tcPr>
          <w:p>
            <w:pPr>
              <w:spacing w:after="0"/>
            </w:pPr>
            <w:r>
              <w:rPr>
                <w:sz w:val="14"/>
              </w:rPr>
              <w:t>Exploring the predictive value of MRI‑based clinical‑radiomics models for biochemical recurrence after radical prostatectomy in prostate cancer;…</w:t>
            </w:r>
          </w:p>
        </w:tc>
        <w:tc>
          <w:tcPr>
            <w:tcW w:type="dxa" w:w="2232"/>
            <w:vAlign w:val="top"/>
          </w:tcPr>
          <w:p>
            <w:pPr>
              <w:spacing w:after="0"/>
            </w:pPr>
            <w:r>
              <w:rPr>
                <w:sz w:val="14"/>
              </w:rPr>
              <w:t>MRI clinical-radiomics model for BCR after prostatectomy</w:t>
            </w:r>
          </w:p>
        </w:tc>
        <w:tc>
          <w:tcPr>
            <w:tcW w:type="dxa" w:w="1195"/>
            <w:vAlign w:val="top"/>
          </w:tcPr>
          <w:p>
            <w:pPr>
              <w:spacing w:after="0"/>
            </w:pPr>
            <w:r>
              <w:rPr>
                <w:sz w:val="14"/>
              </w:rPr>
              <w:t>Internal/separate test cohort</w:t>
            </w:r>
          </w:p>
        </w:tc>
        <w:tc>
          <w:tcPr>
            <w:tcW w:type="dxa" w:w="1728"/>
            <w:vAlign w:val="top"/>
          </w:tcPr>
          <w:p>
            <w:pPr>
              <w:spacing w:after="0"/>
            </w:pPr>
            <w:r>
              <w:rPr>
                <w:sz w:val="14"/>
              </w:rPr>
              <w:t>In the test set, the time‑dependent receiver operating characteristic (ROC) curve was constructed, and the area under the curve (AUC) was calculated to evaluate the predictive efficacy of the radiomics model,…</w:t>
            </w:r>
          </w:p>
        </w:tc>
        <w:tc>
          <w:tcPr>
            <w:tcW w:type="dxa" w:w="1800"/>
            <w:vAlign w:val="top"/>
          </w:tcPr>
          <w:p>
            <w:pPr>
              <w:spacing w:after="0"/>
            </w:pPr>
            <w:r>
              <w:rPr>
                <w:sz w:val="14"/>
              </w:rPr>
              <w:t>Prognostic stratification after or around curative treatment</w:t>
            </w:r>
          </w:p>
        </w:tc>
        <w:tc>
          <w:tcPr>
            <w:tcW w:type="dxa" w:w="1872"/>
            <w:vAlign w:val="top"/>
          </w:tcPr>
          <w:p>
            <w:pPr>
              <w:spacing w:after="0"/>
            </w:pPr>
            <w:r>
              <w:rPr>
                <w:sz w:val="14"/>
              </w:rPr>
              <w:t>Prognosis is not the immediate patient-level histological pN1 decision</w:t>
            </w:r>
          </w:p>
        </w:tc>
      </w:tr>
      <w:tr>
        <w:trPr>
          <w:cantSplit/>
        </w:trPr>
        <w:tc>
          <w:tcPr>
            <w:tcW w:type="dxa" w:w="1699"/>
            <w:vAlign w:val="top"/>
          </w:tcPr>
          <w:p>
            <w:pPr>
              <w:spacing w:after="0"/>
            </w:pPr>
            <w:r>
              <w:rPr>
                <w:sz w:val="14"/>
              </w:rPr>
              <w:t>PROGNOSTIC (indirect) | Lee H.W. 2023 [98]</w:t>
            </w:r>
          </w:p>
        </w:tc>
        <w:tc>
          <w:tcPr>
            <w:tcW w:type="dxa" w:w="1728"/>
            <w:vAlign w:val="top"/>
          </w:tcPr>
          <w:p>
            <w:pPr>
              <w:spacing w:after="0"/>
            </w:pPr>
            <w:r>
              <w:rPr>
                <w:sz w:val="14"/>
              </w:rPr>
              <w:t>Original study | n=437</w:t>
            </w:r>
          </w:p>
        </w:tc>
        <w:tc>
          <w:tcPr>
            <w:tcW w:type="dxa" w:w="2232"/>
            <w:vAlign w:val="top"/>
          </w:tcPr>
          <w:p>
            <w:pPr>
              <w:spacing w:after="0"/>
            </w:pPr>
            <w:r>
              <w:rPr>
                <w:sz w:val="14"/>
              </w:rPr>
              <w:t>Novel Multiparametric Magnetic Resonance Imaging-Based Deep Learning and Clinical Parameter Integration for the Prediction of Long-Term Biochemi…</w:t>
            </w:r>
          </w:p>
        </w:tc>
        <w:tc>
          <w:tcPr>
            <w:tcW w:type="dxa" w:w="2232"/>
            <w:vAlign w:val="top"/>
          </w:tcPr>
          <w:p>
            <w:pPr>
              <w:spacing w:after="0"/>
            </w:pPr>
            <w:r>
              <w:rPr>
                <w:sz w:val="14"/>
              </w:rPr>
              <w:t>mpMRI deep learning for BCR-free survival after prostatectomy</w:t>
            </w:r>
          </w:p>
        </w:tc>
        <w:tc>
          <w:tcPr>
            <w:tcW w:type="dxa" w:w="1195"/>
            <w:vAlign w:val="top"/>
          </w:tcPr>
          <w:p>
            <w:pPr>
              <w:spacing w:after="0"/>
            </w:pPr>
            <w:r>
              <w:rPr>
                <w:sz w:val="14"/>
              </w:rPr>
              <w:t>Apparent or internal; details NR in abstract</w:t>
            </w:r>
          </w:p>
        </w:tc>
        <w:tc>
          <w:tcPr>
            <w:tcW w:type="dxa" w:w="1728"/>
            <w:vAlign w:val="top"/>
          </w:tcPr>
          <w:p>
            <w:pPr>
              <w:spacing w:after="0"/>
            </w:pPr>
            <w:r>
              <w:rPr>
                <w:sz w:val="14"/>
              </w:rPr>
              <w:t>NR</w:t>
            </w:r>
          </w:p>
        </w:tc>
        <w:tc>
          <w:tcPr>
            <w:tcW w:type="dxa" w:w="1800"/>
            <w:vAlign w:val="top"/>
          </w:tcPr>
          <w:p>
            <w:pPr>
              <w:spacing w:after="0"/>
            </w:pPr>
            <w:r>
              <w:rPr>
                <w:sz w:val="14"/>
              </w:rPr>
              <w:t>Prognostic stratification after or around curative treatment</w:t>
            </w:r>
          </w:p>
        </w:tc>
        <w:tc>
          <w:tcPr>
            <w:tcW w:type="dxa" w:w="1872"/>
            <w:vAlign w:val="top"/>
          </w:tcPr>
          <w:p>
            <w:pPr>
              <w:spacing w:after="0"/>
            </w:pPr>
            <w:r>
              <w:rPr>
                <w:sz w:val="14"/>
              </w:rPr>
              <w:t>Prognosis is not the immediate patient-level histological pN1 decision</w:t>
            </w:r>
          </w:p>
        </w:tc>
      </w:tr>
      <w:tr>
        <w:trPr>
          <w:cantSplit/>
        </w:trPr>
        <w:tc>
          <w:tcPr>
            <w:tcW w:type="dxa" w:w="1699"/>
            <w:vAlign w:val="top"/>
          </w:tcPr>
          <w:p>
            <w:pPr>
              <w:spacing w:after="0"/>
            </w:pPr>
            <w:r>
              <w:rPr>
                <w:sz w:val="14"/>
              </w:rPr>
              <w:t>PROGNOSTIC (indirect) | An P. 2023 [99]</w:t>
            </w:r>
          </w:p>
        </w:tc>
        <w:tc>
          <w:tcPr>
            <w:tcW w:type="dxa" w:w="1728"/>
            <w:vAlign w:val="top"/>
          </w:tcPr>
          <w:p>
            <w:pPr>
              <w:spacing w:after="0"/>
            </w:pPr>
            <w:r>
              <w:rPr>
                <w:sz w:val="14"/>
              </w:rPr>
              <w:t>Original study | n=77</w:t>
            </w:r>
          </w:p>
        </w:tc>
        <w:tc>
          <w:tcPr>
            <w:tcW w:type="dxa" w:w="2232"/>
            <w:vAlign w:val="top"/>
          </w:tcPr>
          <w:p>
            <w:pPr>
              <w:spacing w:after="0"/>
            </w:pPr>
            <w:r>
              <w:rPr>
                <w:sz w:val="14"/>
              </w:rPr>
              <w:t>Predicting Model of Biochemical Recurrence of Prostate Carcinoma (PCa-BCR) Using MR Perfusion-Weighted Imaging-Based Radiomics</w:t>
            </w:r>
          </w:p>
        </w:tc>
        <w:tc>
          <w:tcPr>
            <w:tcW w:type="dxa" w:w="2232"/>
            <w:vAlign w:val="top"/>
          </w:tcPr>
          <w:p>
            <w:pPr>
              <w:spacing w:after="0"/>
            </w:pPr>
            <w:r>
              <w:rPr>
                <w:sz w:val="14"/>
              </w:rPr>
              <w:t>MRI perfusion radiomics for BCR after prostatectomy</w:t>
            </w:r>
          </w:p>
        </w:tc>
        <w:tc>
          <w:tcPr>
            <w:tcW w:type="dxa" w:w="1195"/>
            <w:vAlign w:val="top"/>
          </w:tcPr>
          <w:p>
            <w:pPr>
              <w:spacing w:after="0"/>
            </w:pPr>
            <w:r>
              <w:rPr>
                <w:sz w:val="14"/>
              </w:rPr>
              <w:t>External validation reported</w:t>
            </w:r>
          </w:p>
        </w:tc>
        <w:tc>
          <w:tcPr>
            <w:tcW w:type="dxa" w:w="1728"/>
            <w:vAlign w:val="top"/>
          </w:tcPr>
          <w:p>
            <w:pPr>
              <w:spacing w:after="0"/>
            </w:pPr>
            <w:r>
              <w:rPr>
                <w:sz w:val="14"/>
              </w:rPr>
              <w:t>The predictive efficacy (area under the curve) of these models was compared using the MedCalc software.</w:t>
            </w:r>
          </w:p>
        </w:tc>
        <w:tc>
          <w:tcPr>
            <w:tcW w:type="dxa" w:w="1800"/>
            <w:vAlign w:val="top"/>
          </w:tcPr>
          <w:p>
            <w:pPr>
              <w:spacing w:after="0"/>
            </w:pPr>
            <w:r>
              <w:rPr>
                <w:sz w:val="14"/>
              </w:rPr>
              <w:t>Prognostic stratification after or around curative treatment</w:t>
            </w:r>
          </w:p>
        </w:tc>
        <w:tc>
          <w:tcPr>
            <w:tcW w:type="dxa" w:w="1872"/>
            <w:vAlign w:val="top"/>
          </w:tcPr>
          <w:p>
            <w:pPr>
              <w:spacing w:after="0"/>
            </w:pPr>
            <w:r>
              <w:rPr>
                <w:sz w:val="14"/>
              </w:rPr>
              <w:t>Prognosis is not the immediate patient-level histological pN1 decision</w:t>
            </w:r>
          </w:p>
        </w:tc>
      </w:tr>
      <w:tr>
        <w:trPr>
          <w:cantSplit/>
        </w:trPr>
        <w:tc>
          <w:tcPr>
            <w:tcW w:type="dxa" w:w="1699"/>
            <w:vAlign w:val="top"/>
          </w:tcPr>
          <w:p>
            <w:pPr>
              <w:spacing w:after="0"/>
            </w:pPr>
            <w:r>
              <w:rPr>
                <w:sz w:val="14"/>
              </w:rPr>
              <w:t>PROGNOSTIC (indirect) | Duenweg S.R. 2023 [100]</w:t>
            </w:r>
          </w:p>
        </w:tc>
        <w:tc>
          <w:tcPr>
            <w:tcW w:type="dxa" w:w="1728"/>
            <w:vAlign w:val="top"/>
          </w:tcPr>
          <w:p>
            <w:pPr>
              <w:spacing w:after="0"/>
            </w:pPr>
            <w:r>
              <w:rPr>
                <w:sz w:val="14"/>
              </w:rPr>
              <w:t>Original study | n=279</w:t>
            </w:r>
          </w:p>
        </w:tc>
        <w:tc>
          <w:tcPr>
            <w:tcW w:type="dxa" w:w="2232"/>
            <w:vAlign w:val="top"/>
          </w:tcPr>
          <w:p>
            <w:pPr>
              <w:spacing w:after="0"/>
            </w:pPr>
            <w:r>
              <w:rPr>
                <w:sz w:val="14"/>
              </w:rPr>
              <w:t>T2-Weighted MRI Radiomic Features Predict Prostate Cancer Presence and Eventual Biochemical Recurrence</w:t>
            </w:r>
          </w:p>
        </w:tc>
        <w:tc>
          <w:tcPr>
            <w:tcW w:type="dxa" w:w="2232"/>
            <w:vAlign w:val="top"/>
          </w:tcPr>
          <w:p>
            <w:pPr>
              <w:spacing w:after="0"/>
            </w:pPr>
            <w:r>
              <w:rPr>
                <w:sz w:val="14"/>
              </w:rPr>
              <w:t>preoperative MRI radiomics for eventual BCR</w:t>
            </w:r>
          </w:p>
        </w:tc>
        <w:tc>
          <w:tcPr>
            <w:tcW w:type="dxa" w:w="1195"/>
            <w:vAlign w:val="top"/>
          </w:tcPr>
          <w:p>
            <w:pPr>
              <w:spacing w:after="0"/>
            </w:pPr>
            <w:r>
              <w:rPr>
                <w:sz w:val="14"/>
              </w:rPr>
              <w:t>Apparent or internal; details NR in abstract</w:t>
            </w:r>
          </w:p>
        </w:tc>
        <w:tc>
          <w:tcPr>
            <w:tcW w:type="dxa" w:w="1728"/>
            <w:vAlign w:val="top"/>
          </w:tcPr>
          <w:p>
            <w:pPr>
              <w:spacing w:after="0"/>
            </w:pPr>
            <w:r>
              <w:rPr>
                <w:sz w:val="14"/>
              </w:rPr>
              <w:t>We found that 10 radiomic features predicted eventual BCR with an AUC of 0.97 and classified cancer at an accuracy of 89.9%.</w:t>
            </w:r>
          </w:p>
        </w:tc>
        <w:tc>
          <w:tcPr>
            <w:tcW w:type="dxa" w:w="1800"/>
            <w:vAlign w:val="top"/>
          </w:tcPr>
          <w:p>
            <w:pPr>
              <w:spacing w:after="0"/>
            </w:pPr>
            <w:r>
              <w:rPr>
                <w:sz w:val="14"/>
              </w:rPr>
              <w:t>Prognostic stratification after or around curative treatment</w:t>
            </w:r>
          </w:p>
        </w:tc>
        <w:tc>
          <w:tcPr>
            <w:tcW w:type="dxa" w:w="1872"/>
            <w:vAlign w:val="top"/>
          </w:tcPr>
          <w:p>
            <w:pPr>
              <w:spacing w:after="0"/>
            </w:pPr>
            <w:r>
              <w:rPr>
                <w:sz w:val="14"/>
              </w:rPr>
              <w:t>Prognosis is not the immediate patient-level histological pN1 decision</w:t>
            </w:r>
          </w:p>
        </w:tc>
      </w:tr>
      <w:tr>
        <w:trPr>
          <w:cantSplit/>
        </w:trPr>
        <w:tc>
          <w:tcPr>
            <w:tcW w:type="dxa" w:w="1699"/>
            <w:vAlign w:val="top"/>
          </w:tcPr>
          <w:p>
            <w:pPr>
              <w:spacing w:after="0"/>
            </w:pPr>
            <w:r>
              <w:rPr>
                <w:sz w:val="14"/>
              </w:rPr>
              <w:t>PROGNOSTIC (indirect) | Wang Y. 2022 [101]</w:t>
            </w:r>
          </w:p>
        </w:tc>
        <w:tc>
          <w:tcPr>
            <w:tcW w:type="dxa" w:w="1728"/>
            <w:vAlign w:val="top"/>
          </w:tcPr>
          <w:p>
            <w:pPr>
              <w:spacing w:after="0"/>
            </w:pPr>
            <w:r>
              <w:rPr>
                <w:sz w:val="14"/>
              </w:rPr>
              <w:t>Original study | n=59</w:t>
            </w:r>
          </w:p>
        </w:tc>
        <w:tc>
          <w:tcPr>
            <w:tcW w:type="dxa" w:w="2232"/>
            <w:vAlign w:val="top"/>
          </w:tcPr>
          <w:p>
            <w:pPr>
              <w:spacing w:after="0"/>
            </w:pPr>
            <w:r>
              <w:rPr>
                <w:sz w:val="14"/>
              </w:rPr>
              <w:t>Contrast-Enhanced Ultrasound-Magnetic Resonance Imaging Radiomics Based Model for Predicting the Biochemical Recurrence of Prostate Cancer: A Fe…</w:t>
            </w:r>
          </w:p>
        </w:tc>
        <w:tc>
          <w:tcPr>
            <w:tcW w:type="dxa" w:w="2232"/>
            <w:vAlign w:val="top"/>
          </w:tcPr>
          <w:p>
            <w:pPr>
              <w:spacing w:after="0"/>
            </w:pPr>
            <w:r>
              <w:rPr>
                <w:sz w:val="14"/>
              </w:rPr>
              <w:t>CEUS/MRI radiomics for BCR after prostatectomy</w:t>
            </w:r>
          </w:p>
        </w:tc>
        <w:tc>
          <w:tcPr>
            <w:tcW w:type="dxa" w:w="1195"/>
            <w:vAlign w:val="top"/>
          </w:tcPr>
          <w:p>
            <w:pPr>
              <w:spacing w:after="0"/>
            </w:pPr>
            <w:r>
              <w:rPr>
                <w:sz w:val="14"/>
              </w:rPr>
              <w:t>External validation reported</w:t>
            </w:r>
          </w:p>
        </w:tc>
        <w:tc>
          <w:tcPr>
            <w:tcW w:type="dxa" w:w="1728"/>
            <w:vAlign w:val="top"/>
          </w:tcPr>
          <w:p>
            <w:pPr>
              <w:spacing w:after="0"/>
            </w:pPr>
            <w:r>
              <w:rPr>
                <w:sz w:val="14"/>
              </w:rPr>
              <w:t>In training set, the area under the curve (AUC) and decision curve analysis (DCA) by R was conducted to compare the efficiency of 4 prediction models, and then, external validation was performed using the test…</w:t>
            </w:r>
          </w:p>
        </w:tc>
        <w:tc>
          <w:tcPr>
            <w:tcW w:type="dxa" w:w="1800"/>
            <w:vAlign w:val="top"/>
          </w:tcPr>
          <w:p>
            <w:pPr>
              <w:spacing w:after="0"/>
            </w:pPr>
            <w:r>
              <w:rPr>
                <w:sz w:val="14"/>
              </w:rPr>
              <w:t>Prognostic stratification after or around curative treatment</w:t>
            </w:r>
          </w:p>
        </w:tc>
        <w:tc>
          <w:tcPr>
            <w:tcW w:type="dxa" w:w="1872"/>
            <w:vAlign w:val="top"/>
          </w:tcPr>
          <w:p>
            <w:pPr>
              <w:spacing w:after="0"/>
            </w:pPr>
            <w:r>
              <w:rPr>
                <w:sz w:val="14"/>
              </w:rPr>
              <w:t>Prognosis is not the immediate patient-level histological pN1 decision</w:t>
            </w:r>
          </w:p>
        </w:tc>
      </w:tr>
      <w:tr>
        <w:trPr>
          <w:cantSplit/>
        </w:trPr>
        <w:tc>
          <w:tcPr>
            <w:tcW w:type="dxa" w:w="1699"/>
            <w:vAlign w:val="top"/>
          </w:tcPr>
          <w:p>
            <w:pPr>
              <w:spacing w:after="0"/>
            </w:pPr>
            <w:r>
              <w:rPr>
                <w:sz w:val="14"/>
              </w:rPr>
              <w:t>PROGNOSTIC (indirect) | Shiradkar R. 2022 [102]</w:t>
            </w:r>
          </w:p>
        </w:tc>
        <w:tc>
          <w:tcPr>
            <w:tcW w:type="dxa" w:w="1728"/>
            <w:vAlign w:val="top"/>
          </w:tcPr>
          <w:p>
            <w:pPr>
              <w:spacing w:after="0"/>
            </w:pPr>
            <w:r>
              <w:rPr>
                <w:sz w:val="14"/>
              </w:rPr>
              <w:t>Original study | n=71,</w:t>
            </w:r>
          </w:p>
        </w:tc>
        <w:tc>
          <w:tcPr>
            <w:tcW w:type="dxa" w:w="2232"/>
            <w:vAlign w:val="top"/>
          </w:tcPr>
          <w:p>
            <w:pPr>
              <w:spacing w:after="0"/>
            </w:pPr>
            <w:r>
              <w:rPr>
                <w:sz w:val="14"/>
              </w:rPr>
              <w:t>Prostate Surface Distension and Tumor Texture Descriptors From Pre-Treatment MRI Are Associated With Biochemical Recurrence Following Radical Pr…</w:t>
            </w:r>
          </w:p>
        </w:tc>
        <w:tc>
          <w:tcPr>
            <w:tcW w:type="dxa" w:w="2232"/>
            <w:vAlign w:val="top"/>
          </w:tcPr>
          <w:p>
            <w:pPr>
              <w:spacing w:after="0"/>
            </w:pPr>
            <w:r>
              <w:rPr>
                <w:sz w:val="14"/>
              </w:rPr>
              <w:t>pretreatment MRI texture/shape model for BCR after prostatectomy</w:t>
            </w:r>
          </w:p>
        </w:tc>
        <w:tc>
          <w:tcPr>
            <w:tcW w:type="dxa" w:w="1195"/>
            <w:vAlign w:val="top"/>
          </w:tcPr>
          <w:p>
            <w:pPr>
              <w:spacing w:after="0"/>
            </w:pPr>
            <w:r>
              <w:rPr>
                <w:sz w:val="14"/>
              </w:rPr>
              <w:t>Apparent or internal; details NR in abstract</w:t>
            </w:r>
          </w:p>
        </w:tc>
        <w:tc>
          <w:tcPr>
            <w:tcW w:type="dxa" w:w="1728"/>
            <w:vAlign w:val="top"/>
          </w:tcPr>
          <w:p>
            <w:pPr>
              <w:spacing w:after="0"/>
            </w:pPr>
            <w:r>
              <w:rPr>
                <w:sz w:val="14"/>
              </w:rPr>
              <w:t>Results: CS+R resulted in a higher AUC (0.75) compared to CR (0.70, p = 0.04) and CS (0.69, p = 0.01) on D2 in predicting BCR.</w:t>
            </w:r>
          </w:p>
        </w:tc>
        <w:tc>
          <w:tcPr>
            <w:tcW w:type="dxa" w:w="1800"/>
            <w:vAlign w:val="top"/>
          </w:tcPr>
          <w:p>
            <w:pPr>
              <w:spacing w:after="0"/>
            </w:pPr>
            <w:r>
              <w:rPr>
                <w:sz w:val="14"/>
              </w:rPr>
              <w:t>Prognostic stratification after or around curative treatment</w:t>
            </w:r>
          </w:p>
        </w:tc>
        <w:tc>
          <w:tcPr>
            <w:tcW w:type="dxa" w:w="1872"/>
            <w:vAlign w:val="top"/>
          </w:tcPr>
          <w:p>
            <w:pPr>
              <w:spacing w:after="0"/>
            </w:pPr>
            <w:r>
              <w:rPr>
                <w:sz w:val="14"/>
              </w:rPr>
              <w:t>Prognosis is not the immediate patient-level histological pN1 decision</w:t>
            </w:r>
          </w:p>
        </w:tc>
      </w:tr>
      <w:tr>
        <w:trPr>
          <w:cantSplit/>
        </w:trPr>
        <w:tc>
          <w:tcPr>
            <w:tcW w:type="dxa" w:w="1699"/>
            <w:vAlign w:val="top"/>
          </w:tcPr>
          <w:p>
            <w:pPr>
              <w:spacing w:after="0"/>
            </w:pPr>
            <w:r>
              <w:rPr>
                <w:sz w:val="14"/>
              </w:rPr>
              <w:t>PROGNOSTIC (indirect) | Park S. 2020 [103]</w:t>
            </w:r>
          </w:p>
        </w:tc>
        <w:tc>
          <w:tcPr>
            <w:tcW w:type="dxa" w:w="1728"/>
            <w:vAlign w:val="top"/>
          </w:tcPr>
          <w:p>
            <w:pPr>
              <w:spacing w:after="0"/>
            </w:pPr>
            <w:r>
              <w:rPr>
                <w:sz w:val="14"/>
              </w:rPr>
              <w:t>Original study | n=104</w:t>
            </w:r>
          </w:p>
        </w:tc>
        <w:tc>
          <w:tcPr>
            <w:tcW w:type="dxa" w:w="2232"/>
            <w:vAlign w:val="top"/>
          </w:tcPr>
          <w:p>
            <w:pPr>
              <w:spacing w:after="0"/>
            </w:pPr>
            <w:r>
              <w:rPr>
                <w:sz w:val="14"/>
              </w:rPr>
              <w:t>A machine learning approach to predict an early biochemical recurrence after a radical prostatectomy</w:t>
            </w:r>
          </w:p>
        </w:tc>
        <w:tc>
          <w:tcPr>
            <w:tcW w:type="dxa" w:w="2232"/>
            <w:vAlign w:val="top"/>
          </w:tcPr>
          <w:p>
            <w:pPr>
              <w:spacing w:after="0"/>
            </w:pPr>
            <w:r>
              <w:rPr>
                <w:sz w:val="14"/>
              </w:rPr>
              <w:t>MRI/clinical machine learning for early BCR after prostatectomy</w:t>
            </w:r>
          </w:p>
        </w:tc>
        <w:tc>
          <w:tcPr>
            <w:tcW w:type="dxa" w:w="1195"/>
            <w:vAlign w:val="top"/>
          </w:tcPr>
          <w:p>
            <w:pPr>
              <w:spacing w:after="0"/>
            </w:pPr>
            <w:r>
              <w:rPr>
                <w:sz w:val="14"/>
              </w:rPr>
              <w:t>Apparent or internal; details NR in abstract</w:t>
            </w:r>
          </w:p>
        </w:tc>
        <w:tc>
          <w:tcPr>
            <w:tcW w:type="dxa" w:w="1728"/>
            <w:vAlign w:val="top"/>
          </w:tcPr>
          <w:p>
            <w:pPr>
              <w:spacing w:after="0"/>
            </w:pPr>
            <w:r>
              <w:rPr>
                <w:sz w:val="14"/>
              </w:rPr>
              <w:t>The sensitivity, specificity, and accuracy for detection of early BCR of each algorithm were evaluated.</w:t>
            </w:r>
          </w:p>
        </w:tc>
        <w:tc>
          <w:tcPr>
            <w:tcW w:type="dxa" w:w="1800"/>
            <w:vAlign w:val="top"/>
          </w:tcPr>
          <w:p>
            <w:pPr>
              <w:spacing w:after="0"/>
            </w:pPr>
            <w:r>
              <w:rPr>
                <w:sz w:val="14"/>
              </w:rPr>
              <w:t>Prognostic stratification after or around curative treatment</w:t>
            </w:r>
          </w:p>
        </w:tc>
        <w:tc>
          <w:tcPr>
            <w:tcW w:type="dxa" w:w="1872"/>
            <w:vAlign w:val="top"/>
          </w:tcPr>
          <w:p>
            <w:pPr>
              <w:spacing w:after="0"/>
            </w:pPr>
            <w:r>
              <w:rPr>
                <w:sz w:val="14"/>
              </w:rPr>
              <w:t>Prognosis is not the immediate patient-level histological pN1 decision</w:t>
            </w:r>
          </w:p>
        </w:tc>
      </w:tr>
    </w:tbl>
    <w:p>
      <w:pPr>
        <w:pStyle w:val="Heading1"/>
      </w:pPr>
      <w:r>
        <w:t>Supplementary Table S2. Model-level reporting relevant to ePLND omission</w:t>
      </w:r>
    </w:p>
    <w:p>
      <w:r>
        <w:t>NR indicates that the item was not reported or could not be extracted reliably. Absence of a reported item is not interpreted as evidence that it was not performed.</w:t>
      </w:r>
    </w:p>
    <w:tbl>
      <w:tblPr>
        <w:tblStyle w:val="TableGrid"/>
        <w:tblW w:type="dxa" w:w="13032"/>
        <w:jc w:val="center"/>
        <w:tblLayout w:type="fixed"/>
        <w:tblLook w:firstColumn="1" w:firstRow="1" w:lastColumn="0" w:lastRow="0" w:noHBand="0" w:noVBand="1" w:val="04A0"/>
        <w:tblInd w:w="70" w:type="dxa"/>
      </w:tblPr>
      <w:tblGrid>
        <w:gridCol w:w="1296"/>
        <w:gridCol w:w="1800"/>
        <w:gridCol w:w="1656"/>
        <w:gridCol w:w="1368"/>
        <w:gridCol w:w="2016"/>
        <w:gridCol w:w="893"/>
        <w:gridCol w:w="691"/>
        <w:gridCol w:w="3312"/>
      </w:tblGrid>
      <w:tr>
        <w:trPr>
          <w:cantSplit/>
          <w:trHeight w:hRule="atLeast"/>
          <w:tblHeader w:val="true"/>
        </w:trPr>
        <w:tc>
          <w:tcPr>
            <w:tcW w:type="dxa" w:w="1296"/>
            <w:vAlign w:val="center"/>
            <w:tcMar>
              <w:top w:w="55" w:type="dxa"/>
              <w:start w:w="70" w:type="dxa"/>
              <w:bottom w:w="55" w:type="dxa"/>
              <w:end w:w="70" w:type="dxa"/>
            </w:tcMar>
          </w:tcPr>
          <w:p>
            <w:pPr>
              <w:spacing w:after="0" w:before="0" w:line="240" w:lineRule="auto"/>
            </w:pPr>
            <w:r>
              <w:rPr>
                <w:rFonts w:ascii="Arial" w:hAnsi="Arial"/>
                <w:b/>
                <w:color w:val="000000"/>
                <w:sz w:val="14"/>
              </w:rPr>
              <w:t>Study</w:t>
            </w:r>
          </w:p>
        </w:tc>
        <w:tc>
          <w:tcPr>
            <w:tcW w:type="dxa" w:w="1800"/>
            <w:vAlign w:val="center"/>
            <w:tcMar>
              <w:top w:w="55" w:type="dxa"/>
              <w:start w:w="70" w:type="dxa"/>
              <w:bottom w:w="55" w:type="dxa"/>
              <w:end w:w="70" w:type="dxa"/>
            </w:tcMar>
          </w:tcPr>
          <w:p>
            <w:pPr>
              <w:spacing w:after="0" w:before="0" w:line="240" w:lineRule="auto"/>
            </w:pPr>
            <w:r>
              <w:rPr>
                <w:rFonts w:ascii="Arial" w:hAnsi="Arial"/>
                <w:b/>
                <w:color w:val="000000"/>
                <w:sz w:val="14"/>
              </w:rPr>
              <w:t>Unit / miN0 relevance</w:t>
            </w:r>
          </w:p>
        </w:tc>
        <w:tc>
          <w:tcPr>
            <w:tcW w:type="dxa" w:w="1656"/>
            <w:vAlign w:val="center"/>
            <w:tcMar>
              <w:top w:w="55" w:type="dxa"/>
              <w:start w:w="70" w:type="dxa"/>
              <w:bottom w:w="55" w:type="dxa"/>
              <w:end w:w="70" w:type="dxa"/>
            </w:tcMar>
          </w:tcPr>
          <w:p>
            <w:pPr>
              <w:spacing w:after="0" w:before="0" w:line="240" w:lineRule="auto"/>
            </w:pPr>
            <w:r>
              <w:rPr>
                <w:rFonts w:ascii="Arial" w:hAnsi="Arial"/>
                <w:b/>
                <w:color w:val="000000"/>
                <w:sz w:val="14"/>
              </w:rPr>
              <w:t>pN1 events / prevalence</w:t>
            </w:r>
          </w:p>
        </w:tc>
        <w:tc>
          <w:tcPr>
            <w:tcW w:type="dxa" w:w="1368"/>
            <w:vAlign w:val="center"/>
            <w:tcMar>
              <w:top w:w="55" w:type="dxa"/>
              <w:start w:w="70" w:type="dxa"/>
              <w:bottom w:w="55" w:type="dxa"/>
              <w:end w:w="70" w:type="dxa"/>
            </w:tcMar>
          </w:tcPr>
          <w:p>
            <w:pPr>
              <w:spacing w:after="0" w:before="0" w:line="240" w:lineRule="auto"/>
            </w:pPr>
            <w:r>
              <w:rPr>
                <w:rFonts w:ascii="Arial" w:hAnsi="Arial"/>
                <w:b/>
                <w:color w:val="000000"/>
                <w:sz w:val="14"/>
              </w:rPr>
              <w:t>Validation</w:t>
            </w:r>
          </w:p>
        </w:tc>
        <w:tc>
          <w:tcPr>
            <w:tcW w:type="dxa" w:w="2016"/>
            <w:vAlign w:val="center"/>
            <w:tcMar>
              <w:top w:w="55" w:type="dxa"/>
              <w:start w:w="70" w:type="dxa"/>
              <w:bottom w:w="55" w:type="dxa"/>
              <w:end w:w="70" w:type="dxa"/>
            </w:tcMar>
          </w:tcPr>
          <w:p>
            <w:pPr>
              <w:spacing w:after="0" w:before="0" w:line="240" w:lineRule="auto"/>
            </w:pPr>
            <w:r>
              <w:rPr>
                <w:rFonts w:ascii="Arial" w:hAnsi="Arial"/>
                <w:b/>
                <w:color w:val="000000"/>
                <w:sz w:val="14"/>
              </w:rPr>
              <w:t>Discrimination (95% CI)</w:t>
            </w:r>
          </w:p>
        </w:tc>
        <w:tc>
          <w:tcPr>
            <w:tcW w:type="dxa" w:w="893"/>
            <w:vAlign w:val="center"/>
            <w:tcMar>
              <w:top w:w="55" w:type="dxa"/>
              <w:start w:w="70" w:type="dxa"/>
              <w:bottom w:w="55" w:type="dxa"/>
              <w:end w:w="70" w:type="dxa"/>
            </w:tcMar>
          </w:tcPr>
          <w:p>
            <w:pPr>
              <w:spacing w:after="0" w:before="0" w:line="240" w:lineRule="auto"/>
            </w:pPr>
            <w:r>
              <w:rPr>
                <w:rFonts w:ascii="Arial" w:hAnsi="Arial"/>
                <w:b/>
                <w:color w:val="000000"/>
                <w:sz w:val="14"/>
              </w:rPr>
              <w:t>Calibration</w:t>
            </w:r>
          </w:p>
        </w:tc>
        <w:tc>
          <w:tcPr>
            <w:tcW w:type="dxa" w:w="691"/>
            <w:vAlign w:val="center"/>
            <w:tcMar>
              <w:top w:w="55" w:type="dxa"/>
              <w:start w:w="70" w:type="dxa"/>
              <w:bottom w:w="55" w:type="dxa"/>
              <w:end w:w="70" w:type="dxa"/>
            </w:tcMar>
          </w:tcPr>
          <w:p>
            <w:pPr>
              <w:spacing w:after="0" w:before="0" w:line="240" w:lineRule="auto"/>
            </w:pPr>
            <w:r>
              <w:rPr>
                <w:rFonts w:ascii="Arial" w:hAnsi="Arial"/>
                <w:b/>
                <w:color w:val="000000"/>
                <w:sz w:val="14"/>
              </w:rPr>
              <w:t>DCA</w:t>
            </w:r>
          </w:p>
        </w:tc>
        <w:tc>
          <w:tcPr>
            <w:tcW w:type="dxa" w:w="3312"/>
            <w:vAlign w:val="center"/>
            <w:tcMar>
              <w:top w:w="55" w:type="dxa"/>
              <w:start w:w="70" w:type="dxa"/>
              <w:bottom w:w="55" w:type="dxa"/>
              <w:end w:w="70" w:type="dxa"/>
            </w:tcMar>
          </w:tcPr>
          <w:p>
            <w:pPr>
              <w:spacing w:after="0" w:before="0" w:line="240" w:lineRule="auto"/>
            </w:pPr>
            <w:r>
              <w:rPr>
                <w:rFonts w:ascii="Arial" w:hAnsi="Arial"/>
                <w:b/>
                <w:color w:val="000000"/>
                <w:sz w:val="14"/>
              </w:rPr>
              <w:t>Prespecified threshold, ePLNDs avoided and pN1 missed</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Hou 2019</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Patient; not miN0-specific</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23.8% (≈59/248)</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Internal</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AUC 0.906; CI NR</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Data-derived: 54.4–56.9% spared; reported missed-LNI rate &lt;3%; absolute pN1 misses NR</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Zamboglou 2019</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Patient; not miN0-specific</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Separate same-centre cohort</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0.87; 0.85 (0.74–0.96)</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Median feature cutpoint; ePLND avoided/pN1 missed NR</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Bourbonne 2021</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Patient; not miN0-specific</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18.2% (≈51/280)</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Internal test</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C-index 0.89; CI NR</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NR</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Cysouw 2021</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Patient; not miN0-specific</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10/72 (13.9%)</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Repeated CV</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AUC 0.86 ± 0.15</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NR</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Hou 2021</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Patient; not miN0-specific</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Internal + external</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0.93 train; 0.92 internal; 0.76 external</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Data-derived: 59.6% spared at reported missed-LNI rate &lt;2%; absolute misses NR</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Wei 2021</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Patient; registry, no PSMA</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11.9% (≈343/2,884)</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Internal</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AUC 0.883; CI NR</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Claimed ≈50% spared with ≤3% LNI missed; absolute misses NR</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Liu 2022 (ADC)</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Patient; not miN0-specific</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17/128 test (13.3%)</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Independent temporal test</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AUC 0.73; CI NR</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NR</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Liu 2022 (T2 node)</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Node level; indirect</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NR at patient level</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Temporal node-level test</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AUC 0.96; CI NR</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Cannot estimate patient-level ePLND avoidance/misses</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Liu 2022 (DWI node)</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Node level; indirect</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NR at patient level</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Held-out node-level cohort</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AUC 0.90; ≤10 mm 0.83</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Cannot estimate patient-level ePLND avoidance/misses</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Zheng 2022</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Patient; not miN0-specific</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14 pN1 in test; denominator NR here</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Internal test</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0.915 (0.846–0.984)</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NR</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Luining 2023</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Patient; not miN0-specific</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10/72 train; 11/51 validation</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Internal + external</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0.88 ± 0.16 CV; 0.57 (0.40–0.75) validation</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Youden threshold sensitivity 0.18 (0.032–0.48); ePLND avoided/pN1 missed NR</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Sabbagh 2023</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Patient; legacy cohort, no PSMA</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External prevalence 9% (≈119/1,322)</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External</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AUC 0.82; CI NR</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Reported/limited transport</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NR</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Li C 2024</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Patient; mixed reference</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Internal + external</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0.847 train; 0.827 internal; 0.787 external</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NR</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Santucci 2024</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Patient; not miN0-specific</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Internal</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Best AUC 0.89; CI NR</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NR</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Ueki 2024</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Patient; not miN0-specific</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34/625 (5.4%)</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Internal</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AUC 0.924; CI NR</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NR</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Faiella 2025 (n=95)</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Patient; not miN0-specific</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Internal</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AUC NR; accuracy 84–87%</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NR</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Faiella 2025 (n=85)</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Patient; not miN0-specific</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Internal</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AUC near 1.0; CI NR</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NR</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Ma 2025</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Patient; not miN0-specific</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Internal test</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0.89 (0.81–0.97); test 0.85 (0.69–1.00)</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Curve reported</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Reported</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No prespecified threshold/ePLND count/absolute pN1 misses</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Wu 2025</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Patient; not miN0-specific</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Multicentre test</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AUC 0.896; CI NR</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NR</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Albayrak 2026</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Patient; not miN0-specific</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Internal</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Test AUC 0.962; CI NR</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NR</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Can 2026</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Patient; not miN0-specific</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10-fold CV</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Numeric AUC NR</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NR</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Cao 2026</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Patient; not miN0-specific</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Large external</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AUC 0.824–0.917; CI NR</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NR</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Luo 2026</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Patient; not miN0-specific</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Internal</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0.963 train; 0.920 validation</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NR</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Yılmaz 2026</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Patient; not miN0-specific</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20.6% (≈97/471)</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Internal</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Neural network 0.81; CI NR</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NR</w:t>
            </w:r>
          </w:p>
        </w:tc>
      </w:tr>
      <w:tr>
        <w:trPr>
          <w:cantSplit/>
          <w:trHeight w:hRule="atLeast"/>
        </w:trPr>
        <w:tc>
          <w:tcPr>
            <w:tcW w:type="dxa" w:w="1296"/>
            <w:vAlign w:val="center"/>
            <w:tcMar>
              <w:top w:w="55" w:type="dxa"/>
              <w:start w:w="70" w:type="dxa"/>
              <w:bottom w:w="55" w:type="dxa"/>
              <w:end w:w="70" w:type="dxa"/>
            </w:tcMar>
          </w:tcPr>
          <w:p>
            <w:pPr>
              <w:spacing w:after="0" w:before="0" w:line="240" w:lineRule="auto"/>
            </w:pPr>
            <w:r>
              <w:rPr>
                <w:rFonts w:ascii="Arial" w:hAnsi="Arial"/>
                <w:sz w:val="11"/>
              </w:rPr>
              <w:t>Zhang 2026</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Patient; not miN0-specific</w:t>
            </w:r>
          </w:p>
        </w:tc>
        <w:tc>
          <w:tcPr>
            <w:tcW w:type="dxa" w:w="1656"/>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1368"/>
            <w:vAlign w:val="center"/>
            <w:tcMar>
              <w:top w:w="55" w:type="dxa"/>
              <w:start w:w="70" w:type="dxa"/>
              <w:bottom w:w="55" w:type="dxa"/>
              <w:end w:w="70" w:type="dxa"/>
            </w:tcMar>
          </w:tcPr>
          <w:p>
            <w:pPr>
              <w:spacing w:after="0" w:before="0" w:line="240" w:lineRule="auto"/>
            </w:pPr>
            <w:r>
              <w:rPr>
                <w:rFonts w:ascii="Arial" w:hAnsi="Arial"/>
                <w:sz w:val="11"/>
              </w:rPr>
              <w:t>External</w:t>
            </w:r>
          </w:p>
        </w:tc>
        <w:tc>
          <w:tcPr>
            <w:tcW w:type="dxa" w:w="2016"/>
            <w:vAlign w:val="center"/>
            <w:tcMar>
              <w:top w:w="55" w:type="dxa"/>
              <w:start w:w="70" w:type="dxa"/>
              <w:bottom w:w="55" w:type="dxa"/>
              <w:end w:w="70" w:type="dxa"/>
            </w:tcMar>
          </w:tcPr>
          <w:p>
            <w:pPr>
              <w:spacing w:after="0" w:before="0" w:line="240" w:lineRule="auto"/>
            </w:pPr>
            <w:r>
              <w:rPr>
                <w:rFonts w:ascii="Arial" w:hAnsi="Arial"/>
                <w:sz w:val="11"/>
              </w:rPr>
              <w:t>0.861 internal; 0.815 external</w:t>
            </w:r>
          </w:p>
        </w:tc>
        <w:tc>
          <w:tcPr>
            <w:tcW w:type="dxa" w:w="893"/>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691"/>
            <w:vAlign w:val="center"/>
            <w:tcMar>
              <w:top w:w="55" w:type="dxa"/>
              <w:start w:w="70" w:type="dxa"/>
              <w:bottom w:w="55" w:type="dxa"/>
              <w:end w:w="70" w:type="dxa"/>
            </w:tcMar>
          </w:tcPr>
          <w:p>
            <w:pPr>
              <w:spacing w:after="0" w:before="0" w:line="240" w:lineRule="auto"/>
            </w:pPr>
            <w:r>
              <w:rPr>
                <w:rFonts w:ascii="Arial" w:hAnsi="Arial"/>
                <w:sz w:val="11"/>
              </w:rPr>
              <w:t>NR</w:t>
            </w:r>
          </w:p>
        </w:tc>
        <w:tc>
          <w:tcPr>
            <w:tcW w:type="dxa" w:w="3312"/>
            <w:vAlign w:val="center"/>
            <w:tcMar>
              <w:top w:w="55" w:type="dxa"/>
              <w:start w:w="70" w:type="dxa"/>
              <w:bottom w:w="55" w:type="dxa"/>
              <w:end w:w="70" w:type="dxa"/>
            </w:tcMar>
          </w:tcPr>
          <w:p>
            <w:pPr>
              <w:spacing w:after="0" w:before="0" w:line="240" w:lineRule="auto"/>
            </w:pPr>
            <w:r>
              <w:rPr>
                <w:rFonts w:ascii="Arial" w:hAnsi="Arial"/>
                <w:sz w:val="11"/>
              </w:rPr>
              <w:t>NR</w:t>
            </w:r>
          </w:p>
        </w:tc>
      </w:tr>
      <w:tr>
        <w:trPr>
          <w:cantSplit/>
        </w:trPr>
        <w:tc>
          <w:tcPr>
            <w:tcW w:type="dxa" w:w="1296"/>
            <w:vAlign w:val="top"/>
          </w:tcPr>
          <w:p>
            <w:pPr>
              <w:spacing w:after="0"/>
            </w:pPr>
            <w:r>
              <w:rPr>
                <w:sz w:val="15"/>
              </w:rPr>
              <w:t>Zhang 2025 [74]</w:t>
            </w:r>
          </w:p>
        </w:tc>
        <w:tc>
          <w:tcPr>
            <w:tcW w:type="dxa" w:w="1800"/>
            <w:vAlign w:val="top"/>
          </w:tcPr>
          <w:p>
            <w:pPr>
              <w:spacing w:after="0"/>
            </w:pPr>
            <w:r>
              <w:rPr>
                <w:sz w:val="15"/>
              </w:rPr>
              <w:t>Patient; miN0 NR</w:t>
            </w:r>
          </w:p>
        </w:tc>
        <w:tc>
          <w:tcPr>
            <w:tcW w:type="dxa" w:w="1656"/>
            <w:vAlign w:val="top"/>
          </w:tcPr>
          <w:p>
            <w:pPr>
              <w:spacing w:after="0"/>
            </w:pPr>
            <w:r>
              <w:rPr>
                <w:sz w:val="15"/>
              </w:rPr>
              <w:t>NR</w:t>
            </w:r>
          </w:p>
        </w:tc>
        <w:tc>
          <w:tcPr>
            <w:tcW w:type="dxa" w:w="1368"/>
            <w:vAlign w:val="top"/>
          </w:tcPr>
          <w:p>
            <w:pPr>
              <w:spacing w:after="0"/>
            </w:pPr>
            <w:r>
              <w:rPr>
                <w:sz w:val="15"/>
              </w:rPr>
              <w:t>Internal/cross-validation; details NR</w:t>
            </w:r>
          </w:p>
        </w:tc>
        <w:tc>
          <w:tcPr>
            <w:tcW w:type="dxa" w:w="2016"/>
            <w:vAlign w:val="top"/>
          </w:tcPr>
          <w:p>
            <w:pPr>
              <w:spacing w:after="0"/>
            </w:pPr>
            <w:r>
              <w:rPr>
                <w:sz w:val="15"/>
              </w:rPr>
              <w:t>AUC 0.919; CI NR</w:t>
            </w:r>
          </w:p>
        </w:tc>
        <w:tc>
          <w:tcPr>
            <w:tcW w:type="dxa" w:w="893"/>
            <w:vAlign w:val="top"/>
          </w:tcPr>
          <w:p>
            <w:pPr>
              <w:spacing w:after="0"/>
            </w:pPr>
            <w:r>
              <w:rPr>
                <w:sz w:val="15"/>
              </w:rPr>
              <w:t>NR</w:t>
            </w:r>
          </w:p>
        </w:tc>
        <w:tc>
          <w:tcPr>
            <w:tcW w:type="dxa" w:w="691"/>
            <w:vAlign w:val="top"/>
          </w:tcPr>
          <w:p>
            <w:pPr>
              <w:spacing w:after="0"/>
            </w:pPr>
            <w:r>
              <w:rPr>
                <w:sz w:val="15"/>
              </w:rPr>
              <w:t>NR</w:t>
            </w:r>
          </w:p>
        </w:tc>
        <w:tc>
          <w:tcPr>
            <w:tcW w:type="dxa" w:w="3312"/>
            <w:vAlign w:val="top"/>
          </w:tcPr>
          <w:p>
            <w:pPr>
              <w:spacing w:after="0"/>
            </w:pPr>
            <w:r>
              <w:rPr>
                <w:sz w:val="15"/>
              </w:rPr>
              <w:t>Threshold/ePLND consequences NR</w:t>
            </w:r>
          </w:p>
        </w:tc>
      </w:tr>
      <w:tr>
        <w:trPr>
          <w:cantSplit/>
        </w:trPr>
        <w:tc>
          <w:tcPr>
            <w:tcW w:type="dxa" w:w="1296"/>
            <w:vAlign w:val="top"/>
          </w:tcPr>
          <w:p>
            <w:pPr>
              <w:spacing w:after="0"/>
            </w:pPr>
            <w:r>
              <w:rPr>
                <w:sz w:val="15"/>
              </w:rPr>
              <w:t>Wagaskar 2025 [75]</w:t>
            </w:r>
          </w:p>
        </w:tc>
        <w:tc>
          <w:tcPr>
            <w:tcW w:type="dxa" w:w="1800"/>
            <w:vAlign w:val="top"/>
          </w:tcPr>
          <w:p>
            <w:pPr>
              <w:spacing w:after="0"/>
            </w:pPr>
            <w:r>
              <w:rPr>
                <w:sz w:val="15"/>
              </w:rPr>
              <w:t>Patient; mixed MRI strata</w:t>
            </w:r>
          </w:p>
        </w:tc>
        <w:tc>
          <w:tcPr>
            <w:tcW w:type="dxa" w:w="1656"/>
            <w:vAlign w:val="top"/>
          </w:tcPr>
          <w:p>
            <w:pPr>
              <w:spacing w:after="0"/>
            </w:pPr>
            <w:r>
              <w:rPr>
                <w:sz w:val="15"/>
              </w:rPr>
              <w:t>138/2172; 49/1233; 69/1003</w:t>
            </w:r>
          </w:p>
        </w:tc>
        <w:tc>
          <w:tcPr>
            <w:tcW w:type="dxa" w:w="1368"/>
            <w:vAlign w:val="top"/>
          </w:tcPr>
          <w:p>
            <w:pPr>
              <w:spacing w:after="0"/>
            </w:pPr>
            <w:r>
              <w:rPr>
                <w:sz w:val="15"/>
              </w:rPr>
              <w:t>Apparent/internal across three analytic cohorts</w:t>
            </w:r>
          </w:p>
        </w:tc>
        <w:tc>
          <w:tcPr>
            <w:tcW w:type="dxa" w:w="2016"/>
            <w:vAlign w:val="top"/>
          </w:tcPr>
          <w:p>
            <w:pPr>
              <w:spacing w:after="0"/>
            </w:pPr>
            <w:r>
              <w:rPr>
                <w:sz w:val="15"/>
              </w:rPr>
              <w:t>AUC 0.92/0.84/0.91; CI NR</w:t>
            </w:r>
          </w:p>
        </w:tc>
        <w:tc>
          <w:tcPr>
            <w:tcW w:type="dxa" w:w="893"/>
            <w:vAlign w:val="top"/>
          </w:tcPr>
          <w:p>
            <w:pPr>
              <w:spacing w:after="0"/>
            </w:pPr>
            <w:r>
              <w:rPr>
                <w:sz w:val="15"/>
              </w:rPr>
              <w:t>NR</w:t>
            </w:r>
          </w:p>
        </w:tc>
        <w:tc>
          <w:tcPr>
            <w:tcW w:type="dxa" w:w="691"/>
            <w:vAlign w:val="top"/>
          </w:tcPr>
          <w:p>
            <w:pPr>
              <w:spacing w:after="0"/>
            </w:pPr>
            <w:r>
              <w:rPr>
                <w:sz w:val="15"/>
              </w:rPr>
              <w:t>Reported</w:t>
            </w:r>
          </w:p>
        </w:tc>
        <w:tc>
          <w:tcPr>
            <w:tcW w:type="dxa" w:w="3312"/>
            <w:vAlign w:val="top"/>
          </w:tcPr>
          <w:p>
            <w:pPr>
              <w:spacing w:after="0"/>
            </w:pPr>
            <w:r>
              <w:rPr>
                <w:sz w:val="15"/>
              </w:rPr>
              <w:t>Claims few misses; threshold, avoided ePLNDs and absolute misses NR</w:t>
            </w:r>
          </w:p>
        </w:tc>
      </w:tr>
      <w:tr>
        <w:trPr>
          <w:cantSplit/>
        </w:trPr>
        <w:tc>
          <w:tcPr>
            <w:tcW w:type="dxa" w:w="1296"/>
            <w:vAlign w:val="top"/>
          </w:tcPr>
          <w:p>
            <w:pPr>
              <w:spacing w:after="0"/>
            </w:pPr>
            <w:r>
              <w:rPr>
                <w:sz w:val="15"/>
              </w:rPr>
              <w:t>Yao 2023 [76]</w:t>
            </w:r>
          </w:p>
        </w:tc>
        <w:tc>
          <w:tcPr>
            <w:tcW w:type="dxa" w:w="1800"/>
            <w:vAlign w:val="top"/>
          </w:tcPr>
          <w:p>
            <w:pPr>
              <w:spacing w:after="0"/>
            </w:pPr>
            <w:r>
              <w:rPr>
                <w:sz w:val="15"/>
              </w:rPr>
              <w:t>Patient; miN0 NR</w:t>
            </w:r>
          </w:p>
        </w:tc>
        <w:tc>
          <w:tcPr>
            <w:tcW w:type="dxa" w:w="1656"/>
            <w:vAlign w:val="top"/>
          </w:tcPr>
          <w:p>
            <w:pPr>
              <w:spacing w:after="0"/>
            </w:pPr>
            <w:r>
              <w:rPr>
                <w:sz w:val="15"/>
              </w:rPr>
              <w:t>63/151 (41.7%)</w:t>
            </w:r>
          </w:p>
        </w:tc>
        <w:tc>
          <w:tcPr>
            <w:tcW w:type="dxa" w:w="1368"/>
            <w:vAlign w:val="top"/>
          </w:tcPr>
          <w:p>
            <w:pPr>
              <w:spacing w:after="0"/>
            </w:pPr>
            <w:r>
              <w:rPr>
                <w:sz w:val="15"/>
              </w:rPr>
              <w:t>Apparent single-centre</w:t>
            </w:r>
          </w:p>
        </w:tc>
        <w:tc>
          <w:tcPr>
            <w:tcW w:type="dxa" w:w="2016"/>
            <w:vAlign w:val="top"/>
          </w:tcPr>
          <w:p>
            <w:pPr>
              <w:spacing w:after="0"/>
            </w:pPr>
            <w:r>
              <w:rPr>
                <w:sz w:val="15"/>
              </w:rPr>
              <w:t>AUC 0.974; CI NR</w:t>
            </w:r>
          </w:p>
        </w:tc>
        <w:tc>
          <w:tcPr>
            <w:tcW w:type="dxa" w:w="893"/>
            <w:vAlign w:val="top"/>
          </w:tcPr>
          <w:p>
            <w:pPr>
              <w:spacing w:after="0"/>
            </w:pPr>
            <w:r>
              <w:rPr>
                <w:sz w:val="15"/>
              </w:rPr>
              <w:t>NR</w:t>
            </w:r>
          </w:p>
        </w:tc>
        <w:tc>
          <w:tcPr>
            <w:tcW w:type="dxa" w:w="691"/>
            <w:vAlign w:val="top"/>
          </w:tcPr>
          <w:p>
            <w:pPr>
              <w:spacing w:after="0"/>
            </w:pPr>
            <w:r>
              <w:rPr>
                <w:sz w:val="15"/>
              </w:rPr>
              <w:t>NR</w:t>
            </w:r>
          </w:p>
        </w:tc>
        <w:tc>
          <w:tcPr>
            <w:tcW w:type="dxa" w:w="3312"/>
            <w:vAlign w:val="top"/>
          </w:tcPr>
          <w:p>
            <w:pPr>
              <w:spacing w:after="0"/>
            </w:pPr>
            <w:r>
              <w:rPr>
                <w:sz w:val="15"/>
              </w:rPr>
              <w:t>Data-derived cut-off; sensitivity 95.2%, specificity 93.2%; absolute consequences NR</w:t>
            </w:r>
          </w:p>
        </w:tc>
      </w:tr>
      <w:tr>
        <w:trPr>
          <w:cantSplit/>
        </w:trPr>
        <w:tc>
          <w:tcPr>
            <w:tcW w:type="dxa" w:w="1296"/>
            <w:vAlign w:val="top"/>
          </w:tcPr>
          <w:p>
            <w:pPr>
              <w:spacing w:after="0"/>
            </w:pPr>
            <w:r>
              <w:rPr>
                <w:sz w:val="15"/>
              </w:rPr>
              <w:t>Rho 2020 [77]</w:t>
            </w:r>
          </w:p>
        </w:tc>
        <w:tc>
          <w:tcPr>
            <w:tcW w:type="dxa" w:w="1800"/>
            <w:vAlign w:val="top"/>
          </w:tcPr>
          <w:p>
            <w:pPr>
              <w:spacing w:after="0"/>
            </w:pPr>
            <w:r>
              <w:rPr>
                <w:sz w:val="15"/>
              </w:rPr>
              <w:t>Patient; miN0 NR</w:t>
            </w:r>
          </w:p>
        </w:tc>
        <w:tc>
          <w:tcPr>
            <w:tcW w:type="dxa" w:w="1656"/>
            <w:vAlign w:val="top"/>
          </w:tcPr>
          <w:p>
            <w:pPr>
              <w:spacing w:after="0"/>
            </w:pPr>
            <w:r>
              <w:rPr>
                <w:sz w:val="15"/>
              </w:rPr>
              <w:t>NR</w:t>
            </w:r>
          </w:p>
        </w:tc>
        <w:tc>
          <w:tcPr>
            <w:tcW w:type="dxa" w:w="1368"/>
            <w:vAlign w:val="top"/>
          </w:tcPr>
          <w:p>
            <w:pPr>
              <w:spacing w:after="0"/>
            </w:pPr>
            <w:r>
              <w:rPr>
                <w:sz w:val="15"/>
              </w:rPr>
              <w:t>Three-hospital dataset; test structure unclear</w:t>
            </w:r>
          </w:p>
        </w:tc>
        <w:tc>
          <w:tcPr>
            <w:tcW w:type="dxa" w:w="2016"/>
            <w:vAlign w:val="top"/>
          </w:tcPr>
          <w:p>
            <w:pPr>
              <w:spacing w:after="0"/>
            </w:pPr>
            <w:r>
              <w:rPr>
                <w:sz w:val="15"/>
              </w:rPr>
              <w:t>LNM recall up to 95.45%; AUC/CI NR</w:t>
            </w:r>
          </w:p>
        </w:tc>
        <w:tc>
          <w:tcPr>
            <w:tcW w:type="dxa" w:w="893"/>
            <w:vAlign w:val="top"/>
          </w:tcPr>
          <w:p>
            <w:pPr>
              <w:spacing w:after="0"/>
            </w:pPr>
            <w:r>
              <w:rPr>
                <w:sz w:val="15"/>
              </w:rPr>
              <w:t>NR</w:t>
            </w:r>
          </w:p>
        </w:tc>
        <w:tc>
          <w:tcPr>
            <w:tcW w:type="dxa" w:w="691"/>
            <w:vAlign w:val="top"/>
          </w:tcPr>
          <w:p>
            <w:pPr>
              <w:spacing w:after="0"/>
            </w:pPr>
            <w:r>
              <w:rPr>
                <w:sz w:val="15"/>
              </w:rPr>
              <w:t>NR</w:t>
            </w:r>
          </w:p>
        </w:tc>
        <w:tc>
          <w:tcPr>
            <w:tcW w:type="dxa" w:w="3312"/>
            <w:vAlign w:val="top"/>
          </w:tcPr>
          <w:p>
            <w:pPr>
              <w:spacing w:after="0"/>
            </w:pPr>
            <w:r>
              <w:rPr>
                <w:sz w:val="15"/>
              </w:rPr>
              <w:t>No calibrated probability or ePLND threshold consequences</w:t>
            </w:r>
          </w:p>
        </w:tc>
      </w:tr>
    </w:tbl>
    <w:p>
      <w:pPr>
        <w:pStyle w:val="Heading1"/>
      </w:pPr>
      <w:r>
        <w:t>Supplementary Methods S4. Adapted PROBAST signalling questions and decision rules</w:t>
      </w:r>
    </w:p>
    <w:tbl>
      <w:tblPr>
        <w:tblStyle w:val="TableGrid"/>
        <w:tblW w:type="dxa" w:w="13032"/>
        <w:jc w:val="center"/>
        <w:tblLayout w:type="fixed"/>
        <w:tblLook w:firstColumn="1" w:firstRow="1" w:lastColumn="0" w:lastRow="0" w:noHBand="0" w:noVBand="1" w:val="04A0"/>
        <w:tblInd w:w="70" w:type="dxa"/>
      </w:tblPr>
      <w:tblGrid>
        <w:gridCol w:w="1512"/>
        <w:gridCol w:w="7128"/>
        <w:gridCol w:w="4392"/>
      </w:tblGrid>
      <w:tr>
        <w:trPr>
          <w:cantSplit/>
          <w:trHeight w:hRule="atLeast"/>
          <w:tblHeader w:val="true"/>
        </w:trPr>
        <w:tc>
          <w:tcPr>
            <w:tcW w:type="dxa" w:w="1512"/>
            <w:vAlign w:val="center"/>
            <w:tcMar>
              <w:top w:w="55" w:type="dxa"/>
              <w:start w:w="70" w:type="dxa"/>
              <w:bottom w:w="55" w:type="dxa"/>
              <w:end w:w="70" w:type="dxa"/>
            </w:tcMar>
          </w:tcPr>
          <w:p>
            <w:pPr>
              <w:spacing w:after="0" w:before="0" w:line="240" w:lineRule="auto"/>
            </w:pPr>
            <w:r>
              <w:rPr>
                <w:rFonts w:ascii="Arial" w:hAnsi="Arial"/>
                <w:b/>
                <w:color w:val="000000"/>
                <w:sz w:val="14"/>
              </w:rPr>
              <w:t>Domain</w:t>
            </w:r>
          </w:p>
        </w:tc>
        <w:tc>
          <w:tcPr>
            <w:tcW w:type="dxa" w:w="7128"/>
            <w:vAlign w:val="center"/>
            <w:tcMar>
              <w:top w:w="55" w:type="dxa"/>
              <w:start w:w="70" w:type="dxa"/>
              <w:bottom w:w="55" w:type="dxa"/>
              <w:end w:w="70" w:type="dxa"/>
            </w:tcMar>
          </w:tcPr>
          <w:p>
            <w:pPr>
              <w:spacing w:after="0" w:before="0" w:line="240" w:lineRule="auto"/>
            </w:pPr>
            <w:r>
              <w:rPr>
                <w:rFonts w:ascii="Arial" w:hAnsi="Arial"/>
                <w:b/>
                <w:color w:val="000000"/>
                <w:sz w:val="14"/>
              </w:rPr>
              <w:t>Adapted signalling questions</w:t>
            </w:r>
          </w:p>
        </w:tc>
        <w:tc>
          <w:tcPr>
            <w:tcW w:type="dxa" w:w="4392"/>
            <w:vAlign w:val="center"/>
            <w:tcMar>
              <w:top w:w="55" w:type="dxa"/>
              <w:start w:w="70" w:type="dxa"/>
              <w:bottom w:w="55" w:type="dxa"/>
              <w:end w:w="70" w:type="dxa"/>
            </w:tcMar>
          </w:tcPr>
          <w:p>
            <w:pPr>
              <w:spacing w:after="0" w:before="0" w:line="240" w:lineRule="auto"/>
            </w:pPr>
            <w:r>
              <w:rPr>
                <w:rFonts w:ascii="Arial" w:hAnsi="Arial"/>
                <w:b/>
                <w:color w:val="000000"/>
                <w:sz w:val="14"/>
              </w:rPr>
              <w:t>Model-level interpretation</w:t>
            </w:r>
          </w:p>
        </w:tc>
      </w:tr>
      <w:tr>
        <w:trPr>
          <w:cantSplit/>
          <w:trHeight w:hRule="atLeast"/>
        </w:trPr>
        <w:tc>
          <w:tcPr>
            <w:tcW w:type="dxa" w:w="1512"/>
            <w:vAlign w:val="center"/>
            <w:tcMar>
              <w:top w:w="55" w:type="dxa"/>
              <w:start w:w="70" w:type="dxa"/>
              <w:bottom w:w="55" w:type="dxa"/>
              <w:end w:w="70" w:type="dxa"/>
            </w:tcMar>
          </w:tcPr>
          <w:p>
            <w:pPr>
              <w:spacing w:after="0" w:before="0" w:line="240" w:lineRule="auto"/>
            </w:pPr>
            <w:r>
              <w:rPr>
                <w:rFonts w:ascii="Arial" w:hAnsi="Arial"/>
                <w:sz w:val="13"/>
              </w:rPr>
              <w:t>Participants</w:t>
            </w:r>
          </w:p>
        </w:tc>
        <w:tc>
          <w:tcPr>
            <w:tcW w:type="dxa" w:w="7128"/>
            <w:vAlign w:val="center"/>
            <w:tcMar>
              <w:top w:w="55" w:type="dxa"/>
              <w:start w:w="70" w:type="dxa"/>
              <w:bottom w:w="55" w:type="dxa"/>
              <w:end w:w="70" w:type="dxa"/>
            </w:tcMar>
          </w:tcPr>
          <w:p>
            <w:pPr>
              <w:spacing w:after="0" w:before="0" w:line="240" w:lineRule="auto"/>
            </w:pPr>
            <w:r>
              <w:rPr>
                <w:rFonts w:ascii="Arial" w:hAnsi="Arial"/>
                <w:sz w:val="13"/>
              </w:rPr>
              <w:t>Appropriate/consecutive data source? Exclusions unlikely to create spectrum bias? Intended miN0 UIR/HR population represented?</w:t>
            </w:r>
          </w:p>
        </w:tc>
        <w:tc>
          <w:tcPr>
            <w:tcW w:type="dxa" w:w="4392"/>
            <w:vAlign w:val="center"/>
            <w:tcMar>
              <w:top w:w="55" w:type="dxa"/>
              <w:start w:w="70" w:type="dxa"/>
              <w:bottom w:w="55" w:type="dxa"/>
              <w:end w:w="70" w:type="dxa"/>
            </w:tcMar>
          </w:tcPr>
          <w:p>
            <w:pPr>
              <w:spacing w:after="0" w:before="0" w:line="240" w:lineRule="auto"/>
            </w:pPr>
            <w:r>
              <w:rPr>
                <w:rFonts w:ascii="Arial" w:hAnsi="Arial"/>
                <w:sz w:val="13"/>
              </w:rPr>
              <w:t>Mixed miN status, selected/registry cohorts and heterogeneous surgery were considered explicitly.</w:t>
            </w:r>
          </w:p>
        </w:tc>
      </w:tr>
      <w:tr>
        <w:trPr>
          <w:cantSplit/>
          <w:trHeight w:hRule="atLeast"/>
        </w:trPr>
        <w:tc>
          <w:tcPr>
            <w:tcW w:type="dxa" w:w="1512"/>
            <w:vAlign w:val="center"/>
            <w:tcMar>
              <w:top w:w="55" w:type="dxa"/>
              <w:start w:w="70" w:type="dxa"/>
              <w:bottom w:w="55" w:type="dxa"/>
              <w:end w:w="70" w:type="dxa"/>
            </w:tcMar>
          </w:tcPr>
          <w:p>
            <w:pPr>
              <w:spacing w:after="0" w:before="0" w:line="240" w:lineRule="auto"/>
            </w:pPr>
            <w:r>
              <w:rPr>
                <w:rFonts w:ascii="Arial" w:hAnsi="Arial"/>
                <w:sz w:val="13"/>
              </w:rPr>
              <w:t>Predictors</w:t>
            </w:r>
          </w:p>
        </w:tc>
        <w:tc>
          <w:tcPr>
            <w:tcW w:type="dxa" w:w="7128"/>
            <w:vAlign w:val="center"/>
            <w:tcMar>
              <w:top w:w="55" w:type="dxa"/>
              <w:start w:w="70" w:type="dxa"/>
              <w:bottom w:w="55" w:type="dxa"/>
              <w:end w:w="70" w:type="dxa"/>
            </w:tcMar>
          </w:tcPr>
          <w:p>
            <w:pPr>
              <w:spacing w:after="0" w:before="0" w:line="240" w:lineRule="auto"/>
            </w:pPr>
            <w:r>
              <w:rPr>
                <w:rFonts w:ascii="Arial" w:hAnsi="Arial"/>
                <w:sz w:val="13"/>
              </w:rPr>
              <w:t>All predictors available before ePLND? Defined and assessed consistently without outcome knowledge? Imaging segmentation/preprocessing reproducible and locked?</w:t>
            </w:r>
          </w:p>
        </w:tc>
        <w:tc>
          <w:tcPr>
            <w:tcW w:type="dxa" w:w="4392"/>
            <w:vAlign w:val="center"/>
            <w:tcMar>
              <w:top w:w="55" w:type="dxa"/>
              <w:start w:w="70" w:type="dxa"/>
              <w:bottom w:w="55" w:type="dxa"/>
              <w:end w:w="70" w:type="dxa"/>
            </w:tcMar>
          </w:tcPr>
          <w:p>
            <w:pPr>
              <w:spacing w:after="0" w:before="0" w:line="240" w:lineRule="auto"/>
            </w:pPr>
            <w:r>
              <w:rPr>
                <w:rFonts w:ascii="Arial" w:hAnsi="Arial"/>
                <w:sz w:val="13"/>
              </w:rPr>
              <w:t>Postoperative predictors, nonreproducible workflows or outcome-informed preprocessing increased concern.</w:t>
            </w:r>
          </w:p>
        </w:tc>
      </w:tr>
      <w:tr>
        <w:trPr>
          <w:cantSplit/>
          <w:trHeight w:hRule="atLeast"/>
        </w:trPr>
        <w:tc>
          <w:tcPr>
            <w:tcW w:type="dxa" w:w="1512"/>
            <w:vAlign w:val="center"/>
            <w:tcMar>
              <w:top w:w="55" w:type="dxa"/>
              <w:start w:w="70" w:type="dxa"/>
              <w:bottom w:w="55" w:type="dxa"/>
              <w:end w:w="70" w:type="dxa"/>
            </w:tcMar>
          </w:tcPr>
          <w:p>
            <w:pPr>
              <w:spacing w:after="0" w:before="0" w:line="240" w:lineRule="auto"/>
            </w:pPr>
            <w:r>
              <w:rPr>
                <w:rFonts w:ascii="Arial" w:hAnsi="Arial"/>
                <w:sz w:val="13"/>
              </w:rPr>
              <w:t>Outcome</w:t>
            </w:r>
          </w:p>
        </w:tc>
        <w:tc>
          <w:tcPr>
            <w:tcW w:type="dxa" w:w="7128"/>
            <w:vAlign w:val="center"/>
            <w:tcMar>
              <w:top w:w="55" w:type="dxa"/>
              <w:start w:w="70" w:type="dxa"/>
              <w:bottom w:w="55" w:type="dxa"/>
              <w:end w:w="70" w:type="dxa"/>
            </w:tcMar>
          </w:tcPr>
          <w:p>
            <w:pPr>
              <w:spacing w:after="0" w:before="0" w:line="240" w:lineRule="auto"/>
            </w:pPr>
            <w:r>
              <w:rPr>
                <w:rFonts w:ascii="Arial" w:hAnsi="Arial"/>
                <w:sz w:val="13"/>
              </w:rPr>
              <w:t>Patient-level pN1 established by protocolised PLND/ePLND? Outcome assessed consistently and without predictor incorporation?</w:t>
            </w:r>
          </w:p>
        </w:tc>
        <w:tc>
          <w:tcPr>
            <w:tcW w:type="dxa" w:w="4392"/>
            <w:vAlign w:val="center"/>
            <w:tcMar>
              <w:top w:w="55" w:type="dxa"/>
              <w:start w:w="70" w:type="dxa"/>
              <w:bottom w:w="55" w:type="dxa"/>
              <w:end w:w="70" w:type="dxa"/>
            </w:tcMar>
          </w:tcPr>
          <w:p>
            <w:pPr>
              <w:spacing w:after="0" w:before="0" w:line="240" w:lineRule="auto"/>
            </w:pPr>
            <w:r>
              <w:rPr>
                <w:rFonts w:ascii="Arial" w:hAnsi="Arial"/>
                <w:sz w:val="13"/>
              </w:rPr>
              <w:t>Node-level or radiological/mixed labels were penalised; variable templates/yield increased concern.</w:t>
            </w:r>
          </w:p>
        </w:tc>
      </w:tr>
      <w:tr>
        <w:trPr>
          <w:cantSplit/>
          <w:trHeight w:hRule="atLeast"/>
        </w:trPr>
        <w:tc>
          <w:tcPr>
            <w:tcW w:type="dxa" w:w="1512"/>
            <w:vAlign w:val="center"/>
            <w:tcMar>
              <w:top w:w="55" w:type="dxa"/>
              <w:start w:w="70" w:type="dxa"/>
              <w:bottom w:w="55" w:type="dxa"/>
              <w:end w:w="70" w:type="dxa"/>
            </w:tcMar>
          </w:tcPr>
          <w:p>
            <w:pPr>
              <w:spacing w:after="0" w:before="0" w:line="240" w:lineRule="auto"/>
            </w:pPr>
            <w:r>
              <w:rPr>
                <w:rFonts w:ascii="Arial" w:hAnsi="Arial"/>
                <w:sz w:val="13"/>
              </w:rPr>
              <w:t>Analysis</w:t>
            </w:r>
          </w:p>
        </w:tc>
        <w:tc>
          <w:tcPr>
            <w:tcW w:type="dxa" w:w="7128"/>
            <w:vAlign w:val="center"/>
            <w:tcMar>
              <w:top w:w="55" w:type="dxa"/>
              <w:start w:w="70" w:type="dxa"/>
              <w:bottom w:w="55" w:type="dxa"/>
              <w:end w:w="70" w:type="dxa"/>
            </w:tcMar>
          </w:tcPr>
          <w:p>
            <w:pPr>
              <w:spacing w:after="0" w:before="0" w:line="240" w:lineRule="auto"/>
            </w:pPr>
            <w:r>
              <w:rPr>
                <w:rFonts w:ascii="Arial" w:hAnsi="Arial"/>
                <w:sz w:val="13"/>
              </w:rPr>
              <w:t>Adequate events relative to candidate predictors? Missing data handled appropriately? Feature selection/tuning nested? Patient/centre clustering and imbalance handled? Performance included CI and calibration? Independent validation without leakage?</w:t>
            </w:r>
          </w:p>
        </w:tc>
        <w:tc>
          <w:tcPr>
            <w:tcW w:type="dxa" w:w="4392"/>
            <w:vAlign w:val="center"/>
            <w:tcMar>
              <w:top w:w="55" w:type="dxa"/>
              <w:start w:w="70" w:type="dxa"/>
              <w:bottom w:w="55" w:type="dxa"/>
              <w:end w:w="70" w:type="dxa"/>
            </w:tcMar>
          </w:tcPr>
          <w:p>
            <w:pPr>
              <w:spacing w:after="0" w:before="0" w:line="240" w:lineRule="auto"/>
            </w:pPr>
            <w:r>
              <w:rPr>
                <w:rFonts w:ascii="Arial" w:hAnsi="Arial"/>
                <w:sz w:val="13"/>
              </w:rPr>
              <w:t>High-dimensional small-event studies, non-nested selection, leakage, pseudoreplication, no calibration and no external test drove high risk.</w:t>
            </w:r>
          </w:p>
        </w:tc>
      </w:tr>
      <w:tr>
        <w:trPr>
          <w:cantSplit/>
          <w:trHeight w:hRule="atLeast"/>
        </w:trPr>
        <w:tc>
          <w:tcPr>
            <w:tcW w:type="dxa" w:w="1512"/>
            <w:vAlign w:val="center"/>
            <w:tcMar>
              <w:top w:w="55" w:type="dxa"/>
              <w:start w:w="70" w:type="dxa"/>
              <w:bottom w:w="55" w:type="dxa"/>
              <w:end w:w="70" w:type="dxa"/>
            </w:tcMar>
          </w:tcPr>
          <w:p>
            <w:pPr>
              <w:spacing w:after="0" w:before="0" w:line="240" w:lineRule="auto"/>
            </w:pPr>
            <w:r>
              <w:rPr>
                <w:rFonts w:ascii="Arial" w:hAnsi="Arial"/>
                <w:sz w:val="13"/>
              </w:rPr>
              <w:t>Applicability</w:t>
            </w:r>
          </w:p>
        </w:tc>
        <w:tc>
          <w:tcPr>
            <w:tcW w:type="dxa" w:w="7128"/>
            <w:vAlign w:val="center"/>
            <w:tcMar>
              <w:top w:w="55" w:type="dxa"/>
              <w:start w:w="70" w:type="dxa"/>
              <w:bottom w:w="55" w:type="dxa"/>
              <w:end w:w="70" w:type="dxa"/>
            </w:tcMar>
          </w:tcPr>
          <w:p>
            <w:pPr>
              <w:spacing w:after="0" w:before="0" w:line="240" w:lineRule="auto"/>
            </w:pPr>
            <w:r>
              <w:rPr>
                <w:rFonts w:ascii="Arial" w:hAnsi="Arial"/>
                <w:sz w:val="13"/>
              </w:rPr>
              <w:t>Population, predictors and outcome match preoperative patient-level pN1 prediction in miN0 UIR/HR patients undergoing standardised ePLND?</w:t>
            </w:r>
          </w:p>
        </w:tc>
        <w:tc>
          <w:tcPr>
            <w:tcW w:type="dxa" w:w="4392"/>
            <w:vAlign w:val="center"/>
            <w:tcMar>
              <w:top w:w="55" w:type="dxa"/>
              <w:start w:w="70" w:type="dxa"/>
              <w:bottom w:w="55" w:type="dxa"/>
              <w:end w:w="70" w:type="dxa"/>
            </w:tcMar>
          </w:tcPr>
          <w:p>
            <w:pPr>
              <w:spacing w:after="0" w:before="0" w:line="240" w:lineRule="auto"/>
            </w:pPr>
            <w:r>
              <w:rPr>
                <w:rFonts w:ascii="Arial" w:hAnsi="Arial"/>
                <w:sz w:val="13"/>
              </w:rPr>
              <w:t>Node-level, non-miN0, legacy/no-PSMA and mixed-reference models were indirect.</w:t>
            </w:r>
          </w:p>
        </w:tc>
      </w:tr>
    </w:tbl>
    <w:p>
      <w:r>
        <w:t>Decision rules: a domain was High when at least one signalling issue created a material risk of bias; Some concerns when information was incomplete or concerns were limited; and Low when all relevant signals were satisfactory. Overall risk was High if any domain was High. PRP and AZM rated each model independently and resolved ratings by consensus. Among 29 nodal reports, Analysis was High in 25 and Participants in 23; these domains drove the overall High rating in 25/29 reports.</w:t>
      </w:r>
    </w:p>
    <w:p>
      <w:pPr>
        <w:pStyle w:val="Heading1"/>
      </w:pPr>
      <w:r>
        <w:t>Supplementary Table S3. Dominant adapted PROBAST domains</w:t>
      </w:r>
    </w:p>
    <w:tbl>
      <w:tblPr>
        <w:tblStyle w:val="TableGrid"/>
        <w:tblW w:type="dxa" w:w="13032"/>
        <w:jc w:val="center"/>
        <w:tblLayout w:type="fixed"/>
        <w:tblLook w:firstColumn="1" w:firstRow="1" w:lastColumn="0" w:lastRow="0" w:noHBand="0" w:noVBand="1" w:val="04A0"/>
        <w:tblInd w:w="70" w:type="dxa"/>
      </w:tblPr>
      <w:tblGrid>
        <w:gridCol w:w="2088"/>
        <w:gridCol w:w="1224"/>
        <w:gridCol w:w="1512"/>
        <w:gridCol w:w="1152"/>
        <w:gridCol w:w="7056"/>
      </w:tblGrid>
      <w:tr>
        <w:trPr>
          <w:cantSplit/>
          <w:trHeight w:hRule="atLeast"/>
          <w:tblHeader w:val="true"/>
        </w:trPr>
        <w:tc>
          <w:tcPr>
            <w:tcW w:type="dxa" w:w="2088"/>
            <w:vAlign w:val="center"/>
            <w:tcMar>
              <w:top w:w="55" w:type="dxa"/>
              <w:start w:w="70" w:type="dxa"/>
              <w:bottom w:w="55" w:type="dxa"/>
              <w:end w:w="70" w:type="dxa"/>
            </w:tcMar>
          </w:tcPr>
          <w:p>
            <w:pPr>
              <w:spacing w:after="0" w:before="0" w:line="240" w:lineRule="auto"/>
            </w:pPr>
            <w:r>
              <w:rPr>
                <w:rFonts w:ascii="Arial" w:hAnsi="Arial"/>
                <w:b/>
                <w:color w:val="000000"/>
                <w:sz w:val="14"/>
              </w:rPr>
              <w:t>Domain</w:t>
            </w:r>
          </w:p>
        </w:tc>
        <w:tc>
          <w:tcPr>
            <w:tcW w:type="dxa" w:w="1224"/>
            <w:vAlign w:val="center"/>
            <w:tcMar>
              <w:top w:w="55" w:type="dxa"/>
              <w:start w:w="70" w:type="dxa"/>
              <w:bottom w:w="55" w:type="dxa"/>
              <w:end w:w="70" w:type="dxa"/>
            </w:tcMar>
          </w:tcPr>
          <w:p>
            <w:pPr>
              <w:spacing w:after="0" w:before="0" w:line="240" w:lineRule="auto"/>
            </w:pPr>
            <w:r>
              <w:rPr>
                <w:rFonts w:ascii="Arial" w:hAnsi="Arial"/>
                <w:b/>
                <w:color w:val="000000"/>
                <w:sz w:val="14"/>
              </w:rPr>
              <w:t>High</w:t>
            </w:r>
          </w:p>
        </w:tc>
        <w:tc>
          <w:tcPr>
            <w:tcW w:type="dxa" w:w="1512"/>
            <w:vAlign w:val="center"/>
            <w:tcMar>
              <w:top w:w="55" w:type="dxa"/>
              <w:start w:w="70" w:type="dxa"/>
              <w:bottom w:w="55" w:type="dxa"/>
              <w:end w:w="70" w:type="dxa"/>
            </w:tcMar>
          </w:tcPr>
          <w:p>
            <w:pPr>
              <w:spacing w:after="0" w:before="0" w:line="240" w:lineRule="auto"/>
            </w:pPr>
            <w:r>
              <w:rPr>
                <w:rFonts w:ascii="Arial" w:hAnsi="Arial"/>
                <w:b/>
                <w:color w:val="000000"/>
                <w:sz w:val="14"/>
              </w:rPr>
              <w:t>Some concerns</w:t>
            </w:r>
          </w:p>
        </w:tc>
        <w:tc>
          <w:tcPr>
            <w:tcW w:type="dxa" w:w="1152"/>
            <w:vAlign w:val="center"/>
            <w:tcMar>
              <w:top w:w="55" w:type="dxa"/>
              <w:start w:w="70" w:type="dxa"/>
              <w:bottom w:w="55" w:type="dxa"/>
              <w:end w:w="70" w:type="dxa"/>
            </w:tcMar>
          </w:tcPr>
          <w:p>
            <w:pPr>
              <w:spacing w:after="0" w:before="0" w:line="240" w:lineRule="auto"/>
            </w:pPr>
            <w:r>
              <w:rPr>
                <w:rFonts w:ascii="Arial" w:hAnsi="Arial"/>
                <w:b/>
                <w:color w:val="000000"/>
                <w:sz w:val="14"/>
              </w:rPr>
              <w:t>Low</w:t>
            </w:r>
          </w:p>
        </w:tc>
        <w:tc>
          <w:tcPr>
            <w:tcW w:type="dxa" w:w="7056"/>
            <w:vAlign w:val="center"/>
            <w:tcMar>
              <w:top w:w="55" w:type="dxa"/>
              <w:start w:w="70" w:type="dxa"/>
              <w:bottom w:w="55" w:type="dxa"/>
              <w:end w:w="70" w:type="dxa"/>
            </w:tcMar>
          </w:tcPr>
          <w:p>
            <w:pPr>
              <w:spacing w:after="0" w:before="0" w:line="240" w:lineRule="auto"/>
            </w:pPr>
            <w:r>
              <w:rPr>
                <w:rFonts w:ascii="Arial" w:hAnsi="Arial"/>
                <w:b/>
                <w:color w:val="000000"/>
                <w:sz w:val="14"/>
              </w:rPr>
              <w:t>Dominant reason</w:t>
            </w:r>
          </w:p>
        </w:tc>
      </w:tr>
      <w:tr>
        <w:trPr>
          <w:cantSplit/>
          <w:trHeight w:hRule="atLeast"/>
        </w:trPr>
        <w:tc>
          <w:tcPr>
            <w:tcW w:type="dxa" w:w="2088"/>
            <w:vAlign w:val="center"/>
            <w:tcMar>
              <w:top w:w="55" w:type="dxa"/>
              <w:start w:w="70" w:type="dxa"/>
              <w:bottom w:w="55" w:type="dxa"/>
              <w:end w:w="70" w:type="dxa"/>
            </w:tcMar>
          </w:tcPr>
          <w:p>
            <w:pPr>
              <w:spacing w:after="0" w:before="0" w:line="240" w:lineRule="auto"/>
            </w:pPr>
            <w:r>
              <w:rPr>
                <w:rFonts w:ascii="Arial" w:hAnsi="Arial"/>
                <w:sz w:val="14"/>
              </w:rPr>
              <w:t>Participants</w:t>
            </w:r>
          </w:p>
        </w:tc>
        <w:tc>
          <w:tcPr>
            <w:tcW w:type="dxa" w:w="1224"/>
            <w:vAlign w:val="top"/>
            <w:tcMar>
              <w:top w:w="55" w:type="dxa"/>
              <w:start w:w="70" w:type="dxa"/>
              <w:bottom w:w="55" w:type="dxa"/>
              <w:end w:w="70" w:type="dxa"/>
            </w:tcMar>
          </w:tcPr>
          <w:p>
            <w:pPr>
              <w:spacing w:after="0"/>
            </w:pPr>
            <w:r>
              <w:rPr>
                <w:sz w:val="15"/>
              </w:rPr>
              <w:t>23</w:t>
            </w:r>
          </w:p>
        </w:tc>
        <w:tc>
          <w:tcPr>
            <w:tcW w:type="dxa" w:w="1512"/>
            <w:vAlign w:val="top"/>
            <w:tcMar>
              <w:top w:w="55" w:type="dxa"/>
              <w:start w:w="70" w:type="dxa"/>
              <w:bottom w:w="55" w:type="dxa"/>
              <w:end w:w="70" w:type="dxa"/>
            </w:tcMar>
          </w:tcPr>
          <w:p>
            <w:pPr>
              <w:spacing w:after="0"/>
            </w:pPr>
            <w:r>
              <w:rPr>
                <w:sz w:val="15"/>
              </w:rPr>
              <w:t>6</w:t>
            </w:r>
          </w:p>
        </w:tc>
        <w:tc>
          <w:tcPr>
            <w:tcW w:type="dxa" w:w="1152"/>
            <w:vAlign w:val="top"/>
            <w:tcMar>
              <w:top w:w="55" w:type="dxa"/>
              <w:start w:w="70" w:type="dxa"/>
              <w:bottom w:w="55" w:type="dxa"/>
              <w:end w:w="70" w:type="dxa"/>
            </w:tcMar>
          </w:tcPr>
          <w:p>
            <w:pPr>
              <w:spacing w:after="0"/>
            </w:pPr>
            <w:r>
              <w:rPr>
                <w:sz w:val="15"/>
              </w:rPr>
              <w:t>0</w:t>
            </w:r>
          </w:p>
        </w:tc>
        <w:tc>
          <w:tcPr>
            <w:tcW w:type="dxa" w:w="7056"/>
            <w:vAlign w:val="top"/>
            <w:tcMar>
              <w:top w:w="55" w:type="dxa"/>
              <w:start w:w="70" w:type="dxa"/>
              <w:bottom w:w="55" w:type="dxa"/>
              <w:end w:w="70" w:type="dxa"/>
            </w:tcMar>
          </w:tcPr>
          <w:p>
            <w:pPr>
              <w:spacing w:after="0"/>
            </w:pPr>
            <w:r>
              <w:rPr>
                <w:sz w:val="15"/>
              </w:rPr>
              <w:t>Selected/retrospective cohorts, mixed or unreported miN status and heterogeneous surgery</w:t>
            </w:r>
          </w:p>
        </w:tc>
      </w:tr>
      <w:tr>
        <w:trPr>
          <w:cantSplit/>
          <w:trHeight w:hRule="atLeast"/>
        </w:trPr>
        <w:tc>
          <w:tcPr>
            <w:tcW w:type="dxa" w:w="2088"/>
            <w:vAlign w:val="center"/>
            <w:tcMar>
              <w:top w:w="55" w:type="dxa"/>
              <w:start w:w="70" w:type="dxa"/>
              <w:bottom w:w="55" w:type="dxa"/>
              <w:end w:w="70" w:type="dxa"/>
            </w:tcMar>
          </w:tcPr>
          <w:p>
            <w:pPr>
              <w:spacing w:after="0" w:before="0" w:line="240" w:lineRule="auto"/>
            </w:pPr>
            <w:r>
              <w:rPr>
                <w:rFonts w:ascii="Arial" w:hAnsi="Arial"/>
                <w:sz w:val="14"/>
              </w:rPr>
              <w:t>Predictors</w:t>
            </w:r>
          </w:p>
        </w:tc>
        <w:tc>
          <w:tcPr>
            <w:tcW w:type="dxa" w:w="1224"/>
            <w:vAlign w:val="top"/>
            <w:tcMar>
              <w:top w:w="55" w:type="dxa"/>
              <w:start w:w="70" w:type="dxa"/>
              <w:bottom w:w="55" w:type="dxa"/>
              <w:end w:w="70" w:type="dxa"/>
            </w:tcMar>
          </w:tcPr>
          <w:p>
            <w:pPr>
              <w:spacing w:after="0"/>
            </w:pPr>
            <w:r>
              <w:rPr>
                <w:sz w:val="15"/>
              </w:rPr>
              <w:t>3</w:t>
            </w:r>
          </w:p>
        </w:tc>
        <w:tc>
          <w:tcPr>
            <w:tcW w:type="dxa" w:w="1512"/>
            <w:vAlign w:val="top"/>
            <w:tcMar>
              <w:top w:w="55" w:type="dxa"/>
              <w:start w:w="70" w:type="dxa"/>
              <w:bottom w:w="55" w:type="dxa"/>
              <w:end w:w="70" w:type="dxa"/>
            </w:tcMar>
          </w:tcPr>
          <w:p>
            <w:pPr>
              <w:spacing w:after="0"/>
            </w:pPr>
            <w:r>
              <w:rPr>
                <w:sz w:val="15"/>
              </w:rPr>
              <w:t>26</w:t>
            </w:r>
          </w:p>
        </w:tc>
        <w:tc>
          <w:tcPr>
            <w:tcW w:type="dxa" w:w="1152"/>
            <w:vAlign w:val="top"/>
            <w:tcMar>
              <w:top w:w="55" w:type="dxa"/>
              <w:start w:w="70" w:type="dxa"/>
              <w:bottom w:w="55" w:type="dxa"/>
              <w:end w:w="70" w:type="dxa"/>
            </w:tcMar>
          </w:tcPr>
          <w:p>
            <w:pPr>
              <w:spacing w:after="0"/>
            </w:pPr>
            <w:r>
              <w:rPr>
                <w:sz w:val="15"/>
              </w:rPr>
              <w:t>0</w:t>
            </w:r>
          </w:p>
        </w:tc>
        <w:tc>
          <w:tcPr>
            <w:tcW w:type="dxa" w:w="7056"/>
            <w:vAlign w:val="top"/>
            <w:tcMar>
              <w:top w:w="55" w:type="dxa"/>
              <w:start w:w="70" w:type="dxa"/>
              <w:bottom w:w="55" w:type="dxa"/>
              <w:end w:w="70" w:type="dxa"/>
            </w:tcMar>
          </w:tcPr>
          <w:p>
            <w:pPr>
              <w:spacing w:after="0"/>
            </w:pPr>
            <w:r>
              <w:rPr>
                <w:sz w:val="15"/>
              </w:rPr>
              <w:t>Segmentation/preprocessing reproducibility and predictor availability/reporting</w:t>
            </w:r>
          </w:p>
        </w:tc>
      </w:tr>
      <w:tr>
        <w:trPr>
          <w:cantSplit/>
          <w:trHeight w:hRule="atLeast"/>
        </w:trPr>
        <w:tc>
          <w:tcPr>
            <w:tcW w:type="dxa" w:w="2088"/>
            <w:vAlign w:val="center"/>
            <w:tcMar>
              <w:top w:w="55" w:type="dxa"/>
              <w:start w:w="70" w:type="dxa"/>
              <w:bottom w:w="55" w:type="dxa"/>
              <w:end w:w="70" w:type="dxa"/>
            </w:tcMar>
          </w:tcPr>
          <w:p>
            <w:pPr>
              <w:spacing w:after="0" w:before="0" w:line="240" w:lineRule="auto"/>
            </w:pPr>
            <w:r>
              <w:rPr>
                <w:rFonts w:ascii="Arial" w:hAnsi="Arial"/>
                <w:sz w:val="14"/>
              </w:rPr>
              <w:t>Outcome</w:t>
            </w:r>
          </w:p>
        </w:tc>
        <w:tc>
          <w:tcPr>
            <w:tcW w:type="dxa" w:w="1224"/>
            <w:vAlign w:val="top"/>
            <w:tcMar>
              <w:top w:w="55" w:type="dxa"/>
              <w:start w:w="70" w:type="dxa"/>
              <w:bottom w:w="55" w:type="dxa"/>
              <w:end w:w="70" w:type="dxa"/>
            </w:tcMar>
          </w:tcPr>
          <w:p>
            <w:pPr>
              <w:spacing w:after="0"/>
            </w:pPr>
            <w:r>
              <w:rPr>
                <w:sz w:val="15"/>
              </w:rPr>
              <w:t>4</w:t>
            </w:r>
          </w:p>
        </w:tc>
        <w:tc>
          <w:tcPr>
            <w:tcW w:type="dxa" w:w="1512"/>
            <w:vAlign w:val="top"/>
            <w:tcMar>
              <w:top w:w="55" w:type="dxa"/>
              <w:start w:w="70" w:type="dxa"/>
              <w:bottom w:w="55" w:type="dxa"/>
              <w:end w:w="70" w:type="dxa"/>
            </w:tcMar>
          </w:tcPr>
          <w:p>
            <w:pPr>
              <w:spacing w:after="0"/>
            </w:pPr>
            <w:r>
              <w:rPr>
                <w:sz w:val="15"/>
              </w:rPr>
              <w:t>5</w:t>
            </w:r>
          </w:p>
        </w:tc>
        <w:tc>
          <w:tcPr>
            <w:tcW w:type="dxa" w:w="1152"/>
            <w:vAlign w:val="top"/>
            <w:tcMar>
              <w:top w:w="55" w:type="dxa"/>
              <w:start w:w="70" w:type="dxa"/>
              <w:bottom w:w="55" w:type="dxa"/>
              <w:end w:w="70" w:type="dxa"/>
            </w:tcMar>
          </w:tcPr>
          <w:p>
            <w:pPr>
              <w:spacing w:after="0"/>
            </w:pPr>
            <w:r>
              <w:rPr>
                <w:sz w:val="15"/>
              </w:rPr>
              <w:t>20</w:t>
            </w:r>
          </w:p>
        </w:tc>
        <w:tc>
          <w:tcPr>
            <w:tcW w:type="dxa" w:w="7056"/>
            <w:vAlign w:val="top"/>
            <w:tcMar>
              <w:top w:w="55" w:type="dxa"/>
              <w:start w:w="70" w:type="dxa"/>
              <w:bottom w:w="55" w:type="dxa"/>
              <w:end w:w="70" w:type="dxa"/>
            </w:tcMar>
          </w:tcPr>
          <w:p>
            <w:pPr>
              <w:spacing w:after="0"/>
            </w:pPr>
            <w:r>
              <w:rPr>
                <w:sz w:val="15"/>
              </w:rPr>
              <w:t>Node-level, surrogate or incompletely described surgical reference standards</w:t>
            </w:r>
          </w:p>
        </w:tc>
      </w:tr>
      <w:tr>
        <w:trPr>
          <w:cantSplit/>
          <w:trHeight w:hRule="atLeast"/>
        </w:trPr>
        <w:tc>
          <w:tcPr>
            <w:tcW w:type="dxa" w:w="2088"/>
            <w:vAlign w:val="center"/>
            <w:tcMar>
              <w:top w:w="55" w:type="dxa"/>
              <w:start w:w="70" w:type="dxa"/>
              <w:bottom w:w="55" w:type="dxa"/>
              <w:end w:w="70" w:type="dxa"/>
            </w:tcMar>
          </w:tcPr>
          <w:p>
            <w:pPr>
              <w:spacing w:after="0" w:before="0" w:line="240" w:lineRule="auto"/>
            </w:pPr>
            <w:r>
              <w:rPr>
                <w:rFonts w:ascii="Arial" w:hAnsi="Arial"/>
                <w:sz w:val="14"/>
              </w:rPr>
              <w:t>Analysis</w:t>
            </w:r>
          </w:p>
        </w:tc>
        <w:tc>
          <w:tcPr>
            <w:tcW w:type="dxa" w:w="1224"/>
            <w:vAlign w:val="top"/>
            <w:tcMar>
              <w:top w:w="55" w:type="dxa"/>
              <w:start w:w="70" w:type="dxa"/>
              <w:bottom w:w="55" w:type="dxa"/>
              <w:end w:w="70" w:type="dxa"/>
            </w:tcMar>
          </w:tcPr>
          <w:p>
            <w:pPr>
              <w:spacing w:after="0"/>
            </w:pPr>
            <w:r>
              <w:rPr>
                <w:sz w:val="15"/>
              </w:rPr>
              <w:t>25</w:t>
            </w:r>
          </w:p>
        </w:tc>
        <w:tc>
          <w:tcPr>
            <w:tcW w:type="dxa" w:w="1512"/>
            <w:vAlign w:val="top"/>
            <w:tcMar>
              <w:top w:w="55" w:type="dxa"/>
              <w:start w:w="70" w:type="dxa"/>
              <w:bottom w:w="55" w:type="dxa"/>
              <w:end w:w="70" w:type="dxa"/>
            </w:tcMar>
          </w:tcPr>
          <w:p>
            <w:pPr>
              <w:spacing w:after="0"/>
            </w:pPr>
            <w:r>
              <w:rPr>
                <w:sz w:val="15"/>
              </w:rPr>
              <w:t>4</w:t>
            </w:r>
          </w:p>
        </w:tc>
        <w:tc>
          <w:tcPr>
            <w:tcW w:type="dxa" w:w="1152"/>
            <w:vAlign w:val="top"/>
            <w:tcMar>
              <w:top w:w="55" w:type="dxa"/>
              <w:start w:w="70" w:type="dxa"/>
              <w:bottom w:w="55" w:type="dxa"/>
              <w:end w:w="70" w:type="dxa"/>
            </w:tcMar>
          </w:tcPr>
          <w:p>
            <w:pPr>
              <w:spacing w:after="0"/>
            </w:pPr>
            <w:r>
              <w:rPr>
                <w:sz w:val="15"/>
              </w:rPr>
              <w:t>0</w:t>
            </w:r>
          </w:p>
        </w:tc>
        <w:tc>
          <w:tcPr>
            <w:tcW w:type="dxa" w:w="7056"/>
            <w:vAlign w:val="top"/>
            <w:tcMar>
              <w:top w:w="55" w:type="dxa"/>
              <w:start w:w="70" w:type="dxa"/>
              <w:bottom w:w="55" w:type="dxa"/>
              <w:end w:w="70" w:type="dxa"/>
            </w:tcMar>
          </w:tcPr>
          <w:p>
            <w:pPr>
              <w:spacing w:after="0"/>
            </w:pPr>
            <w:r>
              <w:rPr>
                <w:sz w:val="15"/>
              </w:rPr>
              <w:t>Sparse events, high dimensionality, incomplete nesting/leakage control, calibration and external validation</w:t>
            </w:r>
          </w:p>
        </w:tc>
      </w:tr>
      <w:tr>
        <w:trPr>
          <w:cantSplit/>
          <w:trHeight w:hRule="atLeast"/>
        </w:trPr>
        <w:tc>
          <w:tcPr>
            <w:tcW w:type="dxa" w:w="2088"/>
            <w:vAlign w:val="center"/>
            <w:tcMar>
              <w:top w:w="55" w:type="dxa"/>
              <w:start w:w="70" w:type="dxa"/>
              <w:bottom w:w="55" w:type="dxa"/>
              <w:end w:w="70" w:type="dxa"/>
            </w:tcMar>
          </w:tcPr>
          <w:p>
            <w:pPr>
              <w:spacing w:after="0" w:before="0" w:line="240" w:lineRule="auto"/>
            </w:pPr>
            <w:r>
              <w:rPr>
                <w:rFonts w:ascii="Arial" w:hAnsi="Arial"/>
                <w:sz w:val="14"/>
              </w:rPr>
              <w:t>Overall</w:t>
            </w:r>
          </w:p>
        </w:tc>
        <w:tc>
          <w:tcPr>
            <w:tcW w:type="dxa" w:w="1224"/>
            <w:vAlign w:val="top"/>
            <w:tcMar>
              <w:top w:w="55" w:type="dxa"/>
              <w:start w:w="70" w:type="dxa"/>
              <w:bottom w:w="55" w:type="dxa"/>
              <w:end w:w="70" w:type="dxa"/>
            </w:tcMar>
          </w:tcPr>
          <w:p>
            <w:pPr>
              <w:spacing w:after="0"/>
            </w:pPr>
            <w:r>
              <w:rPr>
                <w:sz w:val="15"/>
              </w:rPr>
              <w:t>25</w:t>
            </w:r>
          </w:p>
        </w:tc>
        <w:tc>
          <w:tcPr>
            <w:tcW w:type="dxa" w:w="1512"/>
            <w:vAlign w:val="top"/>
            <w:tcMar>
              <w:top w:w="55" w:type="dxa"/>
              <w:start w:w="70" w:type="dxa"/>
              <w:bottom w:w="55" w:type="dxa"/>
              <w:end w:w="70" w:type="dxa"/>
            </w:tcMar>
          </w:tcPr>
          <w:p>
            <w:pPr>
              <w:spacing w:after="0"/>
            </w:pPr>
            <w:r>
              <w:rPr>
                <w:sz w:val="15"/>
              </w:rPr>
              <w:t>4</w:t>
            </w:r>
          </w:p>
        </w:tc>
        <w:tc>
          <w:tcPr>
            <w:tcW w:type="dxa" w:w="1152"/>
            <w:vAlign w:val="top"/>
            <w:tcMar>
              <w:top w:w="55" w:type="dxa"/>
              <w:start w:w="70" w:type="dxa"/>
              <w:bottom w:w="55" w:type="dxa"/>
              <w:end w:w="70" w:type="dxa"/>
            </w:tcMar>
          </w:tcPr>
          <w:p>
            <w:pPr>
              <w:spacing w:after="0"/>
            </w:pPr>
            <w:r>
              <w:rPr>
                <w:sz w:val="15"/>
              </w:rPr>
              <w:t>0</w:t>
            </w:r>
          </w:p>
        </w:tc>
        <w:tc>
          <w:tcPr>
            <w:tcW w:type="dxa" w:w="7056"/>
            <w:vAlign w:val="top"/>
            <w:tcMar>
              <w:top w:w="55" w:type="dxa"/>
              <w:start w:w="70" w:type="dxa"/>
              <w:bottom w:w="55" w:type="dxa"/>
              <w:end w:w="70" w:type="dxa"/>
            </w:tcMar>
          </w:tcPr>
          <w:p>
            <w:pPr>
              <w:spacing w:after="0"/>
            </w:pPr>
            <w:r>
              <w:rPr>
                <w:sz w:val="15"/>
              </w:rPr>
              <w:t>Any high domain produced an overall High rating</w:t>
            </w:r>
          </w:p>
        </w:tc>
      </w:tr>
      <w:tr>
        <w:trPr>
          <w:cantSplit/>
          <w:trHeight w:hRule="atLeast"/>
        </w:trPr>
        <w:tc>
          <w:tcPr>
            <w:tcW w:type="dxa" w:w="2088"/>
            <w:vAlign w:val="center"/>
            <w:tcMar>
              <w:top w:w="55" w:type="dxa"/>
              <w:start w:w="70" w:type="dxa"/>
              <w:bottom w:w="55" w:type="dxa"/>
              <w:end w:w="70" w:type="dxa"/>
            </w:tcMar>
          </w:tcPr>
          <w:p>
            <w:pPr>
              <w:spacing w:after="0" w:before="0" w:line="240" w:lineRule="auto"/>
            </w:pPr>
            <w:r>
              <w:rPr>
                <w:rFonts w:ascii="Arial" w:hAnsi="Arial"/>
                <w:sz w:val="14"/>
              </w:rPr>
              <w:t>Applicability to miN0 UIR/HR</w:t>
            </w:r>
          </w:p>
        </w:tc>
        <w:tc>
          <w:tcPr>
            <w:tcW w:type="dxa" w:w="1224"/>
            <w:vAlign w:val="center"/>
            <w:tcMar>
              <w:top w:w="55" w:type="dxa"/>
              <w:start w:w="70" w:type="dxa"/>
              <w:bottom w:w="55" w:type="dxa"/>
              <w:end w:w="70" w:type="dxa"/>
            </w:tcMar>
          </w:tcPr>
          <w:p>
            <w:r>
              <w:t>26 high concern</w:t>
            </w:r>
          </w:p>
        </w:tc>
        <w:tc>
          <w:tcPr>
            <w:tcW w:type="dxa" w:w="1512"/>
            <w:vAlign w:val="center"/>
            <w:tcMar>
              <w:top w:w="55" w:type="dxa"/>
              <w:start w:w="70" w:type="dxa"/>
              <w:bottom w:w="55" w:type="dxa"/>
              <w:end w:w="70" w:type="dxa"/>
            </w:tcMar>
          </w:tcPr>
          <w:p>
            <w:pPr>
              <w:spacing w:after="0" w:before="0" w:line="240" w:lineRule="auto"/>
            </w:pPr>
            <w:r>
              <w:rPr>
                <w:rFonts w:ascii="Arial" w:hAnsi="Arial"/>
                <w:sz w:val="14"/>
              </w:rPr>
              <w:t>3 some concern</w:t>
            </w:r>
          </w:p>
        </w:tc>
        <w:tc>
          <w:tcPr>
            <w:tcW w:type="dxa" w:w="1152"/>
            <w:vAlign w:val="center"/>
            <w:tcMar>
              <w:top w:w="55" w:type="dxa"/>
              <w:start w:w="70" w:type="dxa"/>
              <w:bottom w:w="55" w:type="dxa"/>
              <w:end w:w="70" w:type="dxa"/>
            </w:tcMar>
          </w:tcPr>
          <w:p>
            <w:pPr>
              <w:spacing w:after="0" w:before="0" w:line="240" w:lineRule="auto"/>
            </w:pPr>
            <w:r>
              <w:rPr>
                <w:rFonts w:ascii="Arial" w:hAnsi="Arial"/>
                <w:sz w:val="14"/>
              </w:rPr>
              <w:t>0 low concern</w:t>
            </w:r>
          </w:p>
        </w:tc>
        <w:tc>
          <w:tcPr>
            <w:tcW w:type="dxa" w:w="7056"/>
            <w:vAlign w:val="center"/>
            <w:tcMar>
              <w:top w:w="55" w:type="dxa"/>
              <w:start w:w="70" w:type="dxa"/>
              <w:bottom w:w="55" w:type="dxa"/>
              <w:end w:w="70" w:type="dxa"/>
            </w:tcMar>
          </w:tcPr>
          <w:p>
            <w:pPr>
              <w:spacing w:after="0" w:before="0" w:line="240" w:lineRule="auto"/>
            </w:pPr>
            <w:r>
              <w:rPr>
                <w:rFonts w:ascii="Arial" w:hAnsi="Arial"/>
                <w:sz w:val="14"/>
              </w:rPr>
              <w:t>No model was developed and validated specifically for the intended miN0 omission decision</w:t>
            </w:r>
          </w:p>
        </w:tc>
      </w:tr>
    </w:tbl>
    <w:p>
      <w:pPr>
        <w:pStyle w:val="Heading1"/>
      </w:pPr>
      <w:r>
        <w:t>Supplementary Table S4. Adapted PROBAST assessment of nodal-prediction reports</w:t>
      </w:r>
    </w:p>
    <w:tbl>
      <w:tblPr>
        <w:tblStyle w:val="TableGrid"/>
        <w:tblW w:type="dxa" w:w="13176"/>
        <w:jc w:val="center"/>
        <w:tblLayout w:type="fixed"/>
        <w:tblLook w:firstColumn="1" w:firstRow="1" w:lastColumn="0" w:lastRow="0" w:noHBand="0" w:noVBand="1" w:val="04A0"/>
        <w:tblInd w:w="70" w:type="dxa"/>
      </w:tblPr>
      <w:tblGrid>
        <w:gridCol w:w="1800"/>
        <w:gridCol w:w="1224"/>
        <w:gridCol w:w="1224"/>
        <w:gridCol w:w="1080"/>
        <w:gridCol w:w="1080"/>
        <w:gridCol w:w="1224"/>
        <w:gridCol w:w="1800"/>
        <w:gridCol w:w="3744"/>
      </w:tblGrid>
      <w:tr>
        <w:trPr>
          <w:cantSplit/>
          <w:trHeight w:hRule="atLeast"/>
          <w:tblHeader w:val="true"/>
        </w:trPr>
        <w:tc>
          <w:tcPr>
            <w:tcW w:type="dxa" w:w="1800"/>
            <w:vAlign w:val="center"/>
            <w:tcMar>
              <w:top w:w="55" w:type="dxa"/>
              <w:start w:w="70" w:type="dxa"/>
              <w:bottom w:w="55" w:type="dxa"/>
              <w:end w:w="70" w:type="dxa"/>
            </w:tcMar>
          </w:tcPr>
          <w:p>
            <w:pPr>
              <w:spacing w:after="0" w:before="0" w:line="240" w:lineRule="auto"/>
            </w:pPr>
            <w:r>
              <w:rPr>
                <w:rFonts w:ascii="Arial" w:hAnsi="Arial"/>
                <w:b/>
                <w:color w:val="000000"/>
                <w:sz w:val="14"/>
              </w:rPr>
              <w:t>Study</w:t>
            </w:r>
          </w:p>
        </w:tc>
        <w:tc>
          <w:tcPr>
            <w:tcW w:type="dxa" w:w="1224"/>
            <w:vAlign w:val="center"/>
            <w:tcMar>
              <w:top w:w="55" w:type="dxa"/>
              <w:start w:w="70" w:type="dxa"/>
              <w:bottom w:w="55" w:type="dxa"/>
              <w:end w:w="70" w:type="dxa"/>
            </w:tcMar>
          </w:tcPr>
          <w:p>
            <w:pPr>
              <w:spacing w:after="0" w:before="0" w:line="240" w:lineRule="auto"/>
            </w:pPr>
            <w:r>
              <w:rPr>
                <w:rFonts w:ascii="Arial" w:hAnsi="Arial"/>
                <w:b/>
                <w:color w:val="000000"/>
                <w:sz w:val="14"/>
              </w:rPr>
              <w:t>Participants</w:t>
            </w:r>
          </w:p>
        </w:tc>
        <w:tc>
          <w:tcPr>
            <w:tcW w:type="dxa" w:w="1224"/>
            <w:vAlign w:val="center"/>
            <w:tcMar>
              <w:top w:w="55" w:type="dxa"/>
              <w:start w:w="70" w:type="dxa"/>
              <w:bottom w:w="55" w:type="dxa"/>
              <w:end w:w="70" w:type="dxa"/>
            </w:tcMar>
          </w:tcPr>
          <w:p>
            <w:pPr>
              <w:spacing w:after="0" w:before="0" w:line="240" w:lineRule="auto"/>
            </w:pPr>
            <w:r>
              <w:rPr>
                <w:rFonts w:ascii="Arial" w:hAnsi="Arial"/>
                <w:b/>
                <w:color w:val="000000"/>
                <w:sz w:val="14"/>
              </w:rPr>
              <w:t>Predictors</w:t>
            </w:r>
          </w:p>
        </w:tc>
        <w:tc>
          <w:tcPr>
            <w:tcW w:type="dxa" w:w="1080"/>
            <w:vAlign w:val="center"/>
            <w:tcMar>
              <w:top w:w="55" w:type="dxa"/>
              <w:start w:w="70" w:type="dxa"/>
              <w:bottom w:w="55" w:type="dxa"/>
              <w:end w:w="70" w:type="dxa"/>
            </w:tcMar>
          </w:tcPr>
          <w:p>
            <w:pPr>
              <w:spacing w:after="0" w:before="0" w:line="240" w:lineRule="auto"/>
            </w:pPr>
            <w:r>
              <w:rPr>
                <w:rFonts w:ascii="Arial" w:hAnsi="Arial"/>
                <w:b/>
                <w:color w:val="000000"/>
                <w:sz w:val="14"/>
              </w:rPr>
              <w:t>Outcome</w:t>
            </w:r>
          </w:p>
        </w:tc>
        <w:tc>
          <w:tcPr>
            <w:tcW w:type="dxa" w:w="1080"/>
            <w:vAlign w:val="center"/>
            <w:tcMar>
              <w:top w:w="55" w:type="dxa"/>
              <w:start w:w="70" w:type="dxa"/>
              <w:bottom w:w="55" w:type="dxa"/>
              <w:end w:w="70" w:type="dxa"/>
            </w:tcMar>
          </w:tcPr>
          <w:p>
            <w:pPr>
              <w:spacing w:after="0" w:before="0" w:line="240" w:lineRule="auto"/>
            </w:pPr>
            <w:r>
              <w:rPr>
                <w:rFonts w:ascii="Arial" w:hAnsi="Arial"/>
                <w:b/>
                <w:color w:val="000000"/>
                <w:sz w:val="14"/>
              </w:rPr>
              <w:t>Analysis</w:t>
            </w:r>
          </w:p>
        </w:tc>
        <w:tc>
          <w:tcPr>
            <w:tcW w:type="dxa" w:w="1224"/>
            <w:vAlign w:val="center"/>
            <w:tcMar>
              <w:top w:w="55" w:type="dxa"/>
              <w:start w:w="70" w:type="dxa"/>
              <w:bottom w:w="55" w:type="dxa"/>
              <w:end w:w="70" w:type="dxa"/>
            </w:tcMar>
          </w:tcPr>
          <w:p>
            <w:pPr>
              <w:spacing w:after="0" w:before="0" w:line="240" w:lineRule="auto"/>
            </w:pPr>
            <w:r>
              <w:rPr>
                <w:rFonts w:ascii="Arial" w:hAnsi="Arial"/>
                <w:b/>
                <w:color w:val="000000"/>
                <w:sz w:val="14"/>
              </w:rPr>
              <w:t>Overall risk</w:t>
            </w:r>
          </w:p>
        </w:tc>
        <w:tc>
          <w:tcPr>
            <w:tcW w:type="dxa" w:w="1800"/>
            <w:vAlign w:val="center"/>
            <w:tcMar>
              <w:top w:w="55" w:type="dxa"/>
              <w:start w:w="70" w:type="dxa"/>
              <w:bottom w:w="55" w:type="dxa"/>
              <w:end w:w="70" w:type="dxa"/>
            </w:tcMar>
          </w:tcPr>
          <w:p>
            <w:pPr>
              <w:spacing w:after="0" w:before="0" w:line="240" w:lineRule="auto"/>
            </w:pPr>
            <w:r>
              <w:rPr>
                <w:rFonts w:ascii="Arial" w:hAnsi="Arial"/>
                <w:b/>
                <w:color w:val="000000"/>
                <w:sz w:val="14"/>
              </w:rPr>
              <w:t>Applicability to miN0 UIR/HR</w:t>
            </w:r>
          </w:p>
        </w:tc>
        <w:tc>
          <w:tcPr>
            <w:tcW w:type="dxa" w:w="3744"/>
            <w:vAlign w:val="center"/>
            <w:tcMar>
              <w:top w:w="55" w:type="dxa"/>
              <w:start w:w="70" w:type="dxa"/>
              <w:bottom w:w="55" w:type="dxa"/>
              <w:end w:w="70" w:type="dxa"/>
            </w:tcMar>
          </w:tcPr>
          <w:p>
            <w:pPr>
              <w:spacing w:after="0" w:before="0" w:line="240" w:lineRule="auto"/>
            </w:pPr>
            <w:r>
              <w:rPr>
                <w:rFonts w:ascii="Arial" w:hAnsi="Arial"/>
                <w:b/>
                <w:color w:val="000000"/>
                <w:sz w:val="14"/>
              </w:rPr>
              <w:t>Model-level justification</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Zamboglou C 2019</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Low</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High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Small cohorts; single feature; no multicentre external validation</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Hou Y 2019</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Low</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High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Single centre; internal validation; data-driven thresholds</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Cysouw MCF 2021</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Low</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Some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High feature-to-event ratio; no external cohort</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Hou Y 2021</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Low</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High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Large external performance drop; retrospective; threshold not prospectively tested</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Wei L 2021</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High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Registry coding; no MRI/PSMA; no external validation</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Zheng H 2022</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Low</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High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Single centre; only 14 LNI events in test; no external validation</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Liu X 2022 (ADC patient)</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High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Development reference standard differed/was incompletely surgical; modest event count</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Liu X 2022 (T2 node)</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Low</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High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Very small test set; node clustering/pseudoreplication risk; not patient-level ePLND selection</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Liu X 2022 (DWI node)</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Low</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High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Node-level rather than patient-level; clustering and matching uncertainty</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Sabbagh A 2023</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Low</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High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1990–2020 legacy cohorts; no PSMA/MRI; applicability to current staging uncertain</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Luining WI 2023</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Low</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Some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Small external cohort; feature instability; no clinically reliable incremental value</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Li C 2024</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High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Training PLNM reference included biopsy or MRI size ≥1.5 cm; spectrum/reference bias</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Ueki H 2024</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High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Only 34 events; internal validation; heterogeneous dissection extent</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Ma Q 2025</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Low</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Some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Small single-centre test set; no external validation; wide CIs</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Wu SY 2025</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High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Retrospective; event counts and calibration transport incompletely reported in abstract</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Cao J 2026</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Low</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High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Retrospective; not restricted to PSMA-negative patients; no decision-impact trial</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Can O 2026</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High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No external validation; SMOTE may distort calibration; incomplete reporting</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Yılmaz IO 2026</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High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Potential predictor leakage (eg, lymphovascular invasion); no external validation</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Luo Y 2026</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Low</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High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Internal validation only; high apparent performance; no PSMA integration</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Zhang T 2026</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Low</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High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Retrospective; inflammatory markers may be unstable; no imaging</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Bourbonne V 2021</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Low</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High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Internal validation; manual segmentation; no calibration transport</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Santucci D 2024</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Low</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High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Small cohort; unconventional/nonreproducible model-development description; likely cohort overlap</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Faiella E 2025 (n=95)</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Low</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High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No AUC/calibration in abstract; small cohort; likely overlap with related reports</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Faiella E 2025 (n=85)</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Low</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High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Very small sample; near-perfect internal performance suggests overfitting; manual segmentation; cohort overlap</w:t>
            </w:r>
          </w:p>
        </w:tc>
      </w:tr>
      <w:tr>
        <w:trPr>
          <w:cantSplit/>
          <w:trHeight w:hRule="atLeast"/>
        </w:trPr>
        <w:tc>
          <w:tcPr>
            <w:tcW w:type="dxa" w:w="1800"/>
            <w:vAlign w:val="center"/>
            <w:tcMar>
              <w:top w:w="55" w:type="dxa"/>
              <w:start w:w="70" w:type="dxa"/>
              <w:bottom w:w="55" w:type="dxa"/>
              <w:end w:w="70" w:type="dxa"/>
            </w:tcMar>
          </w:tcPr>
          <w:p>
            <w:pPr>
              <w:spacing w:after="0" w:before="0" w:line="240" w:lineRule="auto"/>
            </w:pPr>
            <w:r>
              <w:rPr>
                <w:rFonts w:ascii="Arial" w:hAnsi="Arial"/>
                <w:sz w:val="11"/>
              </w:rPr>
              <w:t>Albayrak AT 2026</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Some concerns</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Low</w:t>
            </w:r>
          </w:p>
        </w:tc>
        <w:tc>
          <w:tcPr>
            <w:tcW w:type="dxa" w:w="1080"/>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224"/>
            <w:vAlign w:val="center"/>
            <w:tcMar>
              <w:top w:w="55" w:type="dxa"/>
              <w:start w:w="70" w:type="dxa"/>
              <w:bottom w:w="55" w:type="dxa"/>
              <w:end w:w="70" w:type="dxa"/>
            </w:tcMar>
          </w:tcPr>
          <w:p>
            <w:pPr>
              <w:spacing w:after="0" w:before="0" w:line="240" w:lineRule="auto"/>
            </w:pPr>
            <w:r>
              <w:rPr>
                <w:rFonts w:ascii="Arial" w:hAnsi="Arial"/>
                <w:sz w:val="11"/>
              </w:rPr>
              <w:t>High</w:t>
            </w:r>
          </w:p>
        </w:tc>
        <w:tc>
          <w:tcPr>
            <w:tcW w:type="dxa" w:w="1800"/>
            <w:vAlign w:val="center"/>
            <w:tcMar>
              <w:top w:w="55" w:type="dxa"/>
              <w:start w:w="70" w:type="dxa"/>
              <w:bottom w:w="55" w:type="dxa"/>
              <w:end w:w="70" w:type="dxa"/>
            </w:tcMar>
          </w:tcPr>
          <w:p>
            <w:pPr>
              <w:spacing w:after="0" w:before="0" w:line="240" w:lineRule="auto"/>
            </w:pPr>
            <w:r>
              <w:rPr>
                <w:rFonts w:ascii="Arial" w:hAnsi="Arial"/>
                <w:sz w:val="11"/>
              </w:rPr>
              <w:t>High concern</w:t>
            </w:r>
          </w:p>
        </w:tc>
        <w:tc>
          <w:tcPr>
            <w:tcW w:type="dxa" w:w="3744"/>
            <w:vAlign w:val="center"/>
            <w:tcMar>
              <w:top w:w="55" w:type="dxa"/>
              <w:start w:w="70" w:type="dxa"/>
              <w:bottom w:w="55" w:type="dxa"/>
              <w:end w:w="70" w:type="dxa"/>
            </w:tcMar>
          </w:tcPr>
          <w:p>
            <w:pPr>
              <w:spacing w:after="0" w:before="0" w:line="240" w:lineRule="auto"/>
            </w:pPr>
            <w:r>
              <w:rPr>
                <w:rFonts w:ascii="Arial" w:hAnsi="Arial"/>
                <w:sz w:val="11"/>
              </w:rPr>
              <w:t>Small test set; internal validation; model calibration/utility not established</w:t>
            </w:r>
          </w:p>
        </w:tc>
      </w:tr>
      <w:tr>
        <w:trPr>
          <w:cantSplit/>
        </w:trPr>
        <w:tc>
          <w:tcPr>
            <w:tcW w:type="dxa" w:w="1800"/>
            <w:vAlign w:val="top"/>
          </w:tcPr>
          <w:p>
            <w:pPr>
              <w:spacing w:after="0"/>
            </w:pPr>
            <w:r>
              <w:rPr>
                <w:sz w:val="14"/>
              </w:rPr>
              <w:t>Zhang 2025 [74]</w:t>
            </w:r>
          </w:p>
        </w:tc>
        <w:tc>
          <w:tcPr>
            <w:tcW w:type="dxa" w:w="1224"/>
            <w:vAlign w:val="top"/>
          </w:tcPr>
          <w:p>
            <w:pPr>
              <w:spacing w:after="0"/>
            </w:pPr>
            <w:r>
              <w:rPr>
                <w:sz w:val="14"/>
              </w:rPr>
              <w:t>High</w:t>
            </w:r>
          </w:p>
        </w:tc>
        <w:tc>
          <w:tcPr>
            <w:tcW w:type="dxa" w:w="1224"/>
            <w:vAlign w:val="top"/>
          </w:tcPr>
          <w:p>
            <w:pPr>
              <w:spacing w:after="0"/>
            </w:pPr>
            <w:r>
              <w:rPr>
                <w:sz w:val="14"/>
              </w:rPr>
              <w:t>Some concerns</w:t>
            </w:r>
          </w:p>
        </w:tc>
        <w:tc>
          <w:tcPr>
            <w:tcW w:type="dxa" w:w="1080"/>
            <w:vAlign w:val="top"/>
          </w:tcPr>
          <w:p>
            <w:pPr>
              <w:spacing w:after="0"/>
            </w:pPr>
            <w:r>
              <w:rPr>
                <w:sz w:val="14"/>
              </w:rPr>
              <w:t>High</w:t>
            </w:r>
          </w:p>
        </w:tc>
        <w:tc>
          <w:tcPr>
            <w:tcW w:type="dxa" w:w="1080"/>
            <w:vAlign w:val="top"/>
          </w:tcPr>
          <w:p>
            <w:pPr>
              <w:spacing w:after="0"/>
            </w:pPr>
            <w:r>
              <w:rPr>
                <w:sz w:val="14"/>
              </w:rPr>
              <w:t>High</w:t>
            </w:r>
          </w:p>
        </w:tc>
        <w:tc>
          <w:tcPr>
            <w:tcW w:type="dxa" w:w="1224"/>
            <w:vAlign w:val="top"/>
          </w:tcPr>
          <w:p>
            <w:pPr>
              <w:spacing w:after="0"/>
            </w:pPr>
            <w:r>
              <w:rPr>
                <w:sz w:val="14"/>
              </w:rPr>
              <w:t>High</w:t>
            </w:r>
          </w:p>
        </w:tc>
        <w:tc>
          <w:tcPr>
            <w:tcW w:type="dxa" w:w="1800"/>
            <w:vAlign w:val="top"/>
          </w:tcPr>
          <w:p>
            <w:pPr>
              <w:spacing w:after="0"/>
            </w:pPr>
            <w:r>
              <w:rPr>
                <w:sz w:val="14"/>
              </w:rPr>
              <w:t>High concern</w:t>
            </w:r>
          </w:p>
        </w:tc>
        <w:tc>
          <w:tcPr>
            <w:tcW w:type="dxa" w:w="3744"/>
            <w:vAlign w:val="top"/>
          </w:tcPr>
          <w:p>
            <w:pPr>
              <w:spacing w:after="0"/>
            </w:pPr>
            <w:r>
              <w:rPr>
                <w:sz w:val="14"/>
              </w:rPr>
              <w:t>Reference standard and validation incompletely reported; high-dimensional deep model</w:t>
            </w:r>
          </w:p>
        </w:tc>
      </w:tr>
      <w:tr>
        <w:trPr>
          <w:cantSplit/>
        </w:trPr>
        <w:tc>
          <w:tcPr>
            <w:tcW w:type="dxa" w:w="1800"/>
            <w:vAlign w:val="top"/>
          </w:tcPr>
          <w:p>
            <w:pPr>
              <w:spacing w:after="0"/>
            </w:pPr>
            <w:r>
              <w:rPr>
                <w:sz w:val="14"/>
              </w:rPr>
              <w:t>Wagaskar 2025 [75]</w:t>
            </w:r>
          </w:p>
        </w:tc>
        <w:tc>
          <w:tcPr>
            <w:tcW w:type="dxa" w:w="1224"/>
            <w:vAlign w:val="top"/>
          </w:tcPr>
          <w:p>
            <w:pPr>
              <w:spacing w:after="0"/>
            </w:pPr>
            <w:r>
              <w:rPr>
                <w:sz w:val="14"/>
              </w:rPr>
              <w:t>High</w:t>
            </w:r>
          </w:p>
        </w:tc>
        <w:tc>
          <w:tcPr>
            <w:tcW w:type="dxa" w:w="1224"/>
            <w:vAlign w:val="top"/>
          </w:tcPr>
          <w:p>
            <w:pPr>
              <w:spacing w:after="0"/>
            </w:pPr>
            <w:r>
              <w:rPr>
                <w:sz w:val="14"/>
              </w:rPr>
              <w:t>Some concerns</w:t>
            </w:r>
          </w:p>
        </w:tc>
        <w:tc>
          <w:tcPr>
            <w:tcW w:type="dxa" w:w="1080"/>
            <w:vAlign w:val="top"/>
          </w:tcPr>
          <w:p>
            <w:pPr>
              <w:spacing w:after="0"/>
            </w:pPr>
            <w:r>
              <w:rPr>
                <w:sz w:val="14"/>
              </w:rPr>
              <w:t>Low</w:t>
            </w:r>
          </w:p>
        </w:tc>
        <w:tc>
          <w:tcPr>
            <w:tcW w:type="dxa" w:w="1080"/>
            <w:vAlign w:val="top"/>
          </w:tcPr>
          <w:p>
            <w:pPr>
              <w:spacing w:after="0"/>
            </w:pPr>
            <w:r>
              <w:rPr>
                <w:sz w:val="14"/>
              </w:rPr>
              <w:t>High</w:t>
            </w:r>
          </w:p>
        </w:tc>
        <w:tc>
          <w:tcPr>
            <w:tcW w:type="dxa" w:w="1224"/>
            <w:vAlign w:val="top"/>
          </w:tcPr>
          <w:p>
            <w:pPr>
              <w:spacing w:after="0"/>
            </w:pPr>
            <w:r>
              <w:rPr>
                <w:sz w:val="14"/>
              </w:rPr>
              <w:t>High</w:t>
            </w:r>
          </w:p>
        </w:tc>
        <w:tc>
          <w:tcPr>
            <w:tcW w:type="dxa" w:w="1800"/>
            <w:vAlign w:val="top"/>
          </w:tcPr>
          <w:p>
            <w:pPr>
              <w:spacing w:after="0"/>
            </w:pPr>
            <w:r>
              <w:rPr>
                <w:sz w:val="14"/>
              </w:rPr>
              <w:t>High concern</w:t>
            </w:r>
          </w:p>
        </w:tc>
        <w:tc>
          <w:tcPr>
            <w:tcW w:type="dxa" w:w="3744"/>
            <w:vAlign w:val="top"/>
          </w:tcPr>
          <w:p>
            <w:pPr>
              <w:spacing w:after="0"/>
            </w:pPr>
            <w:r>
              <w:rPr>
                <w:sz w:val="14"/>
              </w:rPr>
              <w:t>Retrospective selected ePLND cohorts; apparent/internal evaluation; thresholds and calibration incomplete</w:t>
            </w:r>
          </w:p>
        </w:tc>
      </w:tr>
      <w:tr>
        <w:trPr>
          <w:cantSplit/>
        </w:trPr>
        <w:tc>
          <w:tcPr>
            <w:tcW w:type="dxa" w:w="1800"/>
            <w:vAlign w:val="top"/>
          </w:tcPr>
          <w:p>
            <w:pPr>
              <w:spacing w:after="0"/>
            </w:pPr>
            <w:r>
              <w:rPr>
                <w:sz w:val="14"/>
              </w:rPr>
              <w:t>Yao 2023 [76]</w:t>
            </w:r>
          </w:p>
        </w:tc>
        <w:tc>
          <w:tcPr>
            <w:tcW w:type="dxa" w:w="1224"/>
            <w:vAlign w:val="top"/>
          </w:tcPr>
          <w:p>
            <w:pPr>
              <w:spacing w:after="0"/>
            </w:pPr>
            <w:r>
              <w:rPr>
                <w:sz w:val="14"/>
              </w:rPr>
              <w:t>High</w:t>
            </w:r>
          </w:p>
        </w:tc>
        <w:tc>
          <w:tcPr>
            <w:tcW w:type="dxa" w:w="1224"/>
            <w:vAlign w:val="top"/>
          </w:tcPr>
          <w:p>
            <w:pPr>
              <w:spacing w:after="0"/>
            </w:pPr>
            <w:r>
              <w:rPr>
                <w:sz w:val="14"/>
              </w:rPr>
              <w:t>Some concerns</w:t>
            </w:r>
          </w:p>
        </w:tc>
        <w:tc>
          <w:tcPr>
            <w:tcW w:type="dxa" w:w="1080"/>
            <w:vAlign w:val="top"/>
          </w:tcPr>
          <w:p>
            <w:pPr>
              <w:spacing w:after="0"/>
            </w:pPr>
            <w:r>
              <w:rPr>
                <w:sz w:val="14"/>
              </w:rPr>
              <w:t>Low</w:t>
            </w:r>
          </w:p>
        </w:tc>
        <w:tc>
          <w:tcPr>
            <w:tcW w:type="dxa" w:w="1080"/>
            <w:vAlign w:val="top"/>
          </w:tcPr>
          <w:p>
            <w:pPr>
              <w:spacing w:after="0"/>
            </w:pPr>
            <w:r>
              <w:rPr>
                <w:sz w:val="14"/>
              </w:rPr>
              <w:t>High</w:t>
            </w:r>
          </w:p>
        </w:tc>
        <w:tc>
          <w:tcPr>
            <w:tcW w:type="dxa" w:w="1224"/>
            <w:vAlign w:val="top"/>
          </w:tcPr>
          <w:p>
            <w:pPr>
              <w:spacing w:after="0"/>
            </w:pPr>
            <w:r>
              <w:rPr>
                <w:sz w:val="14"/>
              </w:rPr>
              <w:t>High</w:t>
            </w:r>
          </w:p>
        </w:tc>
        <w:tc>
          <w:tcPr>
            <w:tcW w:type="dxa" w:w="1800"/>
            <w:vAlign w:val="top"/>
          </w:tcPr>
          <w:p>
            <w:pPr>
              <w:spacing w:after="0"/>
            </w:pPr>
            <w:r>
              <w:rPr>
                <w:sz w:val="14"/>
              </w:rPr>
              <w:t>High concern</w:t>
            </w:r>
          </w:p>
        </w:tc>
        <w:tc>
          <w:tcPr>
            <w:tcW w:type="dxa" w:w="3744"/>
            <w:vAlign w:val="top"/>
          </w:tcPr>
          <w:p>
            <w:pPr>
              <w:spacing w:after="0"/>
            </w:pPr>
            <w:r>
              <w:rPr>
                <w:sz w:val="14"/>
              </w:rPr>
              <w:t>Single-centre retrospective analysis; very high apparent AUC; no external validation or calibration</w:t>
            </w:r>
          </w:p>
        </w:tc>
      </w:tr>
      <w:tr>
        <w:trPr>
          <w:cantSplit/>
        </w:trPr>
        <w:tc>
          <w:tcPr>
            <w:tcW w:type="dxa" w:w="1800"/>
            <w:vAlign w:val="top"/>
          </w:tcPr>
          <w:p>
            <w:pPr>
              <w:spacing w:after="0"/>
            </w:pPr>
            <w:r>
              <w:rPr>
                <w:sz w:val="14"/>
              </w:rPr>
              <w:t>Rho 2020 [77]</w:t>
            </w:r>
          </w:p>
        </w:tc>
        <w:tc>
          <w:tcPr>
            <w:tcW w:type="dxa" w:w="1224"/>
            <w:vAlign w:val="top"/>
          </w:tcPr>
          <w:p>
            <w:pPr>
              <w:spacing w:after="0"/>
            </w:pPr>
            <w:r>
              <w:rPr>
                <w:sz w:val="14"/>
              </w:rPr>
              <w:t>High</w:t>
            </w:r>
          </w:p>
        </w:tc>
        <w:tc>
          <w:tcPr>
            <w:tcW w:type="dxa" w:w="1224"/>
            <w:vAlign w:val="top"/>
          </w:tcPr>
          <w:p>
            <w:pPr>
              <w:spacing w:after="0"/>
            </w:pPr>
            <w:r>
              <w:rPr>
                <w:sz w:val="14"/>
              </w:rPr>
              <w:t>Some concerns</w:t>
            </w:r>
          </w:p>
        </w:tc>
        <w:tc>
          <w:tcPr>
            <w:tcW w:type="dxa" w:w="1080"/>
            <w:vAlign w:val="top"/>
          </w:tcPr>
          <w:p>
            <w:pPr>
              <w:spacing w:after="0"/>
            </w:pPr>
            <w:r>
              <w:rPr>
                <w:sz w:val="14"/>
              </w:rPr>
              <w:t>High</w:t>
            </w:r>
          </w:p>
        </w:tc>
        <w:tc>
          <w:tcPr>
            <w:tcW w:type="dxa" w:w="1080"/>
            <w:vAlign w:val="top"/>
          </w:tcPr>
          <w:p>
            <w:pPr>
              <w:spacing w:after="0"/>
            </w:pPr>
            <w:r>
              <w:rPr>
                <w:sz w:val="14"/>
              </w:rPr>
              <w:t>High</w:t>
            </w:r>
          </w:p>
        </w:tc>
        <w:tc>
          <w:tcPr>
            <w:tcW w:type="dxa" w:w="1224"/>
            <w:vAlign w:val="top"/>
          </w:tcPr>
          <w:p>
            <w:pPr>
              <w:spacing w:after="0"/>
            </w:pPr>
            <w:r>
              <w:rPr>
                <w:sz w:val="14"/>
              </w:rPr>
              <w:t>High</w:t>
            </w:r>
          </w:p>
        </w:tc>
        <w:tc>
          <w:tcPr>
            <w:tcW w:type="dxa" w:w="1800"/>
            <w:vAlign w:val="top"/>
          </w:tcPr>
          <w:p>
            <w:pPr>
              <w:spacing w:after="0"/>
            </w:pPr>
            <w:r>
              <w:rPr>
                <w:sz w:val="14"/>
              </w:rPr>
              <w:t>High concern</w:t>
            </w:r>
          </w:p>
        </w:tc>
        <w:tc>
          <w:tcPr>
            <w:tcW w:type="dxa" w:w="3744"/>
            <w:vAlign w:val="top"/>
          </w:tcPr>
          <w:p>
            <w:pPr>
              <w:spacing w:after="0"/>
            </w:pPr>
            <w:r>
              <w:rPr>
                <w:sz w:val="14"/>
              </w:rPr>
              <w:t>PLND/reference standard and event counts unclear; recall reported without calibrated discrimination</w:t>
            </w:r>
          </w:p>
        </w:tc>
      </w:tr>
    </w:tbl>
    <w:p>
      <w:pPr>
        <w:pStyle w:val="Heading1"/>
      </w:pPr>
      <w:r>
        <w:t>Supplementary Table S5. Critical appraisal of conventional PSMA/MRI-aware comparators</w:t>
      </w:r>
    </w:p>
    <w:p>
      <w:r>
        <w:t>This contextual appraisal covers 55 PSMA/MRI-aware comparators and emphasises population relevance, validation, calibration/DCA and absolute threshold consequences. It remains separate from the adapted PROBAST assessment of the 29 AI nodal-prediction reports.</w:t>
      </w:r>
    </w:p>
    <w:tbl>
      <w:tblPr>
        <w:tblStyle w:val="TableGrid"/>
        <w:tblW w:type="dxa" w:w="13032"/>
        <w:jc w:val="center"/>
        <w:tblLayout w:type="fixed"/>
        <w:tblLook w:firstColumn="1" w:firstRow="1" w:lastColumn="0" w:lastRow="0" w:noHBand="0" w:noVBand="1" w:val="04A0"/>
        <w:tblInd w:w="70" w:type="dxa"/>
      </w:tblPr>
      <w:tblGrid>
        <w:gridCol w:w="1944"/>
        <w:gridCol w:w="2664"/>
        <w:gridCol w:w="2160"/>
        <w:gridCol w:w="3240"/>
        <w:gridCol w:w="3024"/>
      </w:tblGrid>
      <w:tr>
        <w:trPr>
          <w:cantSplit/>
          <w:trHeight w:hRule="atLeast"/>
          <w:tblHeader w:val="true"/>
        </w:trPr>
        <w:tc>
          <w:tcPr>
            <w:tcW w:type="dxa" w:w="1944"/>
            <w:vAlign w:val="center"/>
            <w:tcMar>
              <w:top w:w="55" w:type="dxa"/>
              <w:start w:w="70" w:type="dxa"/>
              <w:bottom w:w="55" w:type="dxa"/>
              <w:end w:w="70" w:type="dxa"/>
            </w:tcMar>
          </w:tcPr>
          <w:p>
            <w:pPr>
              <w:spacing w:after="0" w:before="0" w:line="240" w:lineRule="auto"/>
            </w:pPr>
            <w:r>
              <w:rPr>
                <w:rFonts w:ascii="Arial" w:hAnsi="Arial"/>
                <w:b/>
                <w:color w:val="000000"/>
                <w:sz w:val="14"/>
              </w:rPr>
              <w:t>Study</w:t>
            </w:r>
          </w:p>
        </w:tc>
        <w:tc>
          <w:tcPr>
            <w:tcW w:type="dxa" w:w="2664"/>
            <w:vAlign w:val="center"/>
            <w:tcMar>
              <w:top w:w="55" w:type="dxa"/>
              <w:start w:w="70" w:type="dxa"/>
              <w:bottom w:w="55" w:type="dxa"/>
              <w:end w:w="70" w:type="dxa"/>
            </w:tcMar>
          </w:tcPr>
          <w:p>
            <w:pPr>
              <w:spacing w:after="0" w:before="0" w:line="240" w:lineRule="auto"/>
            </w:pPr>
            <w:r>
              <w:rPr>
                <w:rFonts w:ascii="Arial" w:hAnsi="Arial"/>
                <w:b/>
                <w:color w:val="000000"/>
                <w:sz w:val="14"/>
              </w:rPr>
              <w:t>Population / validation</w:t>
            </w:r>
          </w:p>
        </w:tc>
        <w:tc>
          <w:tcPr>
            <w:tcW w:type="dxa" w:w="2160"/>
            <w:vAlign w:val="center"/>
            <w:tcMar>
              <w:top w:w="55" w:type="dxa"/>
              <w:start w:w="70" w:type="dxa"/>
              <w:bottom w:w="55" w:type="dxa"/>
              <w:end w:w="70" w:type="dxa"/>
            </w:tcMar>
          </w:tcPr>
          <w:p>
            <w:pPr>
              <w:spacing w:after="0" w:before="0" w:line="240" w:lineRule="auto"/>
            </w:pPr>
            <w:r>
              <w:rPr>
                <w:rFonts w:ascii="Arial" w:hAnsi="Arial"/>
                <w:b/>
                <w:color w:val="000000"/>
                <w:sz w:val="14"/>
              </w:rPr>
              <w:t>Discrimination</w:t>
            </w:r>
          </w:p>
        </w:tc>
        <w:tc>
          <w:tcPr>
            <w:tcW w:type="dxa" w:w="3240"/>
            <w:vAlign w:val="center"/>
            <w:tcMar>
              <w:top w:w="55" w:type="dxa"/>
              <w:start w:w="70" w:type="dxa"/>
              <w:bottom w:w="55" w:type="dxa"/>
              <w:end w:w="70" w:type="dxa"/>
            </w:tcMar>
          </w:tcPr>
          <w:p>
            <w:pPr>
              <w:spacing w:after="0" w:before="0" w:line="240" w:lineRule="auto"/>
            </w:pPr>
            <w:r>
              <w:rPr>
                <w:rFonts w:ascii="Arial" w:hAnsi="Arial"/>
                <w:b/>
                <w:color w:val="000000"/>
                <w:sz w:val="14"/>
              </w:rPr>
              <w:t>Calibration, DCA or threshold consequence</w:t>
            </w:r>
          </w:p>
        </w:tc>
        <w:tc>
          <w:tcPr>
            <w:tcW w:type="dxa" w:w="3024"/>
            <w:vAlign w:val="center"/>
            <w:tcMar>
              <w:top w:w="55" w:type="dxa"/>
              <w:start w:w="70" w:type="dxa"/>
              <w:bottom w:w="55" w:type="dxa"/>
              <w:end w:w="70" w:type="dxa"/>
            </w:tcMar>
          </w:tcPr>
          <w:p>
            <w:pPr>
              <w:spacing w:after="0" w:before="0" w:line="240" w:lineRule="auto"/>
            </w:pPr>
            <w:r>
              <w:rPr>
                <w:rFonts w:ascii="Arial" w:hAnsi="Arial"/>
                <w:b/>
                <w:color w:val="000000"/>
                <w:sz w:val="14"/>
              </w:rPr>
              <w:t>Critical appraisal</w:t>
            </w:r>
          </w:p>
        </w:tc>
      </w:tr>
      <w:tr>
        <w:trPr>
          <w:cantSplit/>
          <w:trHeight w:hRule="atLeast"/>
        </w:trPr>
        <w:tc>
          <w:tcPr>
            <w:tcW w:type="dxa" w:w="1944"/>
            <w:vAlign w:val="center"/>
            <w:tcMar>
              <w:top w:w="55" w:type="dxa"/>
              <w:start w:w="70" w:type="dxa"/>
              <w:bottom w:w="55" w:type="dxa"/>
              <w:end w:w="70" w:type="dxa"/>
            </w:tcMar>
          </w:tcPr>
          <w:p>
            <w:pPr>
              <w:spacing w:after="0" w:before="0" w:line="240" w:lineRule="auto"/>
            </w:pPr>
            <w:r>
              <w:rPr>
                <w:rFonts w:ascii="Arial" w:hAnsi="Arial"/>
                <w:sz w:val="13"/>
              </w:rPr>
              <w:t>Meijer 2021 [4]</w:t>
            </w:r>
          </w:p>
        </w:tc>
        <w:tc>
          <w:tcPr>
            <w:tcW w:type="dxa" w:w="2664"/>
            <w:vAlign w:val="center"/>
            <w:tcMar>
              <w:top w:w="55" w:type="dxa"/>
              <w:start w:w="70" w:type="dxa"/>
              <w:bottom w:w="55" w:type="dxa"/>
              <w:end w:w="70" w:type="dxa"/>
            </w:tcMar>
          </w:tcPr>
          <w:p>
            <w:pPr>
              <w:spacing w:after="0" w:before="0" w:line="240" w:lineRule="auto"/>
            </w:pPr>
            <w:r>
              <w:rPr>
                <w:rFonts w:ascii="Arial" w:hAnsi="Arial"/>
                <w:sz w:val="13"/>
              </w:rPr>
              <w:t>External/multicentre; mixed miN</w:t>
            </w:r>
          </w:p>
        </w:tc>
        <w:tc>
          <w:tcPr>
            <w:tcW w:type="dxa" w:w="2160"/>
            <w:vAlign w:val="center"/>
            <w:tcMar>
              <w:top w:w="55" w:type="dxa"/>
              <w:start w:w="70" w:type="dxa"/>
              <w:bottom w:w="55" w:type="dxa"/>
              <w:end w:w="70" w:type="dxa"/>
            </w:tcMar>
          </w:tcPr>
          <w:p>
            <w:pPr>
              <w:spacing w:after="0" w:before="0" w:line="240" w:lineRule="auto"/>
            </w:pPr>
            <w:r>
              <w:rPr>
                <w:rFonts w:ascii="Arial" w:hAnsi="Arial"/>
                <w:sz w:val="13"/>
              </w:rPr>
              <w:t>AUC improved to 0.76/0.77/0.82</w:t>
            </w:r>
          </w:p>
        </w:tc>
        <w:tc>
          <w:tcPr>
            <w:tcW w:type="dxa" w:w="3240"/>
            <w:vAlign w:val="center"/>
            <w:tcMar>
              <w:top w:w="55" w:type="dxa"/>
              <w:start w:w="70" w:type="dxa"/>
              <w:bottom w:w="55" w:type="dxa"/>
              <w:end w:w="70" w:type="dxa"/>
            </w:tcMar>
          </w:tcPr>
          <w:p>
            <w:pPr>
              <w:spacing w:after="0" w:before="0" w:line="240" w:lineRule="auto"/>
            </w:pPr>
            <w:r>
              <w:rPr>
                <w:rFonts w:ascii="Arial" w:hAnsi="Arial"/>
                <w:sz w:val="13"/>
              </w:rPr>
              <w:t>Threshold consequences incomplete</w:t>
            </w:r>
          </w:p>
        </w:tc>
        <w:tc>
          <w:tcPr>
            <w:tcW w:type="dxa" w:w="3024"/>
            <w:vAlign w:val="center"/>
            <w:tcMar>
              <w:top w:w="55" w:type="dxa"/>
              <w:start w:w="70" w:type="dxa"/>
              <w:bottom w:w="55" w:type="dxa"/>
              <w:end w:w="70" w:type="dxa"/>
            </w:tcMar>
          </w:tcPr>
          <w:p>
            <w:pPr>
              <w:spacing w:after="0" w:before="0" w:line="240" w:lineRule="auto"/>
            </w:pPr>
            <w:r>
              <w:rPr>
                <w:rFonts w:ascii="Arial" w:hAnsi="Arial"/>
                <w:sz w:val="13"/>
              </w:rPr>
              <w:t>Strong comparative design; no dedicated miN0 omission rule</w:t>
            </w:r>
          </w:p>
        </w:tc>
      </w:tr>
      <w:tr>
        <w:trPr>
          <w:cantSplit/>
          <w:trHeight w:hRule="atLeast"/>
        </w:trPr>
        <w:tc>
          <w:tcPr>
            <w:tcW w:type="dxa" w:w="1944"/>
            <w:vAlign w:val="center"/>
            <w:tcMar>
              <w:top w:w="55" w:type="dxa"/>
              <w:start w:w="70" w:type="dxa"/>
              <w:bottom w:w="55" w:type="dxa"/>
              <w:end w:w="70" w:type="dxa"/>
            </w:tcMar>
          </w:tcPr>
          <w:p>
            <w:pPr>
              <w:spacing w:after="0" w:before="0" w:line="240" w:lineRule="auto"/>
            </w:pPr>
            <w:r>
              <w:rPr>
                <w:rFonts w:ascii="Arial" w:hAnsi="Arial"/>
                <w:sz w:val="13"/>
              </w:rPr>
              <w:t>Vis/ABS 2023 [5]</w:t>
            </w:r>
          </w:p>
        </w:tc>
        <w:tc>
          <w:tcPr>
            <w:tcW w:type="dxa" w:w="2664"/>
            <w:vAlign w:val="center"/>
            <w:tcMar>
              <w:top w:w="55" w:type="dxa"/>
              <w:start w:w="70" w:type="dxa"/>
              <w:bottom w:w="55" w:type="dxa"/>
              <w:end w:w="70" w:type="dxa"/>
            </w:tcMar>
          </w:tcPr>
          <w:p>
            <w:pPr>
              <w:spacing w:after="0" w:before="0" w:line="240" w:lineRule="auto"/>
            </w:pPr>
            <w:r>
              <w:rPr>
                <w:rFonts w:ascii="Arial" w:hAnsi="Arial"/>
                <w:sz w:val="13"/>
              </w:rPr>
              <w:t>Development + external; mixed miN</w:t>
            </w:r>
          </w:p>
        </w:tc>
        <w:tc>
          <w:tcPr>
            <w:tcW w:type="dxa" w:w="2160"/>
            <w:vAlign w:val="center"/>
            <w:tcMar>
              <w:top w:w="55" w:type="dxa"/>
              <w:start w:w="70" w:type="dxa"/>
              <w:bottom w:w="55" w:type="dxa"/>
              <w:end w:w="70" w:type="dxa"/>
            </w:tcMar>
          </w:tcPr>
          <w:p>
            <w:pPr>
              <w:spacing w:after="0" w:before="0" w:line="240" w:lineRule="auto"/>
            </w:pPr>
            <w:r>
              <w:rPr>
                <w:rFonts w:ascii="Arial" w:hAnsi="Arial"/>
                <w:sz w:val="13"/>
              </w:rPr>
              <w:t>External AUC 0.75</w:t>
            </w:r>
          </w:p>
        </w:tc>
        <w:tc>
          <w:tcPr>
            <w:tcW w:type="dxa" w:w="3240"/>
            <w:vAlign w:val="center"/>
            <w:tcMar>
              <w:top w:w="55" w:type="dxa"/>
              <w:start w:w="70" w:type="dxa"/>
              <w:bottom w:w="55" w:type="dxa"/>
              <w:end w:w="70" w:type="dxa"/>
            </w:tcMar>
          </w:tcPr>
          <w:p>
            <w:pPr>
              <w:spacing w:after="0" w:before="0" w:line="240" w:lineRule="auto"/>
            </w:pPr>
            <w:r>
              <w:rPr>
                <w:rFonts w:ascii="Arial" w:hAnsi="Arial"/>
                <w:sz w:val="13"/>
              </w:rPr>
              <w:t>Calibration/DCA reported</w:t>
            </w:r>
          </w:p>
        </w:tc>
        <w:tc>
          <w:tcPr>
            <w:tcW w:type="dxa" w:w="3024"/>
            <w:vAlign w:val="center"/>
            <w:tcMar>
              <w:top w:w="55" w:type="dxa"/>
              <w:start w:w="70" w:type="dxa"/>
              <w:bottom w:w="55" w:type="dxa"/>
              <w:end w:w="70" w:type="dxa"/>
            </w:tcMar>
          </w:tcPr>
          <w:p>
            <w:pPr>
              <w:spacing w:after="0" w:before="0" w:line="240" w:lineRule="auto"/>
            </w:pPr>
            <w:r>
              <w:rPr>
                <w:rFonts w:ascii="Arial" w:hAnsi="Arial"/>
                <w:sz w:val="13"/>
              </w:rPr>
              <w:t>Contemporary MRI+PSMA model; external spectrum matters</w:t>
            </w:r>
          </w:p>
        </w:tc>
      </w:tr>
      <w:tr>
        <w:trPr>
          <w:cantSplit/>
          <w:trHeight w:hRule="atLeast"/>
        </w:trPr>
        <w:tc>
          <w:tcPr>
            <w:tcW w:type="dxa" w:w="1944"/>
            <w:vAlign w:val="center"/>
            <w:tcMar>
              <w:top w:w="55" w:type="dxa"/>
              <w:start w:w="70" w:type="dxa"/>
              <w:bottom w:w="55" w:type="dxa"/>
              <w:end w:w="70" w:type="dxa"/>
            </w:tcMar>
          </w:tcPr>
          <w:p>
            <w:pPr>
              <w:spacing w:after="0" w:before="0" w:line="240" w:lineRule="auto"/>
            </w:pPr>
            <w:r>
              <w:rPr>
                <w:rFonts w:ascii="Arial" w:hAnsi="Arial"/>
                <w:sz w:val="13"/>
              </w:rPr>
              <w:t>Muehlematter 2023 [6]</w:t>
            </w:r>
          </w:p>
        </w:tc>
        <w:tc>
          <w:tcPr>
            <w:tcW w:type="dxa" w:w="2664"/>
            <w:vAlign w:val="center"/>
            <w:tcMar>
              <w:top w:w="55" w:type="dxa"/>
              <w:start w:w="70" w:type="dxa"/>
              <w:bottom w:w="55" w:type="dxa"/>
              <w:end w:w="70" w:type="dxa"/>
            </w:tcMar>
          </w:tcPr>
          <w:p>
            <w:pPr>
              <w:spacing w:after="0" w:before="0" w:line="240" w:lineRule="auto"/>
            </w:pPr>
            <w:r>
              <w:rPr>
                <w:rFonts w:ascii="Arial" w:hAnsi="Arial"/>
                <w:sz w:val="13"/>
              </w:rPr>
              <w:t>Development + external; mixed miN</w:t>
            </w:r>
          </w:p>
        </w:tc>
        <w:tc>
          <w:tcPr>
            <w:tcW w:type="dxa" w:w="2160"/>
            <w:vAlign w:val="center"/>
            <w:tcMar>
              <w:top w:w="55" w:type="dxa"/>
              <w:start w:w="70" w:type="dxa"/>
              <w:bottom w:w="55" w:type="dxa"/>
              <w:end w:w="70" w:type="dxa"/>
            </w:tcMar>
          </w:tcPr>
          <w:p>
            <w:pPr>
              <w:spacing w:after="0" w:before="0" w:line="240" w:lineRule="auto"/>
            </w:pPr>
            <w:r>
              <w:rPr>
                <w:rFonts w:ascii="Arial" w:hAnsi="Arial"/>
                <w:sz w:val="13"/>
              </w:rPr>
              <w:t>External AUC 0.923</w:t>
            </w:r>
          </w:p>
        </w:tc>
        <w:tc>
          <w:tcPr>
            <w:tcW w:type="dxa" w:w="3240"/>
            <w:vAlign w:val="center"/>
            <w:tcMar>
              <w:top w:w="55" w:type="dxa"/>
              <w:start w:w="70" w:type="dxa"/>
              <w:bottom w:w="55" w:type="dxa"/>
              <w:end w:w="70" w:type="dxa"/>
            </w:tcMar>
          </w:tcPr>
          <w:p>
            <w:pPr>
              <w:spacing w:after="0" w:before="0" w:line="240" w:lineRule="auto"/>
            </w:pPr>
            <w:r>
              <w:rPr>
                <w:rFonts w:ascii="Arial" w:hAnsi="Arial"/>
                <w:sz w:val="13"/>
              </w:rPr>
              <w:t>17%: 50% spared, 1 pN1 missed</w:t>
            </w:r>
          </w:p>
        </w:tc>
        <w:tc>
          <w:tcPr>
            <w:tcW w:type="dxa" w:w="3024"/>
            <w:vAlign w:val="center"/>
            <w:tcMar>
              <w:top w:w="55" w:type="dxa"/>
              <w:start w:w="70" w:type="dxa"/>
              <w:bottom w:w="55" w:type="dxa"/>
              <w:end w:w="70" w:type="dxa"/>
            </w:tcMar>
          </w:tcPr>
          <w:p>
            <w:pPr>
              <w:spacing w:after="0" w:before="0" w:line="240" w:lineRule="auto"/>
            </w:pPr>
            <w:r>
              <w:rPr>
                <w:rFonts w:ascii="Arial" w:hAnsi="Arial"/>
                <w:sz w:val="13"/>
              </w:rPr>
              <w:t>Promising but small external cohort</w:t>
            </w:r>
          </w:p>
        </w:tc>
      </w:tr>
      <w:tr>
        <w:trPr>
          <w:cantSplit/>
          <w:trHeight w:hRule="atLeast"/>
        </w:trPr>
        <w:tc>
          <w:tcPr>
            <w:tcW w:type="dxa" w:w="1944"/>
            <w:vAlign w:val="center"/>
            <w:tcMar>
              <w:top w:w="55" w:type="dxa"/>
              <w:start w:w="70" w:type="dxa"/>
              <w:bottom w:w="55" w:type="dxa"/>
              <w:end w:w="70" w:type="dxa"/>
            </w:tcMar>
          </w:tcPr>
          <w:p>
            <w:pPr>
              <w:spacing w:after="0" w:before="0" w:line="240" w:lineRule="auto"/>
            </w:pPr>
            <w:r>
              <w:rPr>
                <w:rFonts w:ascii="Arial" w:hAnsi="Arial"/>
                <w:sz w:val="13"/>
              </w:rPr>
              <w:t>Gandaglia 2023 [7]</w:t>
            </w:r>
          </w:p>
        </w:tc>
        <w:tc>
          <w:tcPr>
            <w:tcW w:type="dxa" w:w="2664"/>
            <w:vAlign w:val="center"/>
            <w:tcMar>
              <w:top w:w="55" w:type="dxa"/>
              <w:start w:w="70" w:type="dxa"/>
              <w:bottom w:w="55" w:type="dxa"/>
              <w:end w:w="70" w:type="dxa"/>
            </w:tcMar>
          </w:tcPr>
          <w:p>
            <w:pPr>
              <w:spacing w:after="0" w:before="0" w:line="240" w:lineRule="auto"/>
            </w:pPr>
            <w:r>
              <w:rPr>
                <w:rFonts w:ascii="Arial" w:hAnsi="Arial"/>
                <w:sz w:val="13"/>
              </w:rPr>
              <w:t>12-centre miN0; internal CV</w:t>
            </w:r>
          </w:p>
        </w:tc>
        <w:tc>
          <w:tcPr>
            <w:tcW w:type="dxa" w:w="2160"/>
            <w:vAlign w:val="center"/>
            <w:tcMar>
              <w:top w:w="55" w:type="dxa"/>
              <w:start w:w="70" w:type="dxa"/>
              <w:bottom w:w="55" w:type="dxa"/>
              <w:end w:w="70" w:type="dxa"/>
            </w:tcMar>
          </w:tcPr>
          <w:p>
            <w:pPr>
              <w:spacing w:after="0" w:before="0" w:line="240" w:lineRule="auto"/>
            </w:pPr>
            <w:r>
              <w:rPr>
                <w:rFonts w:ascii="Arial" w:hAnsi="Arial"/>
                <w:sz w:val="13"/>
              </w:rPr>
              <w:t>AUC 0.78</w:t>
            </w:r>
          </w:p>
        </w:tc>
        <w:tc>
          <w:tcPr>
            <w:tcW w:type="dxa" w:w="3240"/>
            <w:vAlign w:val="center"/>
            <w:tcMar>
              <w:top w:w="55" w:type="dxa"/>
              <w:start w:w="70" w:type="dxa"/>
              <w:bottom w:w="55" w:type="dxa"/>
              <w:end w:w="70" w:type="dxa"/>
            </w:tcMar>
          </w:tcPr>
          <w:p>
            <w:pPr>
              <w:spacing w:after="0" w:before="0" w:line="240" w:lineRule="auto"/>
            </w:pPr>
            <w:r>
              <w:rPr>
                <w:rFonts w:ascii="Arial" w:hAnsi="Arial"/>
                <w:sz w:val="13"/>
              </w:rPr>
              <w:t>5%: 47% spared, ≈1 pN1 missed</w:t>
            </w:r>
          </w:p>
        </w:tc>
        <w:tc>
          <w:tcPr>
            <w:tcW w:type="dxa" w:w="3024"/>
            <w:vAlign w:val="center"/>
            <w:tcMar>
              <w:top w:w="55" w:type="dxa"/>
              <w:start w:w="70" w:type="dxa"/>
              <w:bottom w:w="55" w:type="dxa"/>
              <w:end w:w="70" w:type="dxa"/>
            </w:tcMar>
          </w:tcPr>
          <w:p>
            <w:pPr>
              <w:spacing w:after="0" w:before="0" w:line="240" w:lineRule="auto"/>
            </w:pPr>
            <w:r>
              <w:rPr>
                <w:rFonts w:ascii="Arial" w:hAnsi="Arial"/>
                <w:sz w:val="13"/>
              </w:rPr>
              <w:t>Directly relevant population; requires independent validation</w:t>
            </w:r>
          </w:p>
        </w:tc>
      </w:tr>
      <w:tr>
        <w:trPr>
          <w:cantSplit/>
          <w:trHeight w:hRule="atLeast"/>
        </w:trPr>
        <w:tc>
          <w:tcPr>
            <w:tcW w:type="dxa" w:w="1944"/>
            <w:vAlign w:val="center"/>
            <w:tcMar>
              <w:top w:w="55" w:type="dxa"/>
              <w:start w:w="70" w:type="dxa"/>
              <w:bottom w:w="55" w:type="dxa"/>
              <w:end w:w="70" w:type="dxa"/>
            </w:tcMar>
          </w:tcPr>
          <w:p>
            <w:pPr>
              <w:spacing w:after="0" w:before="0" w:line="240" w:lineRule="auto"/>
            </w:pPr>
            <w:r>
              <w:rPr>
                <w:rFonts w:ascii="Arial" w:hAnsi="Arial"/>
                <w:sz w:val="13"/>
              </w:rPr>
              <w:t>Dekalo 2025 [8]</w:t>
            </w:r>
          </w:p>
        </w:tc>
        <w:tc>
          <w:tcPr>
            <w:tcW w:type="dxa" w:w="2664"/>
            <w:vAlign w:val="center"/>
            <w:tcMar>
              <w:top w:w="55" w:type="dxa"/>
              <w:start w:w="70" w:type="dxa"/>
              <w:bottom w:w="55" w:type="dxa"/>
              <w:end w:w="70" w:type="dxa"/>
            </w:tcMar>
          </w:tcPr>
          <w:p>
            <w:pPr>
              <w:spacing w:after="0" w:before="0" w:line="240" w:lineRule="auto"/>
            </w:pPr>
            <w:r>
              <w:rPr>
                <w:rFonts w:ascii="Arial" w:hAnsi="Arial"/>
                <w:sz w:val="13"/>
              </w:rPr>
              <w:t>Internal; mixed miN</w:t>
            </w:r>
          </w:p>
        </w:tc>
        <w:tc>
          <w:tcPr>
            <w:tcW w:type="dxa" w:w="2160"/>
            <w:vAlign w:val="center"/>
            <w:tcMar>
              <w:top w:w="55" w:type="dxa"/>
              <w:start w:w="70" w:type="dxa"/>
              <w:bottom w:w="55" w:type="dxa"/>
              <w:end w:w="70" w:type="dxa"/>
            </w:tcMar>
          </w:tcPr>
          <w:p>
            <w:pPr>
              <w:spacing w:after="0" w:before="0" w:line="240" w:lineRule="auto"/>
            </w:pPr>
            <w:r>
              <w:rPr>
                <w:rFonts w:ascii="Arial" w:hAnsi="Arial"/>
                <w:sz w:val="13"/>
              </w:rPr>
              <w:t>AUC 0.906; NPV 99%</w:t>
            </w:r>
          </w:p>
        </w:tc>
        <w:tc>
          <w:tcPr>
            <w:tcW w:type="dxa" w:w="3240"/>
            <w:vAlign w:val="center"/>
            <w:tcMar>
              <w:top w:w="55" w:type="dxa"/>
              <w:start w:w="70" w:type="dxa"/>
              <w:bottom w:w="55" w:type="dxa"/>
              <w:end w:w="70" w:type="dxa"/>
            </w:tcMar>
          </w:tcPr>
          <w:p>
            <w:pPr>
              <w:spacing w:after="0" w:before="0" w:line="240" w:lineRule="auto"/>
            </w:pPr>
            <w:r>
              <w:rPr>
                <w:rFonts w:ascii="Arial" w:hAnsi="Arial"/>
                <w:sz w:val="13"/>
              </w:rPr>
              <w:t>5%: ≈50% spared, 1 pN1 missed</w:t>
            </w:r>
          </w:p>
        </w:tc>
        <w:tc>
          <w:tcPr>
            <w:tcW w:type="dxa" w:w="3024"/>
            <w:vAlign w:val="center"/>
            <w:tcMar>
              <w:top w:w="55" w:type="dxa"/>
              <w:start w:w="70" w:type="dxa"/>
              <w:bottom w:w="55" w:type="dxa"/>
              <w:end w:w="70" w:type="dxa"/>
            </w:tcMar>
          </w:tcPr>
          <w:p>
            <w:pPr>
              <w:spacing w:after="0" w:before="0" w:line="240" w:lineRule="auto"/>
            </w:pPr>
            <w:r>
              <w:rPr>
                <w:rFonts w:ascii="Arial" w:hAnsi="Arial"/>
                <w:sz w:val="13"/>
              </w:rPr>
              <w:t>Data-derived internal risk grouping</w:t>
            </w:r>
          </w:p>
        </w:tc>
      </w:tr>
      <w:tr>
        <w:trPr>
          <w:cantSplit/>
          <w:trHeight w:hRule="atLeast"/>
        </w:trPr>
        <w:tc>
          <w:tcPr>
            <w:tcW w:type="dxa" w:w="1944"/>
            <w:vAlign w:val="center"/>
            <w:tcMar>
              <w:top w:w="55" w:type="dxa"/>
              <w:start w:w="70" w:type="dxa"/>
              <w:bottom w:w="55" w:type="dxa"/>
              <w:end w:w="70" w:type="dxa"/>
            </w:tcMar>
          </w:tcPr>
          <w:p>
            <w:pPr>
              <w:spacing w:after="0" w:before="0" w:line="240" w:lineRule="auto"/>
            </w:pPr>
            <w:r>
              <w:rPr>
                <w:rFonts w:ascii="Arial" w:hAnsi="Arial"/>
                <w:sz w:val="13"/>
              </w:rPr>
              <w:t>Gandaglia 2026 [9]</w:t>
            </w:r>
          </w:p>
        </w:tc>
        <w:tc>
          <w:tcPr>
            <w:tcW w:type="dxa" w:w="2664"/>
            <w:vAlign w:val="center"/>
            <w:tcMar>
              <w:top w:w="55" w:type="dxa"/>
              <w:start w:w="70" w:type="dxa"/>
              <w:bottom w:w="55" w:type="dxa"/>
              <w:end w:w="70" w:type="dxa"/>
            </w:tcMar>
          </w:tcPr>
          <w:p>
            <w:pPr>
              <w:spacing w:after="0" w:before="0" w:line="240" w:lineRule="auto"/>
            </w:pPr>
            <w:r>
              <w:rPr>
                <w:rFonts w:ascii="Arial" w:hAnsi="Arial"/>
                <w:sz w:val="13"/>
              </w:rPr>
              <w:t>10-centre external miN0</w:t>
            </w:r>
          </w:p>
        </w:tc>
        <w:tc>
          <w:tcPr>
            <w:tcW w:type="dxa" w:w="2160"/>
            <w:vAlign w:val="center"/>
            <w:tcMar>
              <w:top w:w="55" w:type="dxa"/>
              <w:start w:w="70" w:type="dxa"/>
              <w:bottom w:w="55" w:type="dxa"/>
              <w:end w:w="70" w:type="dxa"/>
            </w:tcMar>
          </w:tcPr>
          <w:p>
            <w:pPr>
              <w:spacing w:after="0" w:before="0" w:line="240" w:lineRule="auto"/>
            </w:pPr>
            <w:r>
              <w:rPr>
                <w:rFonts w:ascii="Arial" w:hAnsi="Arial"/>
                <w:sz w:val="13"/>
              </w:rPr>
              <w:t>C-index 0.77</w:t>
            </w:r>
          </w:p>
        </w:tc>
        <w:tc>
          <w:tcPr>
            <w:tcW w:type="dxa" w:w="3240"/>
            <w:vAlign w:val="center"/>
            <w:tcMar>
              <w:top w:w="55" w:type="dxa"/>
              <w:start w:w="70" w:type="dxa"/>
              <w:bottom w:w="55" w:type="dxa"/>
              <w:end w:w="70" w:type="dxa"/>
            </w:tcMar>
          </w:tcPr>
          <w:p>
            <w:pPr>
              <w:spacing w:after="0" w:before="0" w:line="240" w:lineRule="auto"/>
            </w:pPr>
            <w:r>
              <w:rPr>
                <w:rFonts w:ascii="Arial" w:hAnsi="Arial"/>
                <w:sz w:val="13"/>
              </w:rPr>
              <w:t>5%: 47% spared, 5 pN1 missed</w:t>
            </w:r>
          </w:p>
        </w:tc>
        <w:tc>
          <w:tcPr>
            <w:tcW w:type="dxa" w:w="3024"/>
            <w:vAlign w:val="center"/>
            <w:tcMar>
              <w:top w:w="55" w:type="dxa"/>
              <w:start w:w="70" w:type="dxa"/>
              <w:bottom w:w="55" w:type="dxa"/>
              <w:end w:w="70" w:type="dxa"/>
            </w:tcMar>
          </w:tcPr>
          <w:p>
            <w:pPr>
              <w:spacing w:after="0" w:before="0" w:line="240" w:lineRule="auto"/>
            </w:pPr>
            <w:r>
              <w:rPr>
                <w:rFonts w:ascii="Arial" w:hAnsi="Arial"/>
                <w:sz w:val="13"/>
              </w:rPr>
              <w:t>Most relevant external miN0 threshold evidence; misses remain non-zero</w:t>
            </w:r>
          </w:p>
        </w:tc>
      </w:tr>
      <w:tr>
        <w:trPr>
          <w:cantSplit/>
          <w:trHeight w:hRule="atLeast"/>
        </w:trPr>
        <w:tc>
          <w:tcPr>
            <w:tcW w:type="dxa" w:w="1944"/>
            <w:vAlign w:val="center"/>
            <w:tcMar>
              <w:top w:w="55" w:type="dxa"/>
              <w:start w:w="70" w:type="dxa"/>
              <w:bottom w:w="55" w:type="dxa"/>
              <w:end w:w="70" w:type="dxa"/>
            </w:tcMar>
          </w:tcPr>
          <w:p>
            <w:pPr>
              <w:spacing w:after="0" w:before="0" w:line="240" w:lineRule="auto"/>
            </w:pPr>
            <w:r>
              <w:rPr>
                <w:rFonts w:ascii="Arial" w:hAnsi="Arial"/>
                <w:sz w:val="13"/>
              </w:rPr>
              <w:t>Huebner 2024 [68]</w:t>
            </w:r>
          </w:p>
        </w:tc>
        <w:tc>
          <w:tcPr>
            <w:tcW w:type="dxa" w:w="2664"/>
            <w:vAlign w:val="center"/>
            <w:tcMar>
              <w:top w:w="55" w:type="dxa"/>
              <w:start w:w="70" w:type="dxa"/>
              <w:bottom w:w="55" w:type="dxa"/>
              <w:end w:w="70" w:type="dxa"/>
            </w:tcMar>
          </w:tcPr>
          <w:p>
            <w:pPr>
              <w:spacing w:after="0" w:before="0" w:line="240" w:lineRule="auto"/>
            </w:pPr>
            <w:r>
              <w:rPr>
                <w:rFonts w:ascii="Arial" w:hAnsi="Arial"/>
                <w:sz w:val="13"/>
              </w:rPr>
              <w:t>Single-centre miN0</w:t>
            </w:r>
          </w:p>
        </w:tc>
        <w:tc>
          <w:tcPr>
            <w:tcW w:type="dxa" w:w="2160"/>
            <w:vAlign w:val="center"/>
            <w:tcMar>
              <w:top w:w="55" w:type="dxa"/>
              <w:start w:w="70" w:type="dxa"/>
              <w:bottom w:w="55" w:type="dxa"/>
              <w:end w:w="70" w:type="dxa"/>
            </w:tcMar>
          </w:tcPr>
          <w:p>
            <w:pPr>
              <w:spacing w:after="0" w:before="0" w:line="240" w:lineRule="auto"/>
            </w:pPr>
            <w:r>
              <w:rPr>
                <w:rFonts w:ascii="Arial" w:hAnsi="Arial"/>
                <w:sz w:val="13"/>
              </w:rPr>
              <w:t>Briganti 2019 AUC 0.62</w:t>
            </w:r>
          </w:p>
        </w:tc>
        <w:tc>
          <w:tcPr>
            <w:tcW w:type="dxa" w:w="3240"/>
            <w:vAlign w:val="center"/>
            <w:tcMar>
              <w:top w:w="55" w:type="dxa"/>
              <w:start w:w="70" w:type="dxa"/>
              <w:bottom w:w="55" w:type="dxa"/>
              <w:end w:w="70" w:type="dxa"/>
            </w:tcMar>
          </w:tcPr>
          <w:p>
            <w:pPr>
              <w:spacing w:after="0" w:before="0" w:line="240" w:lineRule="auto"/>
            </w:pPr>
            <w:r>
              <w:rPr>
                <w:rFonts w:ascii="Arial" w:hAnsi="Arial"/>
                <w:sz w:val="13"/>
              </w:rPr>
              <w:t>No prespecified omission consequence</w:t>
            </w:r>
          </w:p>
        </w:tc>
        <w:tc>
          <w:tcPr>
            <w:tcW w:type="dxa" w:w="3024"/>
            <w:vAlign w:val="center"/>
            <w:tcMar>
              <w:top w:w="55" w:type="dxa"/>
              <w:start w:w="70" w:type="dxa"/>
              <w:bottom w:w="55" w:type="dxa"/>
              <w:end w:w="70" w:type="dxa"/>
            </w:tcMar>
          </w:tcPr>
          <w:p>
            <w:pPr>
              <w:spacing w:after="0" w:before="0" w:line="240" w:lineRule="auto"/>
            </w:pPr>
            <w:r>
              <w:rPr>
                <w:rFonts w:ascii="Arial" w:hAnsi="Arial"/>
                <w:sz w:val="13"/>
              </w:rPr>
              <w:t>Shows poor transport of a standard nomogram after negative PSMA PET</w:t>
            </w:r>
          </w:p>
        </w:tc>
      </w:tr>
      <w:tr>
        <w:trPr>
          <w:cantSplit/>
          <w:trHeight w:hRule="atLeast"/>
        </w:trPr>
        <w:tc>
          <w:tcPr>
            <w:tcW w:type="dxa" w:w="1944"/>
            <w:vAlign w:val="center"/>
            <w:tcMar>
              <w:top w:w="55" w:type="dxa"/>
              <w:start w:w="70" w:type="dxa"/>
              <w:bottom w:w="55" w:type="dxa"/>
              <w:end w:w="70" w:type="dxa"/>
            </w:tcMar>
          </w:tcPr>
          <w:p>
            <w:pPr>
              <w:spacing w:after="0" w:before="0" w:line="240" w:lineRule="auto"/>
            </w:pPr>
            <w:r>
              <w:rPr>
                <w:rFonts w:ascii="Arial" w:hAnsi="Arial"/>
                <w:sz w:val="13"/>
              </w:rPr>
              <w:t>Van Bergen 2025 [69]</w:t>
            </w:r>
          </w:p>
        </w:tc>
        <w:tc>
          <w:tcPr>
            <w:tcW w:type="dxa" w:w="2664"/>
            <w:vAlign w:val="center"/>
            <w:tcMar>
              <w:top w:w="55" w:type="dxa"/>
              <w:start w:w="70" w:type="dxa"/>
              <w:bottom w:w="55" w:type="dxa"/>
              <w:end w:w="70" w:type="dxa"/>
            </w:tcMar>
          </w:tcPr>
          <w:p>
            <w:pPr>
              <w:spacing w:after="0" w:before="0" w:line="240" w:lineRule="auto"/>
            </w:pPr>
            <w:r>
              <w:rPr>
                <w:rFonts w:ascii="Arial" w:hAnsi="Arial"/>
                <w:sz w:val="13"/>
              </w:rPr>
              <w:t>Multicentre external; mixed + miN0 subgroup</w:t>
            </w:r>
          </w:p>
        </w:tc>
        <w:tc>
          <w:tcPr>
            <w:tcW w:type="dxa" w:w="2160"/>
            <w:vAlign w:val="center"/>
            <w:tcMar>
              <w:top w:w="55" w:type="dxa"/>
              <w:start w:w="70" w:type="dxa"/>
              <w:bottom w:w="55" w:type="dxa"/>
              <w:end w:w="70" w:type="dxa"/>
            </w:tcMar>
          </w:tcPr>
          <w:p>
            <w:pPr>
              <w:spacing w:after="0" w:before="0" w:line="240" w:lineRule="auto"/>
            </w:pPr>
            <w:r>
              <w:rPr>
                <w:rFonts w:ascii="Arial" w:hAnsi="Arial"/>
                <w:sz w:val="13"/>
              </w:rPr>
              <w:t>ABS 0.81; Muehlematter 1 0.79</w:t>
            </w:r>
          </w:p>
        </w:tc>
        <w:tc>
          <w:tcPr>
            <w:tcW w:type="dxa" w:w="3240"/>
            <w:vAlign w:val="center"/>
            <w:tcMar>
              <w:top w:w="55" w:type="dxa"/>
              <w:start w:w="70" w:type="dxa"/>
              <w:bottom w:w="55" w:type="dxa"/>
              <w:end w:w="70" w:type="dxa"/>
            </w:tcMar>
          </w:tcPr>
          <w:p>
            <w:pPr>
              <w:spacing w:after="0" w:before="0" w:line="240" w:lineRule="auto"/>
            </w:pPr>
            <w:r>
              <w:rPr>
                <w:rFonts w:ascii="Arial" w:hAnsi="Arial"/>
                <w:sz w:val="13"/>
              </w:rPr>
              <w:t>65/71 spared at 8%/15%; 0 pN1 missed</w:t>
            </w:r>
          </w:p>
        </w:tc>
        <w:tc>
          <w:tcPr>
            <w:tcW w:type="dxa" w:w="3024"/>
            <w:vAlign w:val="center"/>
            <w:tcMar>
              <w:top w:w="55" w:type="dxa"/>
              <w:start w:w="70" w:type="dxa"/>
              <w:bottom w:w="55" w:type="dxa"/>
              <w:end w:w="70" w:type="dxa"/>
            </w:tcMar>
          </w:tcPr>
          <w:p>
            <w:pPr>
              <w:spacing w:after="0" w:before="0" w:line="240" w:lineRule="auto"/>
            </w:pPr>
            <w:r>
              <w:rPr>
                <w:rFonts w:ascii="Arial" w:hAnsi="Arial"/>
                <w:sz w:val="13"/>
              </w:rPr>
              <w:t>Good reporting; miN0 subgroup AUC fell to 0.70/0.64</w:t>
            </w:r>
          </w:p>
        </w:tc>
      </w:tr>
      <w:tr>
        <w:trPr>
          <w:cantSplit/>
          <w:trHeight w:hRule="atLeast"/>
        </w:trPr>
        <w:tc>
          <w:tcPr>
            <w:tcW w:type="dxa" w:w="1944"/>
            <w:vAlign w:val="center"/>
            <w:tcMar>
              <w:top w:w="55" w:type="dxa"/>
              <w:start w:w="70" w:type="dxa"/>
              <w:bottom w:w="55" w:type="dxa"/>
              <w:end w:w="70" w:type="dxa"/>
            </w:tcMar>
          </w:tcPr>
          <w:p>
            <w:pPr>
              <w:spacing w:after="0" w:before="0" w:line="240" w:lineRule="auto"/>
            </w:pPr>
            <w:r>
              <w:rPr>
                <w:rFonts w:ascii="Arial" w:hAnsi="Arial"/>
                <w:sz w:val="13"/>
              </w:rPr>
              <w:t>Bauckneht 2025 [70]</w:t>
            </w:r>
          </w:p>
        </w:tc>
        <w:tc>
          <w:tcPr>
            <w:tcW w:type="dxa" w:w="2664"/>
            <w:vAlign w:val="center"/>
            <w:tcMar>
              <w:top w:w="55" w:type="dxa"/>
              <w:start w:w="70" w:type="dxa"/>
              <w:bottom w:w="55" w:type="dxa"/>
              <w:end w:w="70" w:type="dxa"/>
            </w:tcMar>
          </w:tcPr>
          <w:p>
            <w:pPr>
              <w:spacing w:after="0" w:before="0" w:line="240" w:lineRule="auto"/>
            </w:pPr>
            <w:r>
              <w:rPr>
                <w:rFonts w:ascii="Arial" w:hAnsi="Arial"/>
                <w:sz w:val="13"/>
              </w:rPr>
              <w:t>Retrospective 3-centre intermediate-risk</w:t>
            </w:r>
          </w:p>
        </w:tc>
        <w:tc>
          <w:tcPr>
            <w:tcW w:type="dxa" w:w="2160"/>
            <w:vAlign w:val="center"/>
            <w:tcMar>
              <w:top w:w="55" w:type="dxa"/>
              <w:start w:w="70" w:type="dxa"/>
              <w:bottom w:w="55" w:type="dxa"/>
              <w:end w:w="70" w:type="dxa"/>
            </w:tcMar>
          </w:tcPr>
          <w:p>
            <w:pPr>
              <w:spacing w:after="0" w:before="0" w:line="240" w:lineRule="auto"/>
            </w:pPr>
            <w:r>
              <w:rPr>
                <w:rFonts w:ascii="Arial" w:hAnsi="Arial"/>
                <w:sz w:val="13"/>
              </w:rPr>
              <w:t>CI/discrimination incompletely reported in abstract</w:t>
            </w:r>
          </w:p>
        </w:tc>
        <w:tc>
          <w:tcPr>
            <w:tcW w:type="dxa" w:w="3240"/>
            <w:vAlign w:val="center"/>
            <w:tcMar>
              <w:top w:w="55" w:type="dxa"/>
              <w:start w:w="70" w:type="dxa"/>
              <w:bottom w:w="55" w:type="dxa"/>
              <w:end w:w="70" w:type="dxa"/>
            </w:tcMar>
          </w:tcPr>
          <w:p>
            <w:pPr>
              <w:spacing w:after="0" w:before="0" w:line="240" w:lineRule="auto"/>
            </w:pPr>
            <w:r>
              <w:rPr>
                <w:rFonts w:ascii="Arial" w:hAnsi="Arial"/>
                <w:sz w:val="13"/>
              </w:rPr>
              <w:t>≈92/110 spared; ≈1 pN1 missed</w:t>
            </w:r>
          </w:p>
        </w:tc>
        <w:tc>
          <w:tcPr>
            <w:tcW w:type="dxa" w:w="3024"/>
            <w:vAlign w:val="center"/>
            <w:tcMar>
              <w:top w:w="55" w:type="dxa"/>
              <w:start w:w="70" w:type="dxa"/>
              <w:bottom w:w="55" w:type="dxa"/>
              <w:end w:w="70" w:type="dxa"/>
            </w:tcMar>
          </w:tcPr>
          <w:p>
            <w:pPr>
              <w:spacing w:after="0" w:before="0" w:line="240" w:lineRule="auto"/>
            </w:pPr>
            <w:r>
              <w:rPr>
                <w:rFonts w:ascii="Arial" w:hAnsi="Arial"/>
                <w:sz w:val="13"/>
              </w:rPr>
              <w:t>Data-derived strategy; denominator conventions and external validation limited</w:t>
            </w:r>
          </w:p>
        </w:tc>
      </w:tr>
      <w:tr>
        <w:trPr>
          <w:cantSplit/>
          <w:trHeight w:hRule="atLeast"/>
        </w:trPr>
        <w:tc>
          <w:tcPr>
            <w:tcW w:type="dxa" w:w="1944"/>
            <w:vAlign w:val="center"/>
            <w:tcMar>
              <w:top w:w="55" w:type="dxa"/>
              <w:start w:w="70" w:type="dxa"/>
              <w:bottom w:w="55" w:type="dxa"/>
              <w:end w:w="70" w:type="dxa"/>
            </w:tcMar>
          </w:tcPr>
          <w:p>
            <w:pPr>
              <w:spacing w:after="0" w:before="0" w:line="240" w:lineRule="auto"/>
            </w:pPr>
            <w:r>
              <w:rPr>
                <w:rFonts w:ascii="Arial" w:hAnsi="Arial"/>
                <w:sz w:val="13"/>
              </w:rPr>
              <w:t>Chen 2026 [71]</w:t>
            </w:r>
          </w:p>
        </w:tc>
        <w:tc>
          <w:tcPr>
            <w:tcW w:type="dxa" w:w="2664"/>
            <w:vAlign w:val="center"/>
            <w:tcMar>
              <w:top w:w="55" w:type="dxa"/>
              <w:start w:w="70" w:type="dxa"/>
              <w:bottom w:w="55" w:type="dxa"/>
              <w:end w:w="70" w:type="dxa"/>
            </w:tcMar>
          </w:tcPr>
          <w:p>
            <w:pPr>
              <w:spacing w:after="0" w:before="0" w:line="240" w:lineRule="auto"/>
            </w:pPr>
            <w:r>
              <w:rPr>
                <w:rFonts w:ascii="Arial" w:hAnsi="Arial"/>
                <w:sz w:val="13"/>
              </w:rPr>
              <w:t>Locked temporal, single-centre; mixed miN</w:t>
            </w:r>
          </w:p>
        </w:tc>
        <w:tc>
          <w:tcPr>
            <w:tcW w:type="dxa" w:w="2160"/>
            <w:vAlign w:val="center"/>
            <w:tcMar>
              <w:top w:w="55" w:type="dxa"/>
              <w:start w:w="70" w:type="dxa"/>
              <w:bottom w:w="55" w:type="dxa"/>
              <w:end w:w="70" w:type="dxa"/>
            </w:tcMar>
          </w:tcPr>
          <w:p>
            <w:pPr>
              <w:spacing w:after="0" w:before="0" w:line="240" w:lineRule="auto"/>
            </w:pPr>
            <w:r>
              <w:rPr>
                <w:rFonts w:ascii="Arial" w:hAnsi="Arial"/>
                <w:sz w:val="13"/>
              </w:rPr>
              <w:t>AUC 0.943 (0.898–0.989); Brier 0.080</w:t>
            </w:r>
          </w:p>
        </w:tc>
        <w:tc>
          <w:tcPr>
            <w:tcW w:type="dxa" w:w="3240"/>
            <w:vAlign w:val="center"/>
            <w:tcMar>
              <w:top w:w="55" w:type="dxa"/>
              <w:start w:w="70" w:type="dxa"/>
              <w:bottom w:w="55" w:type="dxa"/>
              <w:end w:w="70" w:type="dxa"/>
            </w:tcMar>
          </w:tcPr>
          <w:p>
            <w:pPr>
              <w:spacing w:after="0" w:before="0" w:line="240" w:lineRule="auto"/>
            </w:pPr>
            <w:r>
              <w:rPr>
                <w:rFonts w:ascii="Arial" w:hAnsi="Arial"/>
                <w:sz w:val="13"/>
              </w:rPr>
              <w:t>DCA yes; threshold counts NR</w:t>
            </w:r>
          </w:p>
        </w:tc>
        <w:tc>
          <w:tcPr>
            <w:tcW w:type="dxa" w:w="3024"/>
            <w:vAlign w:val="center"/>
            <w:tcMar>
              <w:top w:w="55" w:type="dxa"/>
              <w:start w:w="70" w:type="dxa"/>
              <w:bottom w:w="55" w:type="dxa"/>
              <w:end w:w="70" w:type="dxa"/>
            </w:tcMar>
          </w:tcPr>
          <w:p>
            <w:pPr>
              <w:spacing w:after="0" w:before="0" w:line="240" w:lineRule="auto"/>
            </w:pPr>
            <w:r>
              <w:rPr>
                <w:rFonts w:ascii="Arial" w:hAnsi="Arial"/>
                <w:sz w:val="13"/>
              </w:rPr>
              <w:t>Strong reporting but no multicentre or miN0-specific validation</w:t>
            </w:r>
          </w:p>
        </w:tc>
      </w:tr>
      <w:tr>
        <w:trPr>
          <w:cantSplit/>
          <w:trHeight w:hRule="atLeast"/>
        </w:trPr>
        <w:tc>
          <w:tcPr>
            <w:tcW w:type="dxa" w:w="1944"/>
            <w:vAlign w:val="center"/>
            <w:tcMar>
              <w:top w:w="55" w:type="dxa"/>
              <w:start w:w="70" w:type="dxa"/>
              <w:bottom w:w="55" w:type="dxa"/>
              <w:end w:w="70" w:type="dxa"/>
            </w:tcMar>
          </w:tcPr>
          <w:p>
            <w:pPr>
              <w:spacing w:after="0" w:before="0" w:line="240" w:lineRule="auto"/>
            </w:pPr>
            <w:r>
              <w:rPr>
                <w:rFonts w:ascii="Arial" w:hAnsi="Arial"/>
                <w:sz w:val="13"/>
              </w:rPr>
              <w:t>Demirbilek 2025 [72]</w:t>
            </w:r>
          </w:p>
        </w:tc>
        <w:tc>
          <w:tcPr>
            <w:tcW w:type="dxa" w:w="2664"/>
            <w:vAlign w:val="center"/>
            <w:tcMar>
              <w:top w:w="55" w:type="dxa"/>
              <w:start w:w="70" w:type="dxa"/>
              <w:bottom w:w="55" w:type="dxa"/>
              <w:end w:w="70" w:type="dxa"/>
            </w:tcMar>
          </w:tcPr>
          <w:p>
            <w:pPr>
              <w:spacing w:after="0" w:before="0" w:line="240" w:lineRule="auto"/>
            </w:pPr>
            <w:r>
              <w:rPr>
                <w:rFonts w:ascii="Arial" w:hAnsi="Arial"/>
                <w:sz w:val="13"/>
              </w:rPr>
              <w:t>Single-cohort external comparison; mixed miN</w:t>
            </w:r>
          </w:p>
        </w:tc>
        <w:tc>
          <w:tcPr>
            <w:tcW w:type="dxa" w:w="2160"/>
            <w:vAlign w:val="center"/>
            <w:tcMar>
              <w:top w:w="55" w:type="dxa"/>
              <w:start w:w="70" w:type="dxa"/>
              <w:bottom w:w="55" w:type="dxa"/>
              <w:end w:w="70" w:type="dxa"/>
            </w:tcMar>
          </w:tcPr>
          <w:p>
            <w:pPr>
              <w:spacing w:after="0" w:before="0" w:line="240" w:lineRule="auto"/>
            </w:pPr>
            <w:r>
              <w:rPr>
                <w:rFonts w:ascii="Arial" w:hAnsi="Arial"/>
                <w:sz w:val="13"/>
              </w:rPr>
              <w:t>ABS 0.862; +PRIMARY 0.870</w:t>
            </w:r>
          </w:p>
        </w:tc>
        <w:tc>
          <w:tcPr>
            <w:tcW w:type="dxa" w:w="3240"/>
            <w:vAlign w:val="center"/>
            <w:tcMar>
              <w:top w:w="55" w:type="dxa"/>
              <w:start w:w="70" w:type="dxa"/>
              <w:bottom w:w="55" w:type="dxa"/>
              <w:end w:w="70" w:type="dxa"/>
            </w:tcMar>
          </w:tcPr>
          <w:p>
            <w:pPr>
              <w:spacing w:after="0" w:before="0" w:line="240" w:lineRule="auto"/>
            </w:pPr>
            <w:r>
              <w:rPr>
                <w:rFonts w:ascii="Arial" w:hAnsi="Arial"/>
                <w:sz w:val="13"/>
              </w:rPr>
              <w:t>Calibration/DCA and threshold counts NR</w:t>
            </w:r>
          </w:p>
        </w:tc>
        <w:tc>
          <w:tcPr>
            <w:tcW w:type="dxa" w:w="3024"/>
            <w:vAlign w:val="center"/>
            <w:tcMar>
              <w:top w:w="55" w:type="dxa"/>
              <w:start w:w="70" w:type="dxa"/>
              <w:bottom w:w="55" w:type="dxa"/>
              <w:end w:w="70" w:type="dxa"/>
            </w:tcMar>
          </w:tcPr>
          <w:p>
            <w:pPr>
              <w:spacing w:after="0" w:before="0" w:line="240" w:lineRule="auto"/>
            </w:pPr>
            <w:r>
              <w:rPr>
                <w:rFonts w:ascii="Arial" w:hAnsi="Arial"/>
                <w:sz w:val="13"/>
              </w:rPr>
              <w:t>Incremental fit requires independent confirmation</w:t>
            </w:r>
          </w:p>
        </w:tc>
      </w:tr>
      <w:tr>
        <w:trPr>
          <w:cantSplit/>
          <w:trHeight w:hRule="atLeast"/>
        </w:trPr>
        <w:tc>
          <w:tcPr>
            <w:tcW w:type="dxa" w:w="1944"/>
            <w:vAlign w:val="center"/>
            <w:tcMar>
              <w:top w:w="55" w:type="dxa"/>
              <w:start w:w="70" w:type="dxa"/>
              <w:bottom w:w="55" w:type="dxa"/>
              <w:end w:w="70" w:type="dxa"/>
            </w:tcMar>
          </w:tcPr>
          <w:p>
            <w:pPr>
              <w:spacing w:after="0" w:before="0" w:line="240" w:lineRule="auto"/>
            </w:pPr>
            <w:r>
              <w:rPr>
                <w:rFonts w:ascii="Arial" w:hAnsi="Arial"/>
                <w:sz w:val="13"/>
              </w:rPr>
              <w:t>Cetin 2026 [73]</w:t>
            </w:r>
          </w:p>
        </w:tc>
        <w:tc>
          <w:tcPr>
            <w:tcW w:type="dxa" w:w="2664"/>
            <w:vAlign w:val="center"/>
            <w:tcMar>
              <w:top w:w="55" w:type="dxa"/>
              <w:start w:w="70" w:type="dxa"/>
              <w:bottom w:w="55" w:type="dxa"/>
              <w:end w:w="70" w:type="dxa"/>
            </w:tcMar>
          </w:tcPr>
          <w:p>
            <w:pPr>
              <w:spacing w:after="0" w:before="0" w:line="240" w:lineRule="auto"/>
            </w:pPr>
            <w:r>
              <w:rPr>
                <w:rFonts w:ascii="Arial" w:hAnsi="Arial"/>
                <w:sz w:val="13"/>
              </w:rPr>
              <w:t>10-centre apparent evaluation; mixed miN</w:t>
            </w:r>
          </w:p>
        </w:tc>
        <w:tc>
          <w:tcPr>
            <w:tcW w:type="dxa" w:w="2160"/>
            <w:vAlign w:val="center"/>
            <w:tcMar>
              <w:top w:w="55" w:type="dxa"/>
              <w:start w:w="70" w:type="dxa"/>
              <w:bottom w:w="55" w:type="dxa"/>
              <w:end w:w="70" w:type="dxa"/>
            </w:tcMar>
          </w:tcPr>
          <w:p>
            <w:pPr>
              <w:spacing w:after="0" w:before="0" w:line="240" w:lineRule="auto"/>
            </w:pPr>
            <w:r>
              <w:rPr>
                <w:rFonts w:ascii="Arial" w:hAnsi="Arial"/>
                <w:sz w:val="13"/>
              </w:rPr>
              <w:t>AUC 0.828/0.830 after adding PSMA status</w:t>
            </w:r>
          </w:p>
        </w:tc>
        <w:tc>
          <w:tcPr>
            <w:tcW w:type="dxa" w:w="3240"/>
            <w:vAlign w:val="center"/>
            <w:tcMar>
              <w:top w:w="55" w:type="dxa"/>
              <w:start w:w="70" w:type="dxa"/>
              <w:bottom w:w="55" w:type="dxa"/>
              <w:end w:w="70" w:type="dxa"/>
            </w:tcMar>
          </w:tcPr>
          <w:p>
            <w:pPr>
              <w:spacing w:after="0" w:before="0" w:line="240" w:lineRule="auto"/>
            </w:pPr>
            <w:r>
              <w:rPr>
                <w:rFonts w:ascii="Arial" w:hAnsi="Arial"/>
                <w:sz w:val="13"/>
              </w:rPr>
              <w:t>DCA yes; threshold counts NR</w:t>
            </w:r>
          </w:p>
        </w:tc>
        <w:tc>
          <w:tcPr>
            <w:tcW w:type="dxa" w:w="3024"/>
            <w:vAlign w:val="center"/>
            <w:tcMar>
              <w:top w:w="55" w:type="dxa"/>
              <w:start w:w="70" w:type="dxa"/>
              <w:bottom w:w="55" w:type="dxa"/>
              <w:end w:w="70" w:type="dxa"/>
            </w:tcMar>
          </w:tcPr>
          <w:p>
            <w:pPr>
              <w:spacing w:after="0" w:before="0" w:line="240" w:lineRule="auto"/>
            </w:pPr>
            <w:r>
              <w:rPr>
                <w:rFonts w:ascii="Arial" w:hAnsi="Arial"/>
                <w:sz w:val="13"/>
              </w:rPr>
              <w:t>Improved fit; discrimination increase not statistically significant</w:t>
            </w:r>
          </w:p>
        </w:tc>
      </w:tr>
      <w:tr>
        <w:trPr>
          <w:cantSplit/>
        </w:trPr>
        <w:tc>
          <w:tcPr>
            <w:tcW w:type="dxa" w:w="1944"/>
            <w:vAlign w:val="top"/>
          </w:tcPr>
          <w:p>
            <w:pPr>
              <w:spacing w:after="0"/>
            </w:pPr>
            <w:r>
              <w:rPr>
                <w:sz w:val="14"/>
              </w:rPr>
              <w:t>MAO L.-H. 2026 [104]</w:t>
            </w:r>
          </w:p>
        </w:tc>
        <w:tc>
          <w:tcPr>
            <w:tcW w:type="dxa" w:w="2664"/>
            <w:vAlign w:val="top"/>
          </w:tcPr>
          <w:p>
            <w:pPr>
              <w:spacing w:after="0"/>
            </w:pPr>
            <w:r>
              <w:rPr>
                <w:sz w:val="14"/>
              </w:rPr>
              <w:t>n=NR; Apparent or internal; details NR in abstract</w:t>
            </w:r>
          </w:p>
        </w:tc>
        <w:tc>
          <w:tcPr>
            <w:tcW w:type="dxa" w:w="2160"/>
            <w:vAlign w:val="top"/>
          </w:tcPr>
          <w:p>
            <w:pPr>
              <w:spacing w:after="0"/>
            </w:pPr>
            <w:r>
              <w:rPr>
                <w:sz w:val="14"/>
              </w:rPr>
              <w:t>ROC curve was drawn, and the result showed that tumor diameter, tumor margin, Ktrans value and Kep value had certain predictive value for the occurrence of lymph node metastasis in prostate cancer patients, ar…</w:t>
            </w:r>
          </w:p>
        </w:tc>
        <w:tc>
          <w:tcPr>
            <w:tcW w:type="dxa" w:w="3240"/>
            <w:vAlign w:val="top"/>
          </w:tcPr>
          <w:p>
            <w:pPr>
              <w:spacing w:after="0"/>
            </w:pPr>
            <w:r>
              <w:rPr>
                <w:sz w:val="14"/>
              </w:rPr>
              <w:t>NR</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Xie Y. 2026 [105]</w:t>
            </w:r>
          </w:p>
        </w:tc>
        <w:tc>
          <w:tcPr>
            <w:tcW w:type="dxa" w:w="2664"/>
            <w:vAlign w:val="top"/>
          </w:tcPr>
          <w:p>
            <w:pPr>
              <w:spacing w:after="0"/>
            </w:pPr>
            <w:r>
              <w:rPr>
                <w:sz w:val="14"/>
              </w:rPr>
              <w:t>n=112; Apparent or internal; details NR in abstract</w:t>
            </w:r>
          </w:p>
        </w:tc>
        <w:tc>
          <w:tcPr>
            <w:tcW w:type="dxa" w:w="2160"/>
            <w:vAlign w:val="top"/>
          </w:tcPr>
          <w:p>
            <w:pPr>
              <w:spacing w:after="0"/>
            </w:pPr>
            <w:r>
              <w:rPr>
                <w:sz w:val="14"/>
              </w:rPr>
              <w:t>Multivariate logistic regression identified PSMA PET/CT as a significant predictor of LNM (p&lt;0.001), improving the area under the curve from 0.830 to 0.895 for the MSKCC nomogram (p=0.023) and from 0.808 to 0.…</w:t>
            </w:r>
          </w:p>
        </w:tc>
        <w:tc>
          <w:tcPr>
            <w:tcW w:type="dxa" w:w="3240"/>
            <w:vAlign w:val="top"/>
          </w:tcPr>
          <w:p>
            <w:pPr>
              <w:spacing w:after="0"/>
            </w:pPr>
            <w:r>
              <w:rPr>
                <w:sz w:val="14"/>
              </w:rPr>
              <w:t>Objective: To evaluate intermediate- to high-risk prostate cancer patients with a predicted lymph node metastasis (LNM) probability over 5%, for whom pelvic lymph node dissection (PLND) is recommended, we asse…</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Yu Z. 2026 [106]</w:t>
            </w:r>
          </w:p>
        </w:tc>
        <w:tc>
          <w:tcPr>
            <w:tcW w:type="dxa" w:w="2664"/>
            <w:vAlign w:val="top"/>
          </w:tcPr>
          <w:p>
            <w:pPr>
              <w:spacing w:after="0"/>
            </w:pPr>
            <w:r>
              <w:rPr>
                <w:sz w:val="14"/>
              </w:rPr>
              <w:t>n=538; Apparent or internal; details NR in abstract</w:t>
            </w:r>
          </w:p>
        </w:tc>
        <w:tc>
          <w:tcPr>
            <w:tcW w:type="dxa" w:w="2160"/>
            <w:vAlign w:val="top"/>
          </w:tcPr>
          <w:p>
            <w:pPr>
              <w:spacing w:after="0"/>
            </w:pPr>
            <w:r>
              <w:rPr>
                <w:sz w:val="14"/>
              </w:rPr>
              <w:t>The area under the ROC curve of the nomogram for predicting pelvic lymph node metastasis in prostate cancer patients was 0.88 (95% confidence interval [95%CI] 0.84-0.92).</w:t>
            </w:r>
          </w:p>
        </w:tc>
        <w:tc>
          <w:tcPr>
            <w:tcW w:type="dxa" w:w="3240"/>
            <w:vAlign w:val="top"/>
          </w:tcPr>
          <w:p>
            <w:pPr>
              <w:spacing w:after="0"/>
            </w:pPr>
            <w:r>
              <w:rPr>
                <w:sz w:val="14"/>
              </w:rPr>
              <w:t>The performance of the nomogram model was evaluated using receiver operating characteristic (ROC) curve, calibration curve, and decision curve analysis.</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Yoon H.S. 2026 [107]</w:t>
            </w:r>
          </w:p>
        </w:tc>
        <w:tc>
          <w:tcPr>
            <w:tcW w:type="dxa" w:w="2664"/>
            <w:vAlign w:val="top"/>
          </w:tcPr>
          <w:p>
            <w:pPr>
              <w:spacing w:after="0"/>
            </w:pPr>
            <w:r>
              <w:rPr>
                <w:sz w:val="14"/>
              </w:rPr>
              <w:t>n=13; Apparent or internal; details NR in abstract</w:t>
            </w:r>
          </w:p>
        </w:tc>
        <w:tc>
          <w:tcPr>
            <w:tcW w:type="dxa" w:w="2160"/>
            <w:vAlign w:val="top"/>
          </w:tcPr>
          <w:p>
            <w:pPr>
              <w:spacing w:after="0"/>
            </w:pPr>
            <w:r>
              <w:rPr>
                <w:sz w:val="14"/>
              </w:rPr>
              <w:t>The model integrating MRI T stage, ISUP grade, PSAD, and MRI LN status achieved an area under the receiver operating characteristic curve (AUC) of 0.903 and an optimism-corrected AUC of 0.891.</w:t>
            </w:r>
          </w:p>
        </w:tc>
        <w:tc>
          <w:tcPr>
            <w:tcW w:type="dxa" w:w="3240"/>
            <w:vAlign w:val="top"/>
          </w:tcPr>
          <w:p>
            <w:pPr>
              <w:spacing w:after="0"/>
            </w:pPr>
            <w:r>
              <w:rPr>
                <w:sz w:val="14"/>
              </w:rPr>
              <w:t>Model performance was evaluated using receiver operating characteristic (ROC) analysis, calibration, bootstrap validation, and decision curve analysis.</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Shiota M. 2026 [108]</w:t>
            </w:r>
          </w:p>
        </w:tc>
        <w:tc>
          <w:tcPr>
            <w:tcW w:type="dxa" w:w="2664"/>
            <w:vAlign w:val="top"/>
          </w:tcPr>
          <w:p>
            <w:pPr>
              <w:spacing w:after="0"/>
            </w:pPr>
            <w:r>
              <w:rPr>
                <w:sz w:val="14"/>
              </w:rPr>
              <w:t>n=NR; Apparent or internal; details NR in abstract</w:t>
            </w:r>
          </w:p>
        </w:tc>
        <w:tc>
          <w:tcPr>
            <w:tcW w:type="dxa" w:w="2160"/>
            <w:vAlign w:val="top"/>
          </w:tcPr>
          <w:p>
            <w:pPr>
              <w:spacing w:after="0"/>
            </w:pPr>
            <w:r>
              <w:rPr>
                <w:sz w:val="14"/>
              </w:rPr>
              <w:t>NR</w:t>
            </w:r>
          </w:p>
        </w:tc>
        <w:tc>
          <w:tcPr>
            <w:tcW w:type="dxa" w:w="3240"/>
            <w:vAlign w:val="top"/>
          </w:tcPr>
          <w:p>
            <w:pPr>
              <w:spacing w:after="0"/>
            </w:pPr>
            <w:r>
              <w:rPr>
                <w:sz w:val="14"/>
              </w:rPr>
              <w:t>NR</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Wang Z. 2025 [109]</w:t>
            </w:r>
          </w:p>
        </w:tc>
        <w:tc>
          <w:tcPr>
            <w:tcW w:type="dxa" w:w="2664"/>
            <w:vAlign w:val="top"/>
          </w:tcPr>
          <w:p>
            <w:pPr>
              <w:spacing w:after="0"/>
            </w:pPr>
            <w:r>
              <w:rPr>
                <w:sz w:val="14"/>
              </w:rPr>
              <w:t>n=NR; Internal/separate test cohort</w:t>
            </w:r>
          </w:p>
        </w:tc>
        <w:tc>
          <w:tcPr>
            <w:tcW w:type="dxa" w:w="2160"/>
            <w:vAlign w:val="top"/>
          </w:tcPr>
          <w:p>
            <w:pPr>
              <w:spacing w:after="0"/>
            </w:pPr>
            <w:r>
              <w:rPr>
                <w:sz w:val="14"/>
              </w:rPr>
              <w:t>Compared with the individual predictors: percentage of positive biopsy cores [area under curve (AUC) = 0.806], PI-RADS score (AUC =0.679), and MRI-LNI (AUC =0.768), the multivariate model incorporating all thr…</w:t>
            </w:r>
          </w:p>
        </w:tc>
        <w:tc>
          <w:tcPr>
            <w:tcW w:type="dxa" w:w="3240"/>
            <w:vAlign w:val="top"/>
          </w:tcPr>
          <w:p>
            <w:pPr>
              <w:spacing w:after="0"/>
            </w:pPr>
            <w:r>
              <w:rPr>
                <w:sz w:val="14"/>
              </w:rPr>
              <w:t>Objective: To analyze the clinical features associated with pelvic lymph node metastasis (PLNM) in prostate cancer and to construct a preoperative prediction model for PLNM, thereby reducing unnecessary extend…</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Ramberg H. 2025 [110]</w:t>
            </w:r>
          </w:p>
        </w:tc>
        <w:tc>
          <w:tcPr>
            <w:tcW w:type="dxa" w:w="2664"/>
            <w:vAlign w:val="top"/>
          </w:tcPr>
          <w:p>
            <w:pPr>
              <w:spacing w:after="0"/>
            </w:pPr>
            <w:r>
              <w:rPr>
                <w:sz w:val="14"/>
              </w:rPr>
              <w:t>n=903; Internal/separate test cohort</w:t>
            </w:r>
          </w:p>
        </w:tc>
        <w:tc>
          <w:tcPr>
            <w:tcW w:type="dxa" w:w="2160"/>
            <w:vAlign w:val="top"/>
          </w:tcPr>
          <w:p>
            <w:pPr>
              <w:spacing w:after="0"/>
            </w:pPr>
            <w:r>
              <w:rPr>
                <w:sz w:val="14"/>
              </w:rPr>
              <w:t>We assessed its performance against the Memorial Sloan Kettering Cancer Centre (MSKCC) and Briganti 2019 nomograms using metrics like AUC, R², decision curve analysis, and calibration plots.</w:t>
            </w:r>
          </w:p>
        </w:tc>
        <w:tc>
          <w:tcPr>
            <w:tcW w:type="dxa" w:w="3240"/>
            <w:vAlign w:val="top"/>
          </w:tcPr>
          <w:p>
            <w:pPr>
              <w:spacing w:after="0"/>
            </w:pPr>
            <w:r>
              <w:rPr>
                <w:sz w:val="14"/>
              </w:rPr>
              <w:t>We assessed its performance against the Memorial Sloan Kettering Cancer Centre (MSKCC) and Briganti 2019 nomograms using metrics like AUC, R², decision curve analysis, and calibration plots.</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Ortner G. 2025 [111]</w:t>
            </w:r>
          </w:p>
        </w:tc>
        <w:tc>
          <w:tcPr>
            <w:tcW w:type="dxa" w:w="2664"/>
            <w:vAlign w:val="top"/>
          </w:tcPr>
          <w:p>
            <w:pPr>
              <w:spacing w:after="0"/>
            </w:pPr>
            <w:r>
              <w:rPr>
                <w:sz w:val="14"/>
              </w:rPr>
              <w:t>n=NR; External validation reported</w:t>
            </w:r>
          </w:p>
        </w:tc>
        <w:tc>
          <w:tcPr>
            <w:tcW w:type="dxa" w:w="2160"/>
            <w:vAlign w:val="top"/>
          </w:tcPr>
          <w:p>
            <w:pPr>
              <w:spacing w:after="0"/>
            </w:pPr>
            <w:r>
              <w:rPr>
                <w:sz w:val="14"/>
              </w:rPr>
              <w:t>The performance of the unilat-NG and the Briganti 2019 nomogram to detect contralateral LNI was assessed using descriptive analysis, the receiver operating characteristic curve–derived area under the curve (AU…</w:t>
            </w:r>
          </w:p>
        </w:tc>
        <w:tc>
          <w:tcPr>
            <w:tcW w:type="dxa" w:w="3240"/>
            <w:vAlign w:val="top"/>
          </w:tcPr>
          <w:p>
            <w:pPr>
              <w:spacing w:after="0"/>
            </w:pPr>
            <w:r>
              <w:rPr>
                <w:sz w:val="14"/>
              </w:rPr>
              <w:t>The AUC for the unilat-NG with a 1%, 2% and 2.5% cut-off was 0.58 (95% confidence interval [CI] 0.53–0.63), 0.67 (95% CI 0.59–0.75), and 0.69 (95% CI 0.60–0.</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Dong L. 2025 [112]</w:t>
            </w:r>
          </w:p>
        </w:tc>
        <w:tc>
          <w:tcPr>
            <w:tcW w:type="dxa" w:w="2664"/>
            <w:vAlign w:val="top"/>
          </w:tcPr>
          <w:p>
            <w:pPr>
              <w:spacing w:after="0"/>
            </w:pPr>
            <w:r>
              <w:rPr>
                <w:sz w:val="14"/>
              </w:rPr>
              <w:t>n=NR; Apparent or internal; details NR in abstract</w:t>
            </w:r>
          </w:p>
        </w:tc>
        <w:tc>
          <w:tcPr>
            <w:tcW w:type="dxa" w:w="2160"/>
            <w:vAlign w:val="top"/>
          </w:tcPr>
          <w:p>
            <w:pPr>
              <w:spacing w:after="0"/>
            </w:pPr>
            <w:r>
              <w:rPr>
                <w:sz w:val="14"/>
              </w:rPr>
              <w:t>The C-index of the prediction model was 0.834, which indicated that the model had a good prediction ability.</w:t>
            </w:r>
          </w:p>
        </w:tc>
        <w:tc>
          <w:tcPr>
            <w:tcW w:type="dxa" w:w="3240"/>
            <w:vAlign w:val="top"/>
          </w:tcPr>
          <w:p>
            <w:pPr>
              <w:spacing w:after="0"/>
            </w:pPr>
            <w:r>
              <w:rPr>
                <w:sz w:val="14"/>
              </w:rPr>
              <w:t>Calibration curves were drawn to evaluate the accuracy of the model.</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Gorgel S.N. 2025 [113]</w:t>
            </w:r>
          </w:p>
        </w:tc>
        <w:tc>
          <w:tcPr>
            <w:tcW w:type="dxa" w:w="2664"/>
            <w:vAlign w:val="top"/>
          </w:tcPr>
          <w:p>
            <w:pPr>
              <w:spacing w:after="0"/>
            </w:pPr>
            <w:r>
              <w:rPr>
                <w:sz w:val="14"/>
              </w:rPr>
              <w:t>n=NR; Apparent or internal; details NR in abstract</w:t>
            </w:r>
          </w:p>
        </w:tc>
        <w:tc>
          <w:tcPr>
            <w:tcW w:type="dxa" w:w="2160"/>
            <w:vAlign w:val="top"/>
          </w:tcPr>
          <w:p>
            <w:pPr>
              <w:spacing w:after="0"/>
            </w:pPr>
            <w:r>
              <w:rPr>
                <w:sz w:val="14"/>
              </w:rPr>
              <w:t>ROC analysis demonstrated strong diagnostic performance (area under the curve = 0.928), with 83.0% sensitivity and 91.5% specificity at a cutoff ≥4.</w:t>
            </w:r>
          </w:p>
        </w:tc>
        <w:tc>
          <w:tcPr>
            <w:tcW w:type="dxa" w:w="3240"/>
            <w:vAlign w:val="top"/>
          </w:tcPr>
          <w:p>
            <w:pPr>
              <w:spacing w:after="0"/>
            </w:pPr>
            <w:r>
              <w:rPr>
                <w:sz w:val="14"/>
              </w:rPr>
              <w:t>ROC analysis demonstrated strong diagnostic performance (area under the curve = 0.928), with 83.0% sensitivity and 91.5% specificity at a cutoff ≥4.</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Lau R. 2025 [114]</w:t>
            </w:r>
          </w:p>
        </w:tc>
        <w:tc>
          <w:tcPr>
            <w:tcW w:type="dxa" w:w="2664"/>
            <w:vAlign w:val="top"/>
          </w:tcPr>
          <w:p>
            <w:pPr>
              <w:spacing w:after="0"/>
            </w:pPr>
            <w:r>
              <w:rPr>
                <w:sz w:val="14"/>
              </w:rPr>
              <w:t>n=NR; External validation reported</w:t>
            </w:r>
          </w:p>
        </w:tc>
        <w:tc>
          <w:tcPr>
            <w:tcW w:type="dxa" w:w="2160"/>
            <w:vAlign w:val="top"/>
          </w:tcPr>
          <w:p>
            <w:pPr>
              <w:spacing w:after="0"/>
            </w:pPr>
            <w:r>
              <w:rPr>
                <w:sz w:val="14"/>
              </w:rPr>
              <w:t>In our Asian cohort, the 2019 Briganti nomogram only had a moderate discriminatory ability with an area under the receiver operating characteristic curve (AUC) of 0.77.</w:t>
            </w:r>
          </w:p>
        </w:tc>
        <w:tc>
          <w:tcPr>
            <w:tcW w:type="dxa" w:w="3240"/>
            <w:vAlign w:val="top"/>
          </w:tcPr>
          <w:p>
            <w:pPr>
              <w:spacing w:after="0"/>
            </w:pPr>
            <w:r>
              <w:rPr>
                <w:sz w:val="14"/>
              </w:rPr>
              <w:t>Introduction: The Briganti 2019 nomogram stratifies risk of lymph node involvement (LNI) in prostate cancer, reducing unnecessary pelvic lymph node dissection (PLND) during radical prostatectomy (RP).</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Wang J.-G. 2025 [115]</w:t>
            </w:r>
          </w:p>
        </w:tc>
        <w:tc>
          <w:tcPr>
            <w:tcW w:type="dxa" w:w="2664"/>
            <w:vAlign w:val="top"/>
          </w:tcPr>
          <w:p>
            <w:pPr>
              <w:spacing w:after="0"/>
            </w:pPr>
            <w:r>
              <w:rPr>
                <w:sz w:val="14"/>
              </w:rPr>
              <w:t>n=NR; Apparent or internal; details NR in abstract</w:t>
            </w:r>
          </w:p>
        </w:tc>
        <w:tc>
          <w:tcPr>
            <w:tcW w:type="dxa" w:w="2160"/>
            <w:vAlign w:val="top"/>
          </w:tcPr>
          <w:p>
            <w:pPr>
              <w:spacing w:after="0"/>
            </w:pPr>
            <w:r>
              <w:rPr>
                <w:sz w:val="14"/>
              </w:rPr>
              <w:t>The area under the curve (AUC) was calculated and the diagnostic performance of the model was assessed by analyzing the receiver operating characteristic (ROC) curve.</w:t>
            </w:r>
          </w:p>
        </w:tc>
        <w:tc>
          <w:tcPr>
            <w:tcW w:type="dxa" w:w="3240"/>
            <w:vAlign w:val="top"/>
          </w:tcPr>
          <w:p>
            <w:pPr>
              <w:spacing w:after="0"/>
            </w:pPr>
            <w:r>
              <w:rPr>
                <w:sz w:val="14"/>
              </w:rPr>
              <w:t>The clinical net benefit of EPE grade, biopsy positive rate, and the combined model were examined using clinical decision curves.</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Gofrit O.N. 2025 [116]</w:t>
            </w:r>
          </w:p>
        </w:tc>
        <w:tc>
          <w:tcPr>
            <w:tcW w:type="dxa" w:w="2664"/>
            <w:vAlign w:val="top"/>
          </w:tcPr>
          <w:p>
            <w:pPr>
              <w:spacing w:after="0"/>
            </w:pPr>
            <w:r>
              <w:rPr>
                <w:sz w:val="14"/>
              </w:rPr>
              <w:t>n=70; Apparent or internal; details NR in abstract</w:t>
            </w:r>
          </w:p>
        </w:tc>
        <w:tc>
          <w:tcPr>
            <w:tcW w:type="dxa" w:w="2160"/>
            <w:vAlign w:val="top"/>
          </w:tcPr>
          <w:p>
            <w:pPr>
              <w:spacing w:after="0"/>
            </w:pPr>
            <w:r>
              <w:rPr>
                <w:sz w:val="14"/>
              </w:rPr>
              <w:t>Considering these 2 patients as failures, the negative predictive value of PSMA-PET/CT for LN involvement was 97.1%.</w:t>
            </w:r>
          </w:p>
        </w:tc>
        <w:tc>
          <w:tcPr>
            <w:tcW w:type="dxa" w:w="3240"/>
            <w:vAlign w:val="top"/>
          </w:tcPr>
          <w:p>
            <w:pPr>
              <w:spacing w:after="0"/>
            </w:pPr>
            <w:r>
              <w:rPr>
                <w:sz w:val="14"/>
              </w:rPr>
              <w:t>NR</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Madendere S. 2024 [117]</w:t>
            </w:r>
          </w:p>
        </w:tc>
        <w:tc>
          <w:tcPr>
            <w:tcW w:type="dxa" w:w="2664"/>
            <w:vAlign w:val="top"/>
          </w:tcPr>
          <w:p>
            <w:pPr>
              <w:spacing w:after="0"/>
            </w:pPr>
            <w:r>
              <w:rPr>
                <w:sz w:val="14"/>
              </w:rPr>
              <w:t>n=NR; Apparent or internal; details NR in abstract</w:t>
            </w:r>
          </w:p>
        </w:tc>
        <w:tc>
          <w:tcPr>
            <w:tcW w:type="dxa" w:w="2160"/>
            <w:vAlign w:val="top"/>
          </w:tcPr>
          <w:p>
            <w:pPr>
              <w:spacing w:after="0"/>
            </w:pPr>
            <w:r>
              <w:rPr>
                <w:sz w:val="14"/>
              </w:rPr>
              <w:t>With the modifications of these parameters for the in-bore biopsy group, V1 modification of the Briganti 2019 nomogram provided 100% sensitivity and 31.5% specificity (AUC:0.627), while V2 modification provide…</w:t>
            </w:r>
          </w:p>
        </w:tc>
        <w:tc>
          <w:tcPr>
            <w:tcW w:type="dxa" w:w="3240"/>
            <w:vAlign w:val="top"/>
          </w:tcPr>
          <w:p>
            <w:pPr>
              <w:spacing w:after="0"/>
            </w:pPr>
            <w:r>
              <w:rPr>
                <w:sz w:val="14"/>
              </w:rPr>
              <w:t>NR</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Madendere S. 2024 [118]</w:t>
            </w:r>
          </w:p>
        </w:tc>
        <w:tc>
          <w:tcPr>
            <w:tcW w:type="dxa" w:w="2664"/>
            <w:vAlign w:val="top"/>
          </w:tcPr>
          <w:p>
            <w:pPr>
              <w:spacing w:after="0"/>
            </w:pPr>
            <w:r>
              <w:rPr>
                <w:sz w:val="14"/>
              </w:rPr>
              <w:t>n=NR; Apparent or internal; details NR in abstract</w:t>
            </w:r>
          </w:p>
        </w:tc>
        <w:tc>
          <w:tcPr>
            <w:tcW w:type="dxa" w:w="2160"/>
            <w:vAlign w:val="top"/>
          </w:tcPr>
          <w:p>
            <w:pPr>
              <w:spacing w:after="0"/>
            </w:pPr>
            <w:r>
              <w:rPr>
                <w:sz w:val="14"/>
              </w:rPr>
              <w:t>The area under the curve for Briganti 2017, MSKCC, Partin nomograms and PSMA PET-CT scans were 0.852, 0.871, 0.862, and 0.588.</w:t>
            </w:r>
          </w:p>
        </w:tc>
        <w:tc>
          <w:tcPr>
            <w:tcW w:type="dxa" w:w="3240"/>
            <w:vAlign w:val="top"/>
          </w:tcPr>
          <w:p>
            <w:pPr>
              <w:spacing w:after="0"/>
            </w:pPr>
            <w:r>
              <w:rPr>
                <w:sz w:val="14"/>
              </w:rPr>
              <w:t>Using receiver operating characteristics analysis, discriminatory cut-offs were calculated.</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Tayara O.M. 2023 [119]</w:t>
            </w:r>
          </w:p>
        </w:tc>
        <w:tc>
          <w:tcPr>
            <w:tcW w:type="dxa" w:w="2664"/>
            <w:vAlign w:val="top"/>
          </w:tcPr>
          <w:p>
            <w:pPr>
              <w:spacing w:after="0"/>
            </w:pPr>
            <w:r>
              <w:rPr>
                <w:sz w:val="14"/>
              </w:rPr>
              <w:t>n=NR; Apparent or internal; details NR in abstract</w:t>
            </w:r>
          </w:p>
        </w:tc>
        <w:tc>
          <w:tcPr>
            <w:tcW w:type="dxa" w:w="2160"/>
            <w:vAlign w:val="top"/>
          </w:tcPr>
          <w:p>
            <w:pPr>
              <w:spacing w:after="0"/>
            </w:pPr>
            <w:r>
              <w:rPr>
                <w:sz w:val="14"/>
              </w:rPr>
              <w:t>PSMA PET-CT performed better than mpMRI at detecting LNI (area under the curve (AUC, 95% confidence interval): 0.779 (0.665–0.893) vs.</w:t>
            </w:r>
          </w:p>
        </w:tc>
        <w:tc>
          <w:tcPr>
            <w:tcW w:type="dxa" w:w="3240"/>
            <w:vAlign w:val="top"/>
          </w:tcPr>
          <w:p>
            <w:pPr>
              <w:spacing w:after="0"/>
            </w:pPr>
            <w:r>
              <w:rPr>
                <w:sz w:val="14"/>
              </w:rPr>
              <w:t>However, when the nomogram was used to derive binary diagnoses, decision curve analyses showed that the MSKCC nomogram provided less net benefit than mpMRI and PSMA PET-CT for detecting SVI and LNI, respective…</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Fiori C. 2023 [120]</w:t>
            </w:r>
          </w:p>
        </w:tc>
        <w:tc>
          <w:tcPr>
            <w:tcW w:type="dxa" w:w="2664"/>
            <w:vAlign w:val="top"/>
          </w:tcPr>
          <w:p>
            <w:pPr>
              <w:spacing w:after="0"/>
            </w:pPr>
            <w:r>
              <w:rPr>
                <w:sz w:val="14"/>
              </w:rPr>
              <w:t>n=NR; Apparent or internal; details NR in abstract</w:t>
            </w:r>
          </w:p>
        </w:tc>
        <w:tc>
          <w:tcPr>
            <w:tcW w:type="dxa" w:w="2160"/>
            <w:vAlign w:val="top"/>
          </w:tcPr>
          <w:p>
            <w:pPr>
              <w:spacing w:after="0"/>
            </w:pPr>
            <w:r>
              <w:rPr>
                <w:sz w:val="14"/>
              </w:rPr>
              <w:t>Model discrimination was assessed using an area under (AUC) the ROC curve.</w:t>
            </w:r>
          </w:p>
        </w:tc>
        <w:tc>
          <w:tcPr>
            <w:tcW w:type="dxa" w:w="3240"/>
            <w:vAlign w:val="top"/>
          </w:tcPr>
          <w:p>
            <w:pPr>
              <w:spacing w:after="0"/>
            </w:pPr>
            <w:r>
              <w:rPr>
                <w:sz w:val="14"/>
              </w:rPr>
              <w:t>A nomogram, and its calibration plot, to predict the risk of LNI were generated based on the logistic model.</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Golovko S.V. 2023 [121]</w:t>
            </w:r>
          </w:p>
        </w:tc>
        <w:tc>
          <w:tcPr>
            <w:tcW w:type="dxa" w:w="2664"/>
            <w:vAlign w:val="top"/>
          </w:tcPr>
          <w:p>
            <w:pPr>
              <w:spacing w:after="0"/>
            </w:pPr>
            <w:r>
              <w:rPr>
                <w:sz w:val="14"/>
              </w:rPr>
              <w:t>n=NR; Apparent or internal; details NR in abstract</w:t>
            </w:r>
          </w:p>
        </w:tc>
        <w:tc>
          <w:tcPr>
            <w:tcW w:type="dxa" w:w="2160"/>
            <w:vAlign w:val="top"/>
          </w:tcPr>
          <w:p>
            <w:pPr>
              <w:spacing w:after="0"/>
            </w:pPr>
            <w:r>
              <w:rPr>
                <w:sz w:val="14"/>
              </w:rPr>
              <w:t>The objective: to evaluate the prognostic significance of the use of multiparametric MRI (mpMRI) with the analysis of such indicators as sensitivity and specificity in patients with prostate cancer (PC) of int…</w:t>
            </w:r>
          </w:p>
        </w:tc>
        <w:tc>
          <w:tcPr>
            <w:tcW w:type="dxa" w:w="3240"/>
            <w:vAlign w:val="top"/>
          </w:tcPr>
          <w:p>
            <w:pPr>
              <w:spacing w:after="0"/>
            </w:pPr>
            <w:r>
              <w:rPr>
                <w:sz w:val="14"/>
              </w:rPr>
              <w:t>NR</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Hötker A.M. 2023 [122]</w:t>
            </w:r>
          </w:p>
        </w:tc>
        <w:tc>
          <w:tcPr>
            <w:tcW w:type="dxa" w:w="2664"/>
            <w:vAlign w:val="top"/>
          </w:tcPr>
          <w:p>
            <w:pPr>
              <w:spacing w:after="0"/>
            </w:pPr>
            <w:r>
              <w:rPr>
                <w:sz w:val="14"/>
              </w:rPr>
              <w:t>n=NR; Apparent or internal; details NR in abstract</w:t>
            </w:r>
          </w:p>
        </w:tc>
        <w:tc>
          <w:tcPr>
            <w:tcW w:type="dxa" w:w="2160"/>
            <w:vAlign w:val="top"/>
          </w:tcPr>
          <w:p>
            <w:pPr>
              <w:spacing w:after="0"/>
            </w:pPr>
            <w:r>
              <w:rPr>
                <w:sz w:val="14"/>
              </w:rPr>
              <w:t>A board-certified radiologist assessed the index lesion on diffusion-weighted (Apparent Diffusion Coefficient, ADC; mean/volume), T2-weighted (capsular contact length, lesion volume/maximal diameters) and cont…</w:t>
            </w:r>
          </w:p>
        </w:tc>
        <w:tc>
          <w:tcPr>
            <w:tcW w:type="dxa" w:w="3240"/>
            <w:vAlign w:val="top"/>
          </w:tcPr>
          <w:p>
            <w:pPr>
              <w:spacing w:after="0"/>
            </w:pPr>
            <w:r>
              <w:rPr>
                <w:sz w:val="14"/>
              </w:rPr>
              <w:t>NR</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Lucciola S. 2023 [123]</w:t>
            </w:r>
          </w:p>
        </w:tc>
        <w:tc>
          <w:tcPr>
            <w:tcW w:type="dxa" w:w="2664"/>
            <w:vAlign w:val="top"/>
          </w:tcPr>
          <w:p>
            <w:pPr>
              <w:spacing w:after="0"/>
            </w:pPr>
            <w:r>
              <w:rPr>
                <w:sz w:val="14"/>
              </w:rPr>
              <w:t>n=NR; Apparent or internal; details NR in abstract</w:t>
            </w:r>
          </w:p>
        </w:tc>
        <w:tc>
          <w:tcPr>
            <w:tcW w:type="dxa" w:w="2160"/>
            <w:vAlign w:val="top"/>
          </w:tcPr>
          <w:p>
            <w:pPr>
              <w:spacing w:after="0"/>
            </w:pPr>
            <w:r>
              <w:rPr>
                <w:sz w:val="14"/>
              </w:rPr>
              <w:t>A Node RADS score 4–5 showed a lower sensitivity (0.167 versus 0.972, 1.000, 0.971, 0.960 respectively), a higher specificity (1.000 versus 0.079, 0.096, 0.138, 0.186 respectively) and a similar AUC (0.583 ver…</w:t>
            </w:r>
          </w:p>
        </w:tc>
        <w:tc>
          <w:tcPr>
            <w:tcW w:type="dxa" w:w="3240"/>
            <w:vAlign w:val="top"/>
          </w:tcPr>
          <w:p>
            <w:pPr>
              <w:spacing w:after="0"/>
            </w:pPr>
            <w:r>
              <w:rPr>
                <w:sz w:val="14"/>
              </w:rPr>
              <w:t>NR</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Benidir T. 2023 [124]</w:t>
            </w:r>
          </w:p>
        </w:tc>
        <w:tc>
          <w:tcPr>
            <w:tcW w:type="dxa" w:w="2664"/>
            <w:vAlign w:val="top"/>
          </w:tcPr>
          <w:p>
            <w:pPr>
              <w:spacing w:after="0"/>
            </w:pPr>
            <w:r>
              <w:rPr>
                <w:sz w:val="14"/>
              </w:rPr>
              <w:t>n=NR; Apparent or internal; details NR in abstract</w:t>
            </w:r>
          </w:p>
        </w:tc>
        <w:tc>
          <w:tcPr>
            <w:tcW w:type="dxa" w:w="2160"/>
            <w:vAlign w:val="top"/>
          </w:tcPr>
          <w:p>
            <w:pPr>
              <w:spacing w:after="0"/>
            </w:pPr>
            <w:r>
              <w:rPr>
                <w:sz w:val="14"/>
              </w:rPr>
              <w:t>Logistic regression demonstrated an interaction between Decipher score with PI-RADS score ≥4 (OR = 20.41; 95% CI, 2.10–198.74; p = 0.009) The combination demonstrated an area under the curve (AUC) of 0.73 (95%…</w:t>
            </w:r>
          </w:p>
        </w:tc>
        <w:tc>
          <w:tcPr>
            <w:tcW w:type="dxa" w:w="3240"/>
            <w:vAlign w:val="top"/>
          </w:tcPr>
          <w:p>
            <w:pPr>
              <w:spacing w:after="0"/>
            </w:pPr>
            <w:r>
              <w:rPr>
                <w:sz w:val="14"/>
              </w:rPr>
              <w:t>NR</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Martini A. 2023 [125]</w:t>
            </w:r>
          </w:p>
        </w:tc>
        <w:tc>
          <w:tcPr>
            <w:tcW w:type="dxa" w:w="2664"/>
            <w:vAlign w:val="top"/>
          </w:tcPr>
          <w:p>
            <w:pPr>
              <w:spacing w:after="0"/>
            </w:pPr>
            <w:r>
              <w:rPr>
                <w:sz w:val="14"/>
              </w:rPr>
              <w:t>n=2,253; Apparent or internal; details NR in abstract</w:t>
            </w:r>
          </w:p>
        </w:tc>
        <w:tc>
          <w:tcPr>
            <w:tcW w:type="dxa" w:w="2160"/>
            <w:vAlign w:val="top"/>
          </w:tcPr>
          <w:p>
            <w:pPr>
              <w:spacing w:after="0"/>
            </w:pPr>
            <w:r>
              <w:rPr>
                <w:sz w:val="14"/>
              </w:rPr>
              <w:t>A model including prostate-specific antigen, maximum diameter of the index lesion, seminal vesicle invasion on magnetic resonance imaging, International Society of Urological Pathology grade in the nondominant…</w:t>
            </w:r>
          </w:p>
        </w:tc>
        <w:tc>
          <w:tcPr>
            <w:tcW w:type="dxa" w:w="3240"/>
            <w:vAlign w:val="top"/>
          </w:tcPr>
          <w:p>
            <w:pPr>
              <w:spacing w:after="0"/>
            </w:pPr>
            <w:r>
              <w:rPr>
                <w:sz w:val="14"/>
              </w:rPr>
              <w:t>With a cutoff of contralateral lymph node invasion of 1%, 602 (27%) contralateral pelvic lymph node dissections would be omitted with only 1 (1.2%) lymph node invasion missed.Conclusions:Pelvic lymph node diss…</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Frego N. 2022 [126]</w:t>
            </w:r>
          </w:p>
        </w:tc>
        <w:tc>
          <w:tcPr>
            <w:tcW w:type="dxa" w:w="2664"/>
            <w:vAlign w:val="top"/>
          </w:tcPr>
          <w:p>
            <w:pPr>
              <w:spacing w:after="0"/>
            </w:pPr>
            <w:r>
              <w:rPr>
                <w:sz w:val="14"/>
              </w:rPr>
              <w:t>n=NR; Apparent or internal; details NR in abstract</w:t>
            </w:r>
          </w:p>
        </w:tc>
        <w:tc>
          <w:tcPr>
            <w:tcW w:type="dxa" w:w="2160"/>
            <w:vAlign w:val="top"/>
          </w:tcPr>
          <w:p>
            <w:pPr>
              <w:spacing w:after="0"/>
            </w:pPr>
            <w:r>
              <w:rPr>
                <w:sz w:val="14"/>
              </w:rPr>
              <w:t>The performances of Briganti 2012 and 2019 models were evaluated using the area under the receiver-operating characteristics curve analysis, calibrations plot, and decision curve analysis.</w:t>
            </w:r>
          </w:p>
        </w:tc>
        <w:tc>
          <w:tcPr>
            <w:tcW w:type="dxa" w:w="3240"/>
            <w:vAlign w:val="top"/>
          </w:tcPr>
          <w:p>
            <w:pPr>
              <w:spacing w:after="0"/>
            </w:pPr>
            <w:r>
              <w:rPr>
                <w:sz w:val="14"/>
              </w:rPr>
              <w:t>The performances of Briganti 2012 and 2019 models were evaluated using the area under the receiver-operating characteristics curve analysis, calibrations plot, and decision curve analysis.</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Fujiwara M. 2022 [127]</w:t>
            </w:r>
          </w:p>
        </w:tc>
        <w:tc>
          <w:tcPr>
            <w:tcW w:type="dxa" w:w="2664"/>
            <w:vAlign w:val="top"/>
          </w:tcPr>
          <w:p>
            <w:pPr>
              <w:spacing w:after="0"/>
            </w:pPr>
            <w:r>
              <w:rPr>
                <w:sz w:val="14"/>
              </w:rPr>
              <w:t>n=500; Apparent or internal; details NR in abstract</w:t>
            </w:r>
          </w:p>
        </w:tc>
        <w:tc>
          <w:tcPr>
            <w:tcW w:type="dxa" w:w="2160"/>
            <w:vAlign w:val="top"/>
          </w:tcPr>
          <w:p>
            <w:pPr>
              <w:spacing w:after="0"/>
            </w:pPr>
            <w:r>
              <w:rPr>
                <w:sz w:val="14"/>
              </w:rPr>
              <w:t>The negative predictive value (NPV) of multiparametric magnetic resonance imaging or biopsy or both for ipsilateral LNM was examined.</w:t>
            </w:r>
          </w:p>
        </w:tc>
        <w:tc>
          <w:tcPr>
            <w:tcW w:type="dxa" w:w="3240"/>
            <w:vAlign w:val="top"/>
          </w:tcPr>
          <w:p>
            <w:pPr>
              <w:spacing w:after="0"/>
            </w:pPr>
            <w:r>
              <w:rPr>
                <w:sz w:val="14"/>
              </w:rPr>
              <w:t>NR</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Di Trapani E. 2021 [128]</w:t>
            </w:r>
          </w:p>
        </w:tc>
        <w:tc>
          <w:tcPr>
            <w:tcW w:type="dxa" w:w="2664"/>
            <w:vAlign w:val="top"/>
          </w:tcPr>
          <w:p>
            <w:pPr>
              <w:spacing w:after="0"/>
            </w:pPr>
            <w:r>
              <w:rPr>
                <w:sz w:val="14"/>
              </w:rPr>
              <w:t>n=NR; External validation reported</w:t>
            </w:r>
          </w:p>
        </w:tc>
        <w:tc>
          <w:tcPr>
            <w:tcW w:type="dxa" w:w="2160"/>
            <w:vAlign w:val="top"/>
          </w:tcPr>
          <w:p>
            <w:pPr>
              <w:spacing w:after="0"/>
            </w:pPr>
            <w:r>
              <w:rPr>
                <w:sz w:val="14"/>
              </w:rPr>
              <w:t>The predictive accuracy of the models was assessed with the receiver operating characteristic-derived area under the curve (AUC).</w:t>
            </w:r>
          </w:p>
        </w:tc>
        <w:tc>
          <w:tcPr>
            <w:tcW w:type="dxa" w:w="3240"/>
            <w:vAlign w:val="top"/>
          </w:tcPr>
          <w:p>
            <w:pPr>
              <w:spacing w:after="0"/>
            </w:pPr>
            <w:r>
              <w:rPr>
                <w:sz w:val="14"/>
              </w:rPr>
              <w:t>Calibration plots and decision curve analyses were used.</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Hu B. 2021 [129]</w:t>
            </w:r>
          </w:p>
        </w:tc>
        <w:tc>
          <w:tcPr>
            <w:tcW w:type="dxa" w:w="2664"/>
            <w:vAlign w:val="top"/>
          </w:tcPr>
          <w:p>
            <w:pPr>
              <w:spacing w:after="0"/>
            </w:pPr>
            <w:r>
              <w:rPr>
                <w:sz w:val="14"/>
              </w:rPr>
              <w:t>n=NR; Apparent or internal; details NR in abstract</w:t>
            </w:r>
          </w:p>
        </w:tc>
        <w:tc>
          <w:tcPr>
            <w:tcW w:type="dxa" w:w="2160"/>
            <w:vAlign w:val="top"/>
          </w:tcPr>
          <w:p>
            <w:pPr>
              <w:spacing w:after="0"/>
            </w:pPr>
            <w:r>
              <w:rPr>
                <w:sz w:val="14"/>
              </w:rPr>
              <w:t>When PCa MRE stiffness at 60 Hz (odds ratio [OR] = 20.223, P = 0.013) and maximum diameter (OR = 4.575, P = 0.046) were combined, the sensitivity and specificity were 100% and 91.9% to predict LNM.</w:t>
            </w:r>
          </w:p>
        </w:tc>
        <w:tc>
          <w:tcPr>
            <w:tcW w:type="dxa" w:w="3240"/>
            <w:vAlign w:val="top"/>
          </w:tcPr>
          <w:p>
            <w:pPr>
              <w:spacing w:after="0"/>
            </w:pPr>
            <w:r>
              <w:rPr>
                <w:sz w:val="14"/>
              </w:rPr>
              <w:t>NR</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Fukagawa E. 2021 [130]</w:t>
            </w:r>
          </w:p>
        </w:tc>
        <w:tc>
          <w:tcPr>
            <w:tcW w:type="dxa" w:w="2664"/>
            <w:vAlign w:val="top"/>
          </w:tcPr>
          <w:p>
            <w:pPr>
              <w:spacing w:after="0"/>
            </w:pPr>
            <w:r>
              <w:rPr>
                <w:sz w:val="14"/>
              </w:rPr>
              <w:t>n=NR; External validation reported</w:t>
            </w:r>
          </w:p>
        </w:tc>
        <w:tc>
          <w:tcPr>
            <w:tcW w:type="dxa" w:w="2160"/>
            <w:vAlign w:val="top"/>
          </w:tcPr>
          <w:p>
            <w:pPr>
              <w:spacing w:after="0"/>
            </w:pPr>
            <w:r>
              <w:rPr>
                <w:sz w:val="14"/>
              </w:rPr>
              <w:t>We used the area under curve of the receiver operating characteristic analysis to quantify the accuracy of the nomogram.</w:t>
            </w:r>
          </w:p>
        </w:tc>
        <w:tc>
          <w:tcPr>
            <w:tcW w:type="dxa" w:w="3240"/>
            <w:vAlign w:val="top"/>
          </w:tcPr>
          <w:p>
            <w:pPr>
              <w:spacing w:after="0"/>
            </w:pPr>
            <w:r>
              <w:rPr>
                <w:sz w:val="14"/>
              </w:rPr>
              <w:t>When the cutoff was set at 7%, 84 (30.2%) patients with extended pelvic lymph node dissection could be omitted, and only 1 (1.2%) patient with lymph node invasion would be missed.</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Soeterik T.F.W. 2021 [131]</w:t>
            </w:r>
          </w:p>
        </w:tc>
        <w:tc>
          <w:tcPr>
            <w:tcW w:type="dxa" w:w="2664"/>
            <w:vAlign w:val="top"/>
          </w:tcPr>
          <w:p>
            <w:pPr>
              <w:spacing w:after="0"/>
            </w:pPr>
            <w:r>
              <w:rPr>
                <w:sz w:val="14"/>
              </w:rPr>
              <w:t>n=1062; Apparent or internal; details NR in abstract</w:t>
            </w:r>
          </w:p>
        </w:tc>
        <w:tc>
          <w:tcPr>
            <w:tcW w:type="dxa" w:w="2160"/>
            <w:vAlign w:val="top"/>
          </w:tcPr>
          <w:p>
            <w:pPr>
              <w:spacing w:after="0"/>
            </w:pPr>
            <w:r>
              <w:rPr>
                <w:sz w:val="14"/>
              </w:rPr>
              <w:t>Discrimination (area under the curve [AUC]), calibration, and the net benefit of these four strategies were assessed and compared.</w:t>
            </w:r>
          </w:p>
        </w:tc>
        <w:tc>
          <w:tcPr>
            <w:tcW w:type="dxa" w:w="3240"/>
            <w:vAlign w:val="top"/>
          </w:tcPr>
          <w:p>
            <w:pPr>
              <w:spacing w:after="0"/>
            </w:pPr>
            <w:r>
              <w:rPr>
                <w:sz w:val="14"/>
              </w:rPr>
              <w:t>Discrimination (area under the curve [AUC]), calibration, and the net benefit of these four strategies were assessed and compared.</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Franklin A. 2021 [132]</w:t>
            </w:r>
          </w:p>
        </w:tc>
        <w:tc>
          <w:tcPr>
            <w:tcW w:type="dxa" w:w="2664"/>
            <w:vAlign w:val="top"/>
          </w:tcPr>
          <w:p>
            <w:pPr>
              <w:spacing w:after="0"/>
            </w:pPr>
            <w:r>
              <w:rPr>
                <w:sz w:val="14"/>
              </w:rPr>
              <w:t>n=233; Apparent or internal; details NR in abstract</w:t>
            </w:r>
          </w:p>
        </w:tc>
        <w:tc>
          <w:tcPr>
            <w:tcW w:type="dxa" w:w="2160"/>
            <w:vAlign w:val="top"/>
          </w:tcPr>
          <w:p>
            <w:pPr>
              <w:spacing w:after="0"/>
            </w:pPr>
            <w:r>
              <w:rPr>
                <w:sz w:val="14"/>
              </w:rPr>
              <w:t>The positive and negative predictive value for 68Ga-PSMA PET/CT was 66.7% and 84.3% respectively, compared to 59.1% and 78.7% for mpMRI.</w:t>
            </w:r>
          </w:p>
        </w:tc>
        <w:tc>
          <w:tcPr>
            <w:tcW w:type="dxa" w:w="3240"/>
            <w:vAlign w:val="top"/>
          </w:tcPr>
          <w:p>
            <w:pPr>
              <w:spacing w:after="0"/>
            </w:pPr>
            <w:r>
              <w:rPr>
                <w:sz w:val="14"/>
              </w:rPr>
              <w:t>NR</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Jiao J. 2021 [133]</w:t>
            </w:r>
          </w:p>
        </w:tc>
        <w:tc>
          <w:tcPr>
            <w:tcW w:type="dxa" w:w="2664"/>
            <w:vAlign w:val="top"/>
          </w:tcPr>
          <w:p>
            <w:pPr>
              <w:spacing w:after="0"/>
            </w:pPr>
            <w:r>
              <w:rPr>
                <w:sz w:val="14"/>
              </w:rPr>
              <w:t>n=NR; Apparent or internal; details NR in abstract</w:t>
            </w:r>
          </w:p>
        </w:tc>
        <w:tc>
          <w:tcPr>
            <w:tcW w:type="dxa" w:w="2160"/>
            <w:vAlign w:val="top"/>
          </w:tcPr>
          <w:p>
            <w:pPr>
              <w:spacing w:after="0"/>
            </w:pPr>
            <w:r>
              <w:rPr>
                <w:sz w:val="14"/>
              </w:rPr>
              <w:t>The AUCs (Area under curves) of the clinical nomograms (Briganti, MSKCC and Winter) in predicting non-regional LNMs were 0.816, 0.830 and 0.793, respectively.</w:t>
            </w:r>
          </w:p>
        </w:tc>
        <w:tc>
          <w:tcPr>
            <w:tcW w:type="dxa" w:w="3240"/>
            <w:vAlign w:val="top"/>
          </w:tcPr>
          <w:p>
            <w:pPr>
              <w:spacing w:after="0"/>
            </w:pPr>
            <w:r>
              <w:rPr>
                <w:sz w:val="14"/>
              </w:rPr>
              <w:t>However, these nomograms are in lacking of a threshold to predict the metastasis of extrareolar lymph nodes beyond pelvic region, which is not suitable for PLND.</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Meijer D. 2021 [134]</w:t>
            </w:r>
          </w:p>
        </w:tc>
        <w:tc>
          <w:tcPr>
            <w:tcW w:type="dxa" w:w="2664"/>
            <w:vAlign w:val="top"/>
          </w:tcPr>
          <w:p>
            <w:pPr>
              <w:spacing w:after="0"/>
            </w:pPr>
            <w:r>
              <w:rPr>
                <w:sz w:val="14"/>
              </w:rPr>
              <w:t>n=434; Apparent or internal; details NR in abstract</w:t>
            </w:r>
          </w:p>
        </w:tc>
        <w:tc>
          <w:tcPr>
            <w:tcW w:type="dxa" w:w="2160"/>
            <w:vAlign w:val="top"/>
          </w:tcPr>
          <w:p>
            <w:pPr>
              <w:spacing w:after="0"/>
            </w:pPr>
            <w:r>
              <w:rPr>
                <w:sz w:val="14"/>
              </w:rPr>
              <w:t>The primary outcome was whether a negative for metastases prostate specific membrane antigen positron emission tomography was able to correctly rule out pelvic lymp node metastases after extended pelvic lymph…</w:t>
            </w:r>
          </w:p>
        </w:tc>
        <w:tc>
          <w:tcPr>
            <w:tcW w:type="dxa" w:w="3240"/>
            <w:vAlign w:val="top"/>
          </w:tcPr>
          <w:p>
            <w:pPr>
              <w:spacing w:after="0"/>
            </w:pPr>
            <w:r>
              <w:rPr>
                <w:sz w:val="14"/>
              </w:rPr>
              <w:t>NR</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Ferraro D.A. 2020 [135]</w:t>
            </w:r>
          </w:p>
        </w:tc>
        <w:tc>
          <w:tcPr>
            <w:tcW w:type="dxa" w:w="2664"/>
            <w:vAlign w:val="top"/>
          </w:tcPr>
          <w:p>
            <w:pPr>
              <w:spacing w:after="0"/>
            </w:pPr>
            <w:r>
              <w:rPr>
                <w:sz w:val="14"/>
              </w:rPr>
              <w:t>n=NR; Apparent or internal; details NR in abstract</w:t>
            </w:r>
          </w:p>
        </w:tc>
        <w:tc>
          <w:tcPr>
            <w:tcW w:type="dxa" w:w="2160"/>
            <w:vAlign w:val="top"/>
          </w:tcPr>
          <w:p>
            <w:pPr>
              <w:spacing w:after="0"/>
            </w:pPr>
            <w:r>
              <w:rPr>
                <w:sz w:val="14"/>
              </w:rPr>
              <w:t>68Ga-PSMA-11 PET visual analysis correctly detected suspicious nodes in 7 patients, yielding a sensitivity of 58% and a specificity of 98%.</w:t>
            </w:r>
          </w:p>
        </w:tc>
        <w:tc>
          <w:tcPr>
            <w:tcW w:type="dxa" w:w="3240"/>
            <w:vAlign w:val="top"/>
          </w:tcPr>
          <w:p>
            <w:pPr>
              <w:spacing w:after="0"/>
            </w:pPr>
            <w:r>
              <w:rPr>
                <w:sz w:val="14"/>
              </w:rPr>
              <w:t>Net benefit at each risk threshold was compared with five nomograms: MSKCC nomogram, Yale formula, Roach formula, Winter nomogram and Partin tables (2016).</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Draulans C. 2020 [136]</w:t>
            </w:r>
          </w:p>
        </w:tc>
        <w:tc>
          <w:tcPr>
            <w:tcW w:type="dxa" w:w="2664"/>
            <w:vAlign w:val="top"/>
          </w:tcPr>
          <w:p>
            <w:pPr>
              <w:spacing w:after="0"/>
            </w:pPr>
            <w:r>
              <w:rPr>
                <w:sz w:val="14"/>
              </w:rPr>
              <w:t>n=NR; External validation reported</w:t>
            </w:r>
          </w:p>
        </w:tc>
        <w:tc>
          <w:tcPr>
            <w:tcW w:type="dxa" w:w="2160"/>
            <w:vAlign w:val="top"/>
          </w:tcPr>
          <w:p>
            <w:pPr>
              <w:spacing w:after="0"/>
            </w:pPr>
            <w:r>
              <w:rPr>
                <w:sz w:val="14"/>
              </w:rPr>
              <w:t>NR</w:t>
            </w:r>
          </w:p>
        </w:tc>
        <w:tc>
          <w:tcPr>
            <w:tcW w:type="dxa" w:w="3240"/>
            <w:vAlign w:val="top"/>
          </w:tcPr>
          <w:p>
            <w:pPr>
              <w:spacing w:after="0"/>
            </w:pPr>
            <w:r>
              <w:rPr>
                <w:sz w:val="14"/>
              </w:rPr>
              <w:t>NR</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Gandaglia G. 2020 [137]</w:t>
            </w:r>
          </w:p>
        </w:tc>
        <w:tc>
          <w:tcPr>
            <w:tcW w:type="dxa" w:w="2664"/>
            <w:vAlign w:val="top"/>
          </w:tcPr>
          <w:p>
            <w:pPr>
              <w:spacing w:after="0"/>
            </w:pPr>
            <w:r>
              <w:rPr>
                <w:sz w:val="14"/>
              </w:rPr>
              <w:t>n=38; External validation reported</w:t>
            </w:r>
          </w:p>
        </w:tc>
        <w:tc>
          <w:tcPr>
            <w:tcW w:type="dxa" w:w="2160"/>
            <w:vAlign w:val="top"/>
          </w:tcPr>
          <w:p>
            <w:pPr>
              <w:spacing w:after="0"/>
            </w:pPr>
            <w:r>
              <w:rPr>
                <w:sz w:val="14"/>
              </w:rPr>
              <w:t>On external validation, the 2019 Briganti nomogram had an area under the receiver operating characteristic curve (AUC) of 79%.</w:t>
            </w:r>
          </w:p>
        </w:tc>
        <w:tc>
          <w:tcPr>
            <w:tcW w:type="dxa" w:w="3240"/>
            <w:vAlign w:val="top"/>
          </w:tcPr>
          <w:p>
            <w:pPr>
              <w:spacing w:after="0"/>
            </w:pPr>
            <w:r>
              <w:rPr>
                <w:sz w:val="14"/>
              </w:rPr>
              <w:t>The external validity of the 2019 Briganti nomogram for estimating LNI risk was assessed via calibration, discrimination, and decision curve analyses (DCAs).</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Diamand R. 2020 [138]</w:t>
            </w:r>
          </w:p>
        </w:tc>
        <w:tc>
          <w:tcPr>
            <w:tcW w:type="dxa" w:w="2664"/>
            <w:vAlign w:val="top"/>
          </w:tcPr>
          <w:p>
            <w:pPr>
              <w:spacing w:after="0"/>
            </w:pPr>
            <w:r>
              <w:rPr>
                <w:sz w:val="14"/>
              </w:rPr>
              <w:t>n=473; External validation reported</w:t>
            </w:r>
          </w:p>
        </w:tc>
        <w:tc>
          <w:tcPr>
            <w:tcW w:type="dxa" w:w="2160"/>
            <w:vAlign w:val="top"/>
          </w:tcPr>
          <w:p>
            <w:pPr>
              <w:spacing w:after="0"/>
            </w:pPr>
            <w:r>
              <w:rPr>
                <w:sz w:val="14"/>
              </w:rPr>
              <w:t>Area under the curve of the receiver operator characteristic curve, calibration plot and decision curve analysis were used to evaluated the performance of the model.</w:t>
            </w:r>
          </w:p>
        </w:tc>
        <w:tc>
          <w:tcPr>
            <w:tcW w:type="dxa" w:w="3240"/>
            <w:vAlign w:val="top"/>
          </w:tcPr>
          <w:p>
            <w:pPr>
              <w:spacing w:after="0"/>
            </w:pPr>
            <w:r>
              <w:rPr>
                <w:sz w:val="14"/>
              </w:rPr>
              <w:t>Area under the curve of the receiver operator characteristic curve, calibration plot and decision curve analysis were used to evaluated the performance of the model.</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Huang C. 2020 [139]</w:t>
            </w:r>
          </w:p>
        </w:tc>
        <w:tc>
          <w:tcPr>
            <w:tcW w:type="dxa" w:w="2664"/>
            <w:vAlign w:val="top"/>
          </w:tcPr>
          <w:p>
            <w:pPr>
              <w:spacing w:after="0"/>
            </w:pPr>
            <w:r>
              <w:rPr>
                <w:sz w:val="14"/>
              </w:rPr>
              <w:t>n=NR; Apparent or internal; details NR in abstract</w:t>
            </w:r>
          </w:p>
        </w:tc>
        <w:tc>
          <w:tcPr>
            <w:tcW w:type="dxa" w:w="2160"/>
            <w:vAlign w:val="top"/>
          </w:tcPr>
          <w:p>
            <w:pPr>
              <w:spacing w:after="0"/>
            </w:pPr>
            <w:r>
              <w:rPr>
                <w:sz w:val="14"/>
              </w:rPr>
              <w:t>The area under the receiver operating characteristic curves (AUCs) and decision curve analysis (DCA) were generated for assessing the incremental value of PI-RADSv2 scores combined with the Briganti and Memori…</w:t>
            </w:r>
          </w:p>
        </w:tc>
        <w:tc>
          <w:tcPr>
            <w:tcW w:type="dxa" w:w="3240"/>
            <w:vAlign w:val="top"/>
          </w:tcPr>
          <w:p>
            <w:pPr>
              <w:spacing w:after="0"/>
            </w:pPr>
            <w:r>
              <w:rPr>
                <w:sz w:val="14"/>
              </w:rPr>
              <w:t>The area under the receiver operating characteristic curves (AUCs) and decision curve analysis (DCA) were generated for assessing the incremental value of PI-RADSv2 scores combined with the Briganti and Memori…</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Hatano K. 2020 [140]</w:t>
            </w:r>
          </w:p>
        </w:tc>
        <w:tc>
          <w:tcPr>
            <w:tcW w:type="dxa" w:w="2664"/>
            <w:vAlign w:val="top"/>
          </w:tcPr>
          <w:p>
            <w:pPr>
              <w:spacing w:after="0"/>
            </w:pPr>
            <w:r>
              <w:rPr>
                <w:sz w:val="14"/>
              </w:rPr>
              <w:t>n=NR; Apparent or internal; details NR in abstract</w:t>
            </w:r>
          </w:p>
        </w:tc>
        <w:tc>
          <w:tcPr>
            <w:tcW w:type="dxa" w:w="2160"/>
            <w:vAlign w:val="top"/>
          </w:tcPr>
          <w:p>
            <w:pPr>
              <w:spacing w:after="0"/>
            </w:pPr>
            <w:r>
              <w:rPr>
                <w:sz w:val="14"/>
              </w:rPr>
              <w:t>NR</w:t>
            </w:r>
          </w:p>
        </w:tc>
        <w:tc>
          <w:tcPr>
            <w:tcW w:type="dxa" w:w="3240"/>
            <w:vAlign w:val="top"/>
          </w:tcPr>
          <w:p>
            <w:pPr>
              <w:spacing w:after="0"/>
            </w:pPr>
            <w:r>
              <w:rPr>
                <w:sz w:val="14"/>
              </w:rPr>
              <w:t>NR</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Gandaglia G. 2019 [141]</w:t>
            </w:r>
          </w:p>
        </w:tc>
        <w:tc>
          <w:tcPr>
            <w:tcW w:type="dxa" w:w="2664"/>
            <w:vAlign w:val="top"/>
          </w:tcPr>
          <w:p>
            <w:pPr>
              <w:spacing w:after="0"/>
            </w:pPr>
            <w:r>
              <w:rPr>
                <w:sz w:val="14"/>
              </w:rPr>
              <w:t>n=497; Apparent or internal; details NR in abstract</w:t>
            </w:r>
          </w:p>
        </w:tc>
        <w:tc>
          <w:tcPr>
            <w:tcW w:type="dxa" w:w="2160"/>
            <w:vAlign w:val="top"/>
          </w:tcPr>
          <w:p>
            <w:pPr>
              <w:spacing w:after="0"/>
            </w:pPr>
            <w:r>
              <w:rPr>
                <w:sz w:val="14"/>
              </w:rPr>
              <w:t>Outcome measurements and statistical analyses: Three available models predicting LNI were evaluated using the area under the receiver operating characteristic curve (AUC), calibration plots, and decision curve…</w:t>
            </w:r>
          </w:p>
        </w:tc>
        <w:tc>
          <w:tcPr>
            <w:tcW w:type="dxa" w:w="3240"/>
            <w:vAlign w:val="top"/>
          </w:tcPr>
          <w:p>
            <w:pPr>
              <w:spacing w:after="0"/>
            </w:pPr>
            <w:r>
              <w:rPr>
                <w:sz w:val="14"/>
              </w:rPr>
              <w:t>Outcome measurements and statistical analyses: Three available models predicting LNI were evaluated using the area under the receiver operating characteristic curve (AUC), calibration plots, and decision curve…</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Porpiglia F. 2018 [142]</w:t>
            </w:r>
          </w:p>
        </w:tc>
        <w:tc>
          <w:tcPr>
            <w:tcW w:type="dxa" w:w="2664"/>
            <w:vAlign w:val="top"/>
          </w:tcPr>
          <w:p>
            <w:pPr>
              <w:spacing w:after="0"/>
            </w:pPr>
            <w:r>
              <w:rPr>
                <w:sz w:val="14"/>
              </w:rPr>
              <w:t>n=NR; Apparent or internal; details NR in abstract</w:t>
            </w:r>
          </w:p>
        </w:tc>
        <w:tc>
          <w:tcPr>
            <w:tcW w:type="dxa" w:w="2160"/>
            <w:vAlign w:val="top"/>
          </w:tcPr>
          <w:p>
            <w:pPr>
              <w:spacing w:after="0"/>
            </w:pPr>
            <w:r>
              <w:rPr>
                <w:sz w:val="14"/>
              </w:rPr>
              <w:t>NR</w:t>
            </w:r>
          </w:p>
        </w:tc>
        <w:tc>
          <w:tcPr>
            <w:tcW w:type="dxa" w:w="3240"/>
            <w:vAlign w:val="top"/>
          </w:tcPr>
          <w:p>
            <w:pPr>
              <w:spacing w:after="0"/>
            </w:pPr>
            <w:r>
              <w:rPr>
                <w:sz w:val="14"/>
              </w:rPr>
              <w:t>NR</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Von Below C. 2018 [143]</w:t>
            </w:r>
          </w:p>
        </w:tc>
        <w:tc>
          <w:tcPr>
            <w:tcW w:type="dxa" w:w="2664"/>
            <w:vAlign w:val="top"/>
          </w:tcPr>
          <w:p>
            <w:pPr>
              <w:spacing w:after="0"/>
            </w:pPr>
            <w:r>
              <w:rPr>
                <w:sz w:val="14"/>
              </w:rPr>
              <w:t>n=6; Apparent or internal; details NR in abstract</w:t>
            </w:r>
          </w:p>
        </w:tc>
        <w:tc>
          <w:tcPr>
            <w:tcW w:type="dxa" w:w="2160"/>
            <w:vAlign w:val="top"/>
          </w:tcPr>
          <w:p>
            <w:pPr>
              <w:spacing w:after="0"/>
            </w:pPr>
            <w:r>
              <w:rPr>
                <w:sz w:val="14"/>
              </w:rPr>
              <w:t>In multiple logistic regression analysis the best model was ADCmean in combintion with MRI T-stage where both were independent predictors of LN metastasis, this combination had an AUC of 0.81 which was higher…</w:t>
            </w:r>
          </w:p>
        </w:tc>
        <w:tc>
          <w:tcPr>
            <w:tcW w:type="dxa" w:w="3240"/>
            <w:vAlign w:val="top"/>
          </w:tcPr>
          <w:p>
            <w:pPr>
              <w:spacing w:after="0"/>
            </w:pPr>
            <w:r>
              <w:rPr>
                <w:sz w:val="14"/>
              </w:rPr>
              <w:t>NR</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Thalgott M. 2018 [144]</w:t>
            </w:r>
          </w:p>
        </w:tc>
        <w:tc>
          <w:tcPr>
            <w:tcW w:type="dxa" w:w="2664"/>
            <w:vAlign w:val="top"/>
          </w:tcPr>
          <w:p>
            <w:pPr>
              <w:spacing w:after="0"/>
            </w:pPr>
            <w:r>
              <w:rPr>
                <w:sz w:val="14"/>
              </w:rPr>
              <w:t>n=102; Apparent or internal; details NR in abstract</w:t>
            </w:r>
          </w:p>
        </w:tc>
        <w:tc>
          <w:tcPr>
            <w:tcW w:type="dxa" w:w="2160"/>
            <w:vAlign w:val="top"/>
          </w:tcPr>
          <w:p>
            <w:pPr>
              <w:spacing w:after="0"/>
            </w:pPr>
            <w:r>
              <w:rPr>
                <w:sz w:val="14"/>
              </w:rPr>
              <w:t>On a patient basis, sensitivity, specificity, and area under the curves were calculated.</w:t>
            </w:r>
          </w:p>
        </w:tc>
        <w:tc>
          <w:tcPr>
            <w:tcW w:type="dxa" w:w="3240"/>
            <w:vAlign w:val="top"/>
          </w:tcPr>
          <w:p>
            <w:pPr>
              <w:spacing w:after="0"/>
            </w:pPr>
            <w:r>
              <w:rPr>
                <w:sz w:val="14"/>
              </w:rPr>
              <w:t>Receiver-operating-characteristic analyses were performed to determine best discriminatory cutoffs.</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Brembilla G. 2018 [145]</w:t>
            </w:r>
          </w:p>
        </w:tc>
        <w:tc>
          <w:tcPr>
            <w:tcW w:type="dxa" w:w="2664"/>
            <w:vAlign w:val="top"/>
          </w:tcPr>
          <w:p>
            <w:pPr>
              <w:spacing w:after="0"/>
            </w:pPr>
            <w:r>
              <w:rPr>
                <w:sz w:val="14"/>
              </w:rPr>
              <w:t>n=NR; Apparent or internal; details NR in abstract</w:t>
            </w:r>
          </w:p>
        </w:tc>
        <w:tc>
          <w:tcPr>
            <w:tcW w:type="dxa" w:w="2160"/>
            <w:vAlign w:val="top"/>
          </w:tcPr>
          <w:p>
            <w:pPr>
              <w:spacing w:after="0"/>
            </w:pPr>
            <w:r>
              <w:rPr>
                <w:sz w:val="14"/>
              </w:rPr>
              <w:t>At univariate analyses, all clinical and radiological parameters were significantly associated to nodal invasion (all p&lt;0.03); tumour volume at MRI (mrV), tumour ADC and tumour T-stage at MRI (mrT) were the mo…</w:t>
            </w:r>
          </w:p>
        </w:tc>
        <w:tc>
          <w:tcPr>
            <w:tcW w:type="dxa" w:w="3240"/>
            <w:vAlign w:val="top"/>
          </w:tcPr>
          <w:p>
            <w:pPr>
              <w:spacing w:after="0"/>
            </w:pPr>
            <w:r>
              <w:rPr>
                <w:sz w:val="14"/>
              </w:rPr>
              <w:t>NR</w:t>
            </w:r>
          </w:p>
        </w:tc>
        <w:tc>
          <w:tcPr>
            <w:tcW w:type="dxa" w:w="3024"/>
            <w:vAlign w:val="top"/>
          </w:tcPr>
          <w:p>
            <w:pPr>
              <w:spacing w:after="0"/>
            </w:pPr>
            <w:r>
              <w:rPr>
                <w:sz w:val="14"/>
              </w:rPr>
              <w:t>Relevant conventional comparator; applicability to dedicated miN0 omission and absolute pN1 misses must be judged separately.</w:t>
            </w:r>
          </w:p>
        </w:tc>
      </w:tr>
      <w:tr>
        <w:trPr>
          <w:cantSplit/>
        </w:trPr>
        <w:tc>
          <w:tcPr>
            <w:tcW w:type="dxa" w:w="1944"/>
            <w:vAlign w:val="top"/>
          </w:tcPr>
          <w:p>
            <w:pPr>
              <w:spacing w:after="0"/>
            </w:pPr>
            <w:r>
              <w:rPr>
                <w:sz w:val="14"/>
              </w:rPr>
              <w:t>Weaver J.K. 2018 [146]</w:t>
            </w:r>
          </w:p>
        </w:tc>
        <w:tc>
          <w:tcPr>
            <w:tcW w:type="dxa" w:w="2664"/>
            <w:vAlign w:val="top"/>
          </w:tcPr>
          <w:p>
            <w:pPr>
              <w:spacing w:after="0"/>
            </w:pPr>
            <w:r>
              <w:rPr>
                <w:sz w:val="14"/>
              </w:rPr>
              <w:t>n=236; Apparent or internal; details NR in abstract</w:t>
            </w:r>
          </w:p>
        </w:tc>
        <w:tc>
          <w:tcPr>
            <w:tcW w:type="dxa" w:w="2160"/>
            <w:vAlign w:val="top"/>
          </w:tcPr>
          <w:p>
            <w:pPr>
              <w:spacing w:after="0"/>
            </w:pPr>
            <w:r>
              <w:rPr>
                <w:sz w:val="14"/>
              </w:rPr>
              <w:t>Receiver operating characteristic curves were generated, and the area under the curves (AUCs) were compared.</w:t>
            </w:r>
          </w:p>
        </w:tc>
        <w:tc>
          <w:tcPr>
            <w:tcW w:type="dxa" w:w="3240"/>
            <w:vAlign w:val="top"/>
          </w:tcPr>
          <w:p>
            <w:pPr>
              <w:spacing w:after="0"/>
            </w:pPr>
            <w:r>
              <w:rPr>
                <w:sz w:val="14"/>
              </w:rPr>
              <w:t>NR</w:t>
            </w:r>
          </w:p>
        </w:tc>
        <w:tc>
          <w:tcPr>
            <w:tcW w:type="dxa" w:w="3024"/>
            <w:vAlign w:val="top"/>
          </w:tcPr>
          <w:p>
            <w:pPr>
              <w:spacing w:after="0"/>
            </w:pPr>
            <w:r>
              <w:rPr>
                <w:sz w:val="14"/>
              </w:rPr>
              <w:t>Relevant conventional comparator; applicability to dedicated miN0 omission and absolute pN1 misses must be judged separately.</w:t>
            </w:r>
          </w:p>
        </w:tc>
      </w:tr>
    </w:tbl>
    <w:p>
      <w:pPr>
        <w:sectPr>
          <w:pgSz w:w="16834" w:h="11909" w:orient="landscape"/>
          <w:pgMar w:top="605" w:right="605" w:bottom="605" w:left="605" w:header="567" w:footer="709" w:gutter="0"/>
          <w:cols w:space="720"/>
          <w:docGrid w:linePitch="360"/>
        </w:sectPr>
      </w:pPr>
    </w:p>
    <w:p>
      <w:pPr>
        <w:pStyle w:val="Heading1"/>
      </w:pPr>
      <w:r>
        <w:t>Supplementary Table S6. Reports excluded after full-report assessment</w:t>
      </w:r>
    </w:p>
    <w:tbl>
      <w:tblPr>
        <w:tblStyle w:val="TableGrid"/>
        <w:tblW w:type="dxa" w:w="10008"/>
        <w:jc w:val="center"/>
        <w:tblLayout w:type="fixed"/>
        <w:tblLook w:firstColumn="1" w:firstRow="1" w:lastColumn="0" w:lastRow="0" w:noHBand="0" w:noVBand="1" w:val="04A0"/>
        <w:tblInd w:w="70" w:type="dxa"/>
      </w:tblPr>
      <w:tblGrid>
        <w:gridCol w:w="936"/>
        <w:gridCol w:w="6696"/>
        <w:gridCol w:w="2376"/>
      </w:tblGrid>
      <w:tr>
        <w:trPr>
          <w:cantSplit/>
          <w:trHeight w:hRule="atLeast"/>
          <w:tblHeader w:val="true"/>
        </w:trPr>
        <w:tc>
          <w:tcPr>
            <w:tcW w:type="dxa" w:w="936"/>
            <w:vAlign w:val="center"/>
            <w:tcMar>
              <w:top w:w="55" w:type="dxa"/>
              <w:start w:w="70" w:type="dxa"/>
              <w:bottom w:w="55" w:type="dxa"/>
              <w:end w:w="70" w:type="dxa"/>
            </w:tcMar>
          </w:tcPr>
          <w:p>
            <w:pPr>
              <w:spacing w:after="0" w:before="0" w:line="240" w:lineRule="auto"/>
            </w:pPr>
            <w:r>
              <w:rPr>
                <w:rFonts w:ascii="Arial" w:hAnsi="Arial"/>
                <w:b/>
                <w:color w:val="000000"/>
                <w:sz w:val="14"/>
              </w:rPr>
              <w:t>Record</w:t>
            </w:r>
          </w:p>
        </w:tc>
        <w:tc>
          <w:tcPr>
            <w:tcW w:type="dxa" w:w="6696"/>
            <w:vAlign w:val="center"/>
            <w:tcMar>
              <w:top w:w="55" w:type="dxa"/>
              <w:start w:w="70" w:type="dxa"/>
              <w:bottom w:w="55" w:type="dxa"/>
              <w:end w:w="70" w:type="dxa"/>
            </w:tcMar>
          </w:tcPr>
          <w:p>
            <w:pPr>
              <w:spacing w:after="0" w:before="0" w:line="240" w:lineRule="auto"/>
            </w:pPr>
            <w:r>
              <w:rPr>
                <w:rFonts w:ascii="Arial" w:hAnsi="Arial"/>
                <w:b/>
                <w:color w:val="000000"/>
                <w:sz w:val="14"/>
              </w:rPr>
              <w:t>Report</w:t>
            </w:r>
          </w:p>
        </w:tc>
        <w:tc>
          <w:tcPr>
            <w:tcW w:type="dxa" w:w="2376"/>
            <w:vAlign w:val="center"/>
            <w:tcMar>
              <w:top w:w="55" w:type="dxa"/>
              <w:start w:w="70" w:type="dxa"/>
              <w:bottom w:w="55" w:type="dxa"/>
              <w:end w:w="70" w:type="dxa"/>
            </w:tcMar>
          </w:tcPr>
          <w:p>
            <w:pPr>
              <w:spacing w:after="0" w:before="0" w:line="240" w:lineRule="auto"/>
            </w:pPr>
            <w:r>
              <w:rPr>
                <w:rFonts w:ascii="Arial" w:hAnsi="Arial"/>
                <w:b/>
                <w:color w:val="000000"/>
                <w:sz w:val="14"/>
              </w:rPr>
              <w:t>Reason for exclusion</w:t>
            </w:r>
          </w:p>
        </w:tc>
      </w:tr>
      <w:tr>
        <w:trPr>
          <w:cantSplit/>
          <w:trHeight w:hRule="atLeast"/>
        </w:trPr>
        <w:tc>
          <w:tcPr>
            <w:tcW w:type="dxa" w:w="936"/>
            <w:vAlign w:val="center"/>
            <w:tcMar>
              <w:top w:w="55" w:type="dxa"/>
              <w:start w:w="70" w:type="dxa"/>
              <w:bottom w:w="55" w:type="dxa"/>
              <w:end w:w="70" w:type="dxa"/>
            </w:tcMar>
          </w:tcPr>
          <w:p>
            <w:pPr>
              <w:spacing w:after="0" w:before="0" w:line="240" w:lineRule="auto"/>
            </w:pPr>
            <w:r>
              <w:rPr>
                <w:rFonts w:ascii="Arial" w:hAnsi="Arial"/>
                <w:sz w:val="14"/>
              </w:rPr>
              <w:t>6</w:t>
            </w:r>
          </w:p>
        </w:tc>
        <w:tc>
          <w:tcPr>
            <w:tcW w:type="dxa" w:w="6696"/>
            <w:vAlign w:val="center"/>
            <w:tcMar>
              <w:top w:w="55" w:type="dxa"/>
              <w:start w:w="70" w:type="dxa"/>
              <w:bottom w:w="55" w:type="dxa"/>
              <w:end w:w="70" w:type="dxa"/>
            </w:tcMar>
          </w:tcPr>
          <w:p>
            <w:pPr>
              <w:spacing w:after="0" w:before="0" w:line="240" w:lineRule="auto"/>
            </w:pPr>
            <w:r>
              <w:rPr>
                <w:rFonts w:ascii="Arial" w:hAnsi="Arial"/>
                <w:sz w:val="14"/>
              </w:rPr>
              <w:t>Deep neural network for automatic characterization of lesions on 68Ga-PSMA-11 PET/CT. (2020)</w:t>
            </w:r>
          </w:p>
        </w:tc>
        <w:tc>
          <w:tcPr>
            <w:tcW w:type="dxa" w:w="2376"/>
            <w:vAlign w:val="center"/>
            <w:tcMar>
              <w:top w:w="55" w:type="dxa"/>
              <w:start w:w="70" w:type="dxa"/>
              <w:bottom w:w="55" w:type="dxa"/>
              <w:end w:w="70" w:type="dxa"/>
            </w:tcMar>
          </w:tcPr>
          <w:p>
            <w:pPr>
              <w:spacing w:after="0" w:before="0" w:line="240" w:lineRule="auto"/>
            </w:pPr>
            <w:r>
              <w:rPr>
                <w:rFonts w:ascii="Arial" w:hAnsi="Arial"/>
                <w:sz w:val="14"/>
              </w:rPr>
              <w:t>Metastatic-treatment cohort; not primary nodal staging or post-RP prognosis</w:t>
            </w:r>
          </w:p>
        </w:tc>
      </w:tr>
      <w:tr>
        <w:trPr>
          <w:cantSplit/>
          <w:trHeight w:hRule="atLeast"/>
        </w:trPr>
        <w:tc>
          <w:tcPr>
            <w:tcW w:type="dxa" w:w="936"/>
            <w:vAlign w:val="center"/>
            <w:tcMar>
              <w:top w:w="55" w:type="dxa"/>
              <w:start w:w="70" w:type="dxa"/>
              <w:bottom w:w="55" w:type="dxa"/>
              <w:end w:w="70" w:type="dxa"/>
            </w:tcMar>
          </w:tcPr>
          <w:p>
            <w:pPr>
              <w:spacing w:after="0" w:before="0" w:line="240" w:lineRule="auto"/>
            </w:pPr>
            <w:r>
              <w:rPr>
                <w:rFonts w:ascii="Arial" w:hAnsi="Arial"/>
                <w:sz w:val="14"/>
              </w:rPr>
              <w:t>19</w:t>
            </w:r>
          </w:p>
        </w:tc>
        <w:tc>
          <w:tcPr>
            <w:tcW w:type="dxa" w:w="6696"/>
            <w:vAlign w:val="center"/>
            <w:tcMar>
              <w:top w:w="55" w:type="dxa"/>
              <w:start w:w="70" w:type="dxa"/>
              <w:bottom w:w="55" w:type="dxa"/>
              <w:end w:w="70" w:type="dxa"/>
            </w:tcMar>
          </w:tcPr>
          <w:p>
            <w:pPr>
              <w:spacing w:after="0" w:before="0" w:line="240" w:lineRule="auto"/>
            </w:pPr>
            <w:r>
              <w:rPr>
                <w:rFonts w:ascii="Arial" w:hAnsi="Arial"/>
                <w:sz w:val="14"/>
              </w:rPr>
              <w:t>Deep learning approach to predict lymph node metastasis directly from primary tumour histology in prostate cancer. (2021)</w:t>
            </w:r>
          </w:p>
        </w:tc>
        <w:tc>
          <w:tcPr>
            <w:tcW w:type="dxa" w:w="2376"/>
            <w:vAlign w:val="center"/>
            <w:tcMar>
              <w:top w:w="55" w:type="dxa"/>
              <w:start w:w="70" w:type="dxa"/>
              <w:bottom w:w="55" w:type="dxa"/>
              <w:end w:w="70" w:type="dxa"/>
            </w:tcMar>
          </w:tcPr>
          <w:p>
            <w:pPr>
              <w:spacing w:after="0" w:before="0" w:line="240" w:lineRule="auto"/>
            </w:pPr>
            <w:r>
              <w:rPr>
                <w:rFonts w:ascii="Arial" w:hAnsi="Arial"/>
                <w:sz w:val="14"/>
              </w:rPr>
              <w:t>Pathology-only predictor; no PET, MRI, or eligible preoperative clinical model</w:t>
            </w:r>
          </w:p>
        </w:tc>
      </w:tr>
      <w:tr>
        <w:trPr>
          <w:cantSplit/>
          <w:trHeight w:hRule="atLeast"/>
        </w:trPr>
        <w:tc>
          <w:tcPr>
            <w:tcW w:type="dxa" w:w="936"/>
            <w:vAlign w:val="center"/>
            <w:tcMar>
              <w:top w:w="55" w:type="dxa"/>
              <w:start w:w="70" w:type="dxa"/>
              <w:bottom w:w="55" w:type="dxa"/>
              <w:end w:w="70" w:type="dxa"/>
            </w:tcMar>
          </w:tcPr>
          <w:p>
            <w:pPr>
              <w:spacing w:after="0" w:before="0" w:line="240" w:lineRule="auto"/>
            </w:pPr>
            <w:r>
              <w:rPr>
                <w:rFonts w:ascii="Arial" w:hAnsi="Arial"/>
                <w:sz w:val="14"/>
              </w:rPr>
              <w:t>26</w:t>
            </w:r>
          </w:p>
        </w:tc>
        <w:tc>
          <w:tcPr>
            <w:tcW w:type="dxa" w:w="6696"/>
            <w:vAlign w:val="center"/>
            <w:tcMar>
              <w:top w:w="55" w:type="dxa"/>
              <w:start w:w="70" w:type="dxa"/>
              <w:bottom w:w="55" w:type="dxa"/>
              <w:end w:w="70" w:type="dxa"/>
            </w:tcMar>
          </w:tcPr>
          <w:p>
            <w:pPr>
              <w:spacing w:after="0" w:before="0" w:line="240" w:lineRule="auto"/>
            </w:pPr>
            <w:r>
              <w:rPr>
                <w:rFonts w:ascii="Arial" w:hAnsi="Arial"/>
                <w:sz w:val="14"/>
              </w:rPr>
              <w:t>The added value of PSMA PET/MR radiomics for prostate cancer staging. (2022)</w:t>
            </w:r>
          </w:p>
        </w:tc>
        <w:tc>
          <w:tcPr>
            <w:tcW w:type="dxa" w:w="2376"/>
            <w:vAlign w:val="center"/>
            <w:tcMar>
              <w:top w:w="55" w:type="dxa"/>
              <w:start w:w="70" w:type="dxa"/>
              <w:bottom w:w="55" w:type="dxa"/>
              <w:end w:w="70" w:type="dxa"/>
            </w:tcMar>
          </w:tcPr>
          <w:p>
            <w:pPr>
              <w:spacing w:after="0" w:before="0" w:line="240" w:lineRule="auto"/>
            </w:pPr>
            <w:r>
              <w:rPr>
                <w:rFonts w:ascii="Arial" w:hAnsi="Arial"/>
                <w:sz w:val="14"/>
              </w:rPr>
              <w:t>Outcome limited to postoperative grade; no nodal or eligible prognostic endpoint</w:t>
            </w:r>
          </w:p>
        </w:tc>
      </w:tr>
      <w:tr>
        <w:trPr>
          <w:cantSplit/>
          <w:trHeight w:hRule="atLeast"/>
        </w:trPr>
        <w:tc>
          <w:tcPr>
            <w:tcW w:type="dxa" w:w="936"/>
            <w:vAlign w:val="center"/>
            <w:tcMar>
              <w:top w:w="55" w:type="dxa"/>
              <w:start w:w="70" w:type="dxa"/>
              <w:bottom w:w="55" w:type="dxa"/>
              <w:end w:w="70" w:type="dxa"/>
            </w:tcMar>
          </w:tcPr>
          <w:p>
            <w:pPr>
              <w:spacing w:after="0" w:before="0" w:line="240" w:lineRule="auto"/>
            </w:pPr>
            <w:r>
              <w:rPr>
                <w:rFonts w:ascii="Arial" w:hAnsi="Arial"/>
                <w:sz w:val="14"/>
              </w:rPr>
              <w:t>31</w:t>
            </w:r>
          </w:p>
        </w:tc>
        <w:tc>
          <w:tcPr>
            <w:tcW w:type="dxa" w:w="6696"/>
            <w:vAlign w:val="center"/>
            <w:tcMar>
              <w:top w:w="55" w:type="dxa"/>
              <w:start w:w="70" w:type="dxa"/>
              <w:bottom w:w="55" w:type="dxa"/>
              <w:end w:w="70" w:type="dxa"/>
            </w:tcMar>
          </w:tcPr>
          <w:p>
            <w:pPr>
              <w:spacing w:after="0" w:before="0" w:line="240" w:lineRule="auto"/>
            </w:pPr>
            <w:r>
              <w:rPr>
                <w:rFonts w:ascii="Arial" w:hAnsi="Arial"/>
                <w:sz w:val="14"/>
              </w:rPr>
              <w:t>Machine learning-based prediction of invisible intraprostatic prostate cancer lesions on 68 Ga-PSMA-11 PET/CT in patients with primary prostate cancer. (2022)</w:t>
            </w:r>
          </w:p>
        </w:tc>
        <w:tc>
          <w:tcPr>
            <w:tcW w:type="dxa" w:w="2376"/>
            <w:vAlign w:val="center"/>
            <w:tcMar>
              <w:top w:w="55" w:type="dxa"/>
              <w:start w:w="70" w:type="dxa"/>
              <w:bottom w:w="55" w:type="dxa"/>
              <w:end w:w="70" w:type="dxa"/>
            </w:tcMar>
          </w:tcPr>
          <w:p>
            <w:pPr>
              <w:spacing w:after="0" w:before="0" w:line="240" w:lineRule="auto"/>
            </w:pPr>
            <w:r>
              <w:rPr>
                <w:rFonts w:ascii="Arial" w:hAnsi="Arial"/>
                <w:sz w:val="14"/>
              </w:rPr>
              <w:t>Intraprostatic lesion visibility only; no nodal or eligible prognostic endpoint</w:t>
            </w:r>
          </w:p>
        </w:tc>
      </w:tr>
      <w:tr>
        <w:trPr>
          <w:cantSplit/>
          <w:trHeight w:hRule="atLeast"/>
        </w:trPr>
        <w:tc>
          <w:tcPr>
            <w:tcW w:type="dxa" w:w="936"/>
            <w:vAlign w:val="center"/>
            <w:tcMar>
              <w:top w:w="55" w:type="dxa"/>
              <w:start w:w="70" w:type="dxa"/>
              <w:bottom w:w="55" w:type="dxa"/>
              <w:end w:w="70" w:type="dxa"/>
            </w:tcMar>
          </w:tcPr>
          <w:p>
            <w:pPr>
              <w:spacing w:after="0" w:before="0" w:line="240" w:lineRule="auto"/>
            </w:pPr>
            <w:r>
              <w:rPr>
                <w:rFonts w:ascii="Arial" w:hAnsi="Arial"/>
                <w:sz w:val="14"/>
              </w:rPr>
              <w:t>34</w:t>
            </w:r>
          </w:p>
        </w:tc>
        <w:tc>
          <w:tcPr>
            <w:tcW w:type="dxa" w:w="6696"/>
            <w:vAlign w:val="center"/>
            <w:tcMar>
              <w:top w:w="55" w:type="dxa"/>
              <w:start w:w="70" w:type="dxa"/>
              <w:bottom w:w="55" w:type="dxa"/>
              <w:end w:w="70" w:type="dxa"/>
            </w:tcMar>
          </w:tcPr>
          <w:p>
            <w:pPr>
              <w:spacing w:after="0" w:before="0" w:line="240" w:lineRule="auto"/>
            </w:pPr>
            <w:r>
              <w:rPr>
                <w:rFonts w:ascii="Arial" w:hAnsi="Arial"/>
                <w:sz w:val="14"/>
              </w:rPr>
              <w:t>Evaluation of machine learning strategies for imaging confirmed prostate cancer recurrence prediction on electronic health records. (2022)</w:t>
            </w:r>
          </w:p>
        </w:tc>
        <w:tc>
          <w:tcPr>
            <w:tcW w:type="dxa" w:w="2376"/>
            <w:vAlign w:val="center"/>
            <w:tcMar>
              <w:top w:w="55" w:type="dxa"/>
              <w:start w:w="70" w:type="dxa"/>
              <w:bottom w:w="55" w:type="dxa"/>
              <w:end w:w="70" w:type="dxa"/>
            </w:tcMar>
          </w:tcPr>
          <w:p>
            <w:pPr>
              <w:spacing w:after="0" w:before="0" w:line="240" w:lineRule="auto"/>
            </w:pPr>
            <w:r>
              <w:rPr>
                <w:rFonts w:ascii="Arial" w:hAnsi="Arial"/>
                <w:sz w:val="14"/>
              </w:rPr>
              <w:t>Electronic-record recurrence model without an eligible PET/MRI staging predictor</w:t>
            </w:r>
          </w:p>
        </w:tc>
      </w:tr>
      <w:tr>
        <w:trPr>
          <w:cantSplit/>
          <w:trHeight w:hRule="atLeast"/>
        </w:trPr>
        <w:tc>
          <w:tcPr>
            <w:tcW w:type="dxa" w:w="936"/>
            <w:vAlign w:val="center"/>
            <w:tcMar>
              <w:top w:w="55" w:type="dxa"/>
              <w:start w:w="70" w:type="dxa"/>
              <w:bottom w:w="55" w:type="dxa"/>
              <w:end w:w="70" w:type="dxa"/>
            </w:tcMar>
          </w:tcPr>
          <w:p>
            <w:pPr>
              <w:spacing w:after="0" w:before="0" w:line="240" w:lineRule="auto"/>
            </w:pPr>
            <w:r>
              <w:rPr>
                <w:rFonts w:ascii="Arial" w:hAnsi="Arial"/>
                <w:sz w:val="14"/>
              </w:rPr>
              <w:t>47</w:t>
            </w:r>
          </w:p>
        </w:tc>
        <w:tc>
          <w:tcPr>
            <w:tcW w:type="dxa" w:w="6696"/>
            <w:vAlign w:val="center"/>
            <w:tcMar>
              <w:top w:w="55" w:type="dxa"/>
              <w:start w:w="70" w:type="dxa"/>
              <w:bottom w:w="55" w:type="dxa"/>
              <w:end w:w="70" w:type="dxa"/>
            </w:tcMar>
          </w:tcPr>
          <w:p>
            <w:pPr>
              <w:spacing w:after="0" w:before="0" w:line="240" w:lineRule="auto"/>
            </w:pPr>
            <w:r>
              <w:rPr>
                <w:rFonts w:ascii="Arial" w:hAnsi="Arial"/>
                <w:sz w:val="14"/>
              </w:rPr>
              <w:t>Evaluation of a radiomics nomogram derived from Fluoride-18 PSMA-1007 PET/CT for risk stratification in newly diagnosed prostate cancer. (2022)</w:t>
            </w:r>
          </w:p>
        </w:tc>
        <w:tc>
          <w:tcPr>
            <w:tcW w:type="dxa" w:w="2376"/>
            <w:vAlign w:val="center"/>
            <w:tcMar>
              <w:top w:w="55" w:type="dxa"/>
              <w:start w:w="70" w:type="dxa"/>
              <w:bottom w:w="55" w:type="dxa"/>
              <w:end w:w="70" w:type="dxa"/>
            </w:tcMar>
          </w:tcPr>
          <w:p>
            <w:pPr>
              <w:spacing w:after="0" w:before="0" w:line="240" w:lineRule="auto"/>
            </w:pPr>
            <w:r>
              <w:rPr>
                <w:rFonts w:ascii="Arial" w:hAnsi="Arial"/>
                <w:sz w:val="14"/>
              </w:rPr>
              <w:t>Risk-group classification only; no pN1, nodal detection, BCR, or metastasis endpoint</w:t>
            </w:r>
          </w:p>
        </w:tc>
      </w:tr>
      <w:tr>
        <w:trPr>
          <w:cantSplit/>
          <w:trHeight w:hRule="atLeast"/>
        </w:trPr>
        <w:tc>
          <w:tcPr>
            <w:tcW w:type="dxa" w:w="936"/>
            <w:vAlign w:val="center"/>
            <w:tcMar>
              <w:top w:w="55" w:type="dxa"/>
              <w:start w:w="70" w:type="dxa"/>
              <w:bottom w:w="55" w:type="dxa"/>
              <w:end w:w="70" w:type="dxa"/>
            </w:tcMar>
          </w:tcPr>
          <w:p>
            <w:pPr>
              <w:spacing w:after="0" w:before="0" w:line="240" w:lineRule="auto"/>
            </w:pPr>
            <w:r>
              <w:rPr>
                <w:rFonts w:ascii="Arial" w:hAnsi="Arial"/>
                <w:sz w:val="14"/>
              </w:rPr>
              <w:t>60</w:t>
            </w:r>
          </w:p>
        </w:tc>
        <w:tc>
          <w:tcPr>
            <w:tcW w:type="dxa" w:w="6696"/>
            <w:vAlign w:val="center"/>
            <w:tcMar>
              <w:top w:w="55" w:type="dxa"/>
              <w:start w:w="70" w:type="dxa"/>
              <w:bottom w:w="55" w:type="dxa"/>
              <w:end w:w="70" w:type="dxa"/>
            </w:tcMar>
          </w:tcPr>
          <w:p>
            <w:pPr>
              <w:spacing w:after="0" w:before="0" w:line="240" w:lineRule="auto"/>
            </w:pPr>
            <w:r>
              <w:rPr>
                <w:rFonts w:ascii="Arial" w:hAnsi="Arial"/>
                <w:sz w:val="14"/>
              </w:rPr>
              <w:t>Automatic segmentation of prostate cancer metastases in PSMA PET/CT images using deep neural networks with weighted batch-wise dice loss. (2023)</w:t>
            </w:r>
          </w:p>
        </w:tc>
        <w:tc>
          <w:tcPr>
            <w:tcW w:type="dxa" w:w="2376"/>
            <w:vAlign w:val="center"/>
            <w:tcMar>
              <w:top w:w="55" w:type="dxa"/>
              <w:start w:w="70" w:type="dxa"/>
              <w:bottom w:w="55" w:type="dxa"/>
              <w:end w:w="70" w:type="dxa"/>
            </w:tcMar>
          </w:tcPr>
          <w:p>
            <w:pPr>
              <w:spacing w:after="0" w:before="0" w:line="240" w:lineRule="auto"/>
            </w:pPr>
            <w:r>
              <w:rPr>
                <w:rFonts w:ascii="Arial" w:hAnsi="Arial"/>
                <w:sz w:val="14"/>
              </w:rPr>
              <w:t>Technical segmentation study without a patient-level clinical decision endpoint</w:t>
            </w:r>
          </w:p>
        </w:tc>
      </w:tr>
      <w:tr>
        <w:trPr>
          <w:cantSplit/>
          <w:trHeight w:hRule="atLeast"/>
        </w:trPr>
        <w:tc>
          <w:tcPr>
            <w:tcW w:type="dxa" w:w="936"/>
            <w:vAlign w:val="center"/>
            <w:tcMar>
              <w:top w:w="55" w:type="dxa"/>
              <w:start w:w="70" w:type="dxa"/>
              <w:bottom w:w="55" w:type="dxa"/>
              <w:end w:w="70" w:type="dxa"/>
            </w:tcMar>
          </w:tcPr>
          <w:p>
            <w:pPr>
              <w:spacing w:after="0" w:before="0" w:line="240" w:lineRule="auto"/>
            </w:pPr>
            <w:r>
              <w:rPr>
                <w:rFonts w:ascii="Arial" w:hAnsi="Arial"/>
                <w:sz w:val="14"/>
              </w:rPr>
              <w:t>62</w:t>
            </w:r>
          </w:p>
        </w:tc>
        <w:tc>
          <w:tcPr>
            <w:tcW w:type="dxa" w:w="6696"/>
            <w:vAlign w:val="center"/>
            <w:tcMar>
              <w:top w:w="55" w:type="dxa"/>
              <w:start w:w="70" w:type="dxa"/>
              <w:bottom w:w="55" w:type="dxa"/>
              <w:end w:w="70" w:type="dxa"/>
            </w:tcMar>
          </w:tcPr>
          <w:p>
            <w:pPr>
              <w:spacing w:after="0" w:before="0" w:line="240" w:lineRule="auto"/>
            </w:pPr>
            <w:r>
              <w:rPr>
                <w:rFonts w:ascii="Arial" w:hAnsi="Arial"/>
                <w:sz w:val="14"/>
              </w:rPr>
              <w:t>Application of machine learning algorithm in prediction of lymph node metastasis in patients with intermediate and high-risk prostate cancer. (2023)</w:t>
            </w:r>
          </w:p>
        </w:tc>
        <w:tc>
          <w:tcPr>
            <w:tcW w:type="dxa" w:w="2376"/>
            <w:vAlign w:val="center"/>
            <w:tcMar>
              <w:top w:w="55" w:type="dxa"/>
              <w:start w:w="70" w:type="dxa"/>
              <w:bottom w:w="55" w:type="dxa"/>
              <w:end w:w="70" w:type="dxa"/>
            </w:tcMar>
          </w:tcPr>
          <w:p>
            <w:pPr>
              <w:spacing w:after="0" w:before="0" w:line="240" w:lineRule="auto"/>
            </w:pPr>
            <w:r>
              <w:rPr>
                <w:rFonts w:ascii="Arial" w:hAnsi="Arial"/>
                <w:sz w:val="14"/>
              </w:rPr>
              <w:t>Registry LNM label included metastatic disease and lacked a surgical pN1 reference</w:t>
            </w:r>
          </w:p>
        </w:tc>
      </w:tr>
      <w:tr>
        <w:trPr>
          <w:cantSplit/>
          <w:trHeight w:hRule="atLeast"/>
        </w:trPr>
        <w:tc>
          <w:tcPr>
            <w:tcW w:type="dxa" w:w="936"/>
            <w:vAlign w:val="center"/>
            <w:tcMar>
              <w:top w:w="55" w:type="dxa"/>
              <w:start w:w="70" w:type="dxa"/>
              <w:bottom w:w="55" w:type="dxa"/>
              <w:end w:w="70" w:type="dxa"/>
            </w:tcMar>
          </w:tcPr>
          <w:p>
            <w:pPr>
              <w:spacing w:after="0" w:before="0" w:line="240" w:lineRule="auto"/>
            </w:pPr>
            <w:r>
              <w:rPr>
                <w:rFonts w:ascii="Arial" w:hAnsi="Arial"/>
                <w:sz w:val="14"/>
              </w:rPr>
              <w:t>73</w:t>
            </w:r>
          </w:p>
        </w:tc>
        <w:tc>
          <w:tcPr>
            <w:tcW w:type="dxa" w:w="6696"/>
            <w:vAlign w:val="center"/>
            <w:tcMar>
              <w:top w:w="55" w:type="dxa"/>
              <w:start w:w="70" w:type="dxa"/>
              <w:bottom w:w="55" w:type="dxa"/>
              <w:end w:w="70" w:type="dxa"/>
            </w:tcMar>
          </w:tcPr>
          <w:p>
            <w:pPr>
              <w:spacing w:after="0" w:before="0" w:line="240" w:lineRule="auto"/>
            </w:pPr>
            <w:r>
              <w:rPr>
                <w:rFonts w:ascii="Arial" w:hAnsi="Arial"/>
                <w:sz w:val="14"/>
              </w:rPr>
              <w:t>Machine Learning CT-Based Automatic Nodal Segmentation and PET Semi-Quantification of Intraoperative 68Ga-PSMA-11 PET/CT Images in High-Risk Prostate Cancer: A Pilot Study. (2023)</w:t>
            </w:r>
          </w:p>
        </w:tc>
        <w:tc>
          <w:tcPr>
            <w:tcW w:type="dxa" w:w="2376"/>
            <w:vAlign w:val="center"/>
            <w:tcMar>
              <w:top w:w="55" w:type="dxa"/>
              <w:start w:w="70" w:type="dxa"/>
              <w:bottom w:w="55" w:type="dxa"/>
              <w:end w:w="70" w:type="dxa"/>
            </w:tcMar>
          </w:tcPr>
          <w:p>
            <w:pPr>
              <w:spacing w:after="0" w:before="0" w:line="240" w:lineRule="auto"/>
            </w:pPr>
            <w:r>
              <w:rPr>
                <w:rFonts w:ascii="Arial" w:hAnsi="Arial"/>
                <w:sz w:val="14"/>
              </w:rPr>
              <w:t>Technical ex-vivo nodal segmentation pilot without metastasis classification</w:t>
            </w:r>
          </w:p>
        </w:tc>
      </w:tr>
      <w:tr>
        <w:trPr>
          <w:cantSplit/>
          <w:trHeight w:hRule="atLeast"/>
        </w:trPr>
        <w:tc>
          <w:tcPr>
            <w:tcW w:type="dxa" w:w="936"/>
            <w:vAlign w:val="center"/>
            <w:tcMar>
              <w:top w:w="55" w:type="dxa"/>
              <w:start w:w="70" w:type="dxa"/>
              <w:bottom w:w="55" w:type="dxa"/>
              <w:end w:w="70" w:type="dxa"/>
            </w:tcMar>
          </w:tcPr>
          <w:p>
            <w:pPr>
              <w:spacing w:after="0" w:before="0" w:line="240" w:lineRule="auto"/>
            </w:pPr>
            <w:r>
              <w:rPr>
                <w:rFonts w:ascii="Arial" w:hAnsi="Arial"/>
                <w:sz w:val="14"/>
              </w:rPr>
              <w:t>100</w:t>
            </w:r>
          </w:p>
        </w:tc>
        <w:tc>
          <w:tcPr>
            <w:tcW w:type="dxa" w:w="6696"/>
            <w:vAlign w:val="center"/>
            <w:tcMar>
              <w:top w:w="55" w:type="dxa"/>
              <w:start w:w="70" w:type="dxa"/>
              <w:bottom w:w="55" w:type="dxa"/>
              <w:end w:w="70" w:type="dxa"/>
            </w:tcMar>
          </w:tcPr>
          <w:p>
            <w:pPr>
              <w:spacing w:after="0" w:before="0" w:line="240" w:lineRule="auto"/>
            </w:pPr>
            <w:r>
              <w:rPr>
                <w:rFonts w:ascii="Arial" w:hAnsi="Arial"/>
                <w:sz w:val="14"/>
              </w:rPr>
              <w:t>A Transfer Learning-Based Framework for Classifying Lymph Node Metastasis in Prostate Cancer Patients. (2024)</w:t>
            </w:r>
          </w:p>
        </w:tc>
        <w:tc>
          <w:tcPr>
            <w:tcW w:type="dxa" w:w="2376"/>
            <w:vAlign w:val="center"/>
            <w:tcMar>
              <w:top w:w="55" w:type="dxa"/>
              <w:start w:w="70" w:type="dxa"/>
              <w:bottom w:w="55" w:type="dxa"/>
              <w:end w:w="70" w:type="dxa"/>
            </w:tcMar>
          </w:tcPr>
          <w:p>
            <w:pPr>
              <w:spacing w:after="0" w:before="0" w:line="240" w:lineRule="auto"/>
            </w:pPr>
            <w:r>
              <w:rPr>
                <w:rFonts w:ascii="Arial" w:hAnsi="Arial"/>
                <w:sz w:val="14"/>
              </w:rPr>
              <w:t>Nodal image dataset had insufficiently reported patient spectrum/reference standard</w:t>
            </w:r>
          </w:p>
        </w:tc>
      </w:tr>
      <w:tr>
        <w:trPr>
          <w:cantSplit/>
          <w:trHeight w:hRule="atLeast"/>
        </w:trPr>
        <w:tc>
          <w:tcPr>
            <w:tcW w:type="dxa" w:w="936"/>
            <w:vAlign w:val="center"/>
            <w:tcMar>
              <w:top w:w="55" w:type="dxa"/>
              <w:start w:w="70" w:type="dxa"/>
              <w:bottom w:w="55" w:type="dxa"/>
              <w:end w:w="70" w:type="dxa"/>
            </w:tcMar>
          </w:tcPr>
          <w:p>
            <w:pPr>
              <w:spacing w:after="0" w:before="0" w:line="240" w:lineRule="auto"/>
            </w:pPr>
            <w:r>
              <w:rPr>
                <w:rFonts w:ascii="Arial" w:hAnsi="Arial"/>
                <w:sz w:val="14"/>
              </w:rPr>
              <w:t>101</w:t>
            </w:r>
          </w:p>
        </w:tc>
        <w:tc>
          <w:tcPr>
            <w:tcW w:type="dxa" w:w="6696"/>
            <w:vAlign w:val="center"/>
            <w:tcMar>
              <w:top w:w="55" w:type="dxa"/>
              <w:start w:w="70" w:type="dxa"/>
              <w:bottom w:w="55" w:type="dxa"/>
              <w:end w:w="70" w:type="dxa"/>
            </w:tcMar>
          </w:tcPr>
          <w:p>
            <w:pPr>
              <w:spacing w:after="0" w:before="0" w:line="240" w:lineRule="auto"/>
            </w:pPr>
            <w:r>
              <w:rPr>
                <w:rFonts w:ascii="Arial" w:hAnsi="Arial"/>
                <w:sz w:val="14"/>
              </w:rPr>
              <w:t>Enhancing the diagnostic capacity of [18F]PSMA-1007 PET/MRI in primary prostate cancer staging with artificial intelligence and semi-quantitative DCE: an exploratory study. (2024)</w:t>
            </w:r>
          </w:p>
        </w:tc>
        <w:tc>
          <w:tcPr>
            <w:tcW w:type="dxa" w:w="2376"/>
            <w:vAlign w:val="center"/>
            <w:tcMar>
              <w:top w:w="55" w:type="dxa"/>
              <w:start w:w="70" w:type="dxa"/>
              <w:bottom w:w="55" w:type="dxa"/>
              <w:end w:w="70" w:type="dxa"/>
            </w:tcMar>
          </w:tcPr>
          <w:p>
            <w:pPr>
              <w:spacing w:after="0" w:before="0" w:line="240" w:lineRule="auto"/>
            </w:pPr>
            <w:r>
              <w:rPr>
                <w:rFonts w:ascii="Arial" w:hAnsi="Arial"/>
                <w:sz w:val="14"/>
              </w:rPr>
              <w:t>Seven-patient feasibility study focused on intraprostatic detection</w:t>
            </w:r>
          </w:p>
        </w:tc>
      </w:tr>
      <w:tr>
        <w:trPr>
          <w:cantSplit/>
          <w:trHeight w:hRule="atLeast"/>
        </w:trPr>
        <w:tc>
          <w:tcPr>
            <w:tcW w:type="dxa" w:w="936"/>
            <w:vAlign w:val="center"/>
            <w:tcMar>
              <w:top w:w="55" w:type="dxa"/>
              <w:start w:w="70" w:type="dxa"/>
              <w:bottom w:w="55" w:type="dxa"/>
              <w:end w:w="70" w:type="dxa"/>
            </w:tcMar>
          </w:tcPr>
          <w:p>
            <w:pPr>
              <w:spacing w:after="0" w:before="0" w:line="240" w:lineRule="auto"/>
            </w:pPr>
            <w:r>
              <w:rPr>
                <w:rFonts w:ascii="Arial" w:hAnsi="Arial"/>
                <w:sz w:val="14"/>
              </w:rPr>
              <w:t>114</w:t>
            </w:r>
          </w:p>
        </w:tc>
        <w:tc>
          <w:tcPr>
            <w:tcW w:type="dxa" w:w="6696"/>
            <w:vAlign w:val="center"/>
            <w:tcMar>
              <w:top w:w="55" w:type="dxa"/>
              <w:start w:w="70" w:type="dxa"/>
              <w:bottom w:w="55" w:type="dxa"/>
              <w:end w:w="70" w:type="dxa"/>
            </w:tcMar>
          </w:tcPr>
          <w:p>
            <w:pPr>
              <w:spacing w:after="0" w:before="0" w:line="240" w:lineRule="auto"/>
            </w:pPr>
            <w:r>
              <w:rPr>
                <w:rFonts w:ascii="Arial" w:hAnsi="Arial"/>
                <w:sz w:val="14"/>
              </w:rPr>
              <w:t>Machine learning models for enhanced diagnosis and risk assessment of prostate cancer with 68Ga-PSMA-617 PET/CT. (2025)</w:t>
            </w:r>
          </w:p>
        </w:tc>
        <w:tc>
          <w:tcPr>
            <w:tcW w:type="dxa" w:w="2376"/>
            <w:vAlign w:val="center"/>
            <w:tcMar>
              <w:top w:w="55" w:type="dxa"/>
              <w:start w:w="70" w:type="dxa"/>
              <w:bottom w:w="55" w:type="dxa"/>
              <w:end w:w="70" w:type="dxa"/>
            </w:tcMar>
          </w:tcPr>
          <w:p>
            <w:pPr>
              <w:spacing w:after="0" w:before="0" w:line="240" w:lineRule="auto"/>
            </w:pPr>
            <w:r>
              <w:rPr>
                <w:rFonts w:ascii="Arial" w:hAnsi="Arial"/>
                <w:sz w:val="14"/>
              </w:rPr>
              <w:t>Diagnostic/risk classification endpoint without nodal or post-RP outcome</w:t>
            </w:r>
          </w:p>
        </w:tc>
      </w:tr>
      <w:tr>
        <w:trPr>
          <w:cantSplit/>
          <w:trHeight w:hRule="atLeast"/>
        </w:trPr>
        <w:tc>
          <w:tcPr>
            <w:tcW w:type="dxa" w:w="936"/>
            <w:vAlign w:val="center"/>
            <w:tcMar>
              <w:top w:w="55" w:type="dxa"/>
              <w:start w:w="70" w:type="dxa"/>
              <w:bottom w:w="55" w:type="dxa"/>
              <w:end w:w="70" w:type="dxa"/>
            </w:tcMar>
          </w:tcPr>
          <w:p>
            <w:pPr>
              <w:spacing w:after="0" w:before="0" w:line="240" w:lineRule="auto"/>
            </w:pPr>
            <w:r>
              <w:rPr>
                <w:rFonts w:ascii="Arial" w:hAnsi="Arial"/>
                <w:sz w:val="14"/>
              </w:rPr>
              <w:t>118</w:t>
            </w:r>
          </w:p>
        </w:tc>
        <w:tc>
          <w:tcPr>
            <w:tcW w:type="dxa" w:w="6696"/>
            <w:vAlign w:val="center"/>
            <w:tcMar>
              <w:top w:w="55" w:type="dxa"/>
              <w:start w:w="70" w:type="dxa"/>
              <w:bottom w:w="55" w:type="dxa"/>
              <w:end w:w="70" w:type="dxa"/>
            </w:tcMar>
          </w:tcPr>
          <w:p>
            <w:pPr>
              <w:spacing w:after="0" w:before="0" w:line="240" w:lineRule="auto"/>
            </w:pPr>
            <w:r>
              <w:rPr>
                <w:rFonts w:ascii="Arial" w:hAnsi="Arial"/>
                <w:sz w:val="14"/>
              </w:rPr>
              <w:t>Computer-Aided Detection (CADe) of Small Metastatic Prostate Cancer Lesions on 3D PSMA PET Volumes Using Multi-Angle Maximum Intensity Projections. (2025)</w:t>
            </w:r>
          </w:p>
        </w:tc>
        <w:tc>
          <w:tcPr>
            <w:tcW w:type="dxa" w:w="2376"/>
            <w:vAlign w:val="center"/>
            <w:tcMar>
              <w:top w:w="55" w:type="dxa"/>
              <w:start w:w="70" w:type="dxa"/>
              <w:bottom w:w="55" w:type="dxa"/>
              <w:end w:w="70" w:type="dxa"/>
            </w:tcMar>
          </w:tcPr>
          <w:p>
            <w:pPr>
              <w:spacing w:after="0" w:before="0" w:line="240" w:lineRule="auto"/>
            </w:pPr>
            <w:r>
              <w:rPr>
                <w:rFonts w:ascii="Arial" w:hAnsi="Arial"/>
                <w:sz w:val="14"/>
              </w:rPr>
              <w:t>Technical lesion-detection study without nodal/ePLND decision endpoint</w:t>
            </w:r>
          </w:p>
        </w:tc>
      </w:tr>
      <w:tr>
        <w:trPr>
          <w:cantSplit/>
          <w:trHeight w:hRule="atLeast"/>
        </w:trPr>
        <w:tc>
          <w:tcPr>
            <w:tcW w:type="dxa" w:w="936"/>
            <w:vAlign w:val="center"/>
            <w:tcMar>
              <w:top w:w="55" w:type="dxa"/>
              <w:start w:w="70" w:type="dxa"/>
              <w:bottom w:w="55" w:type="dxa"/>
              <w:end w:w="70" w:type="dxa"/>
            </w:tcMar>
          </w:tcPr>
          <w:p>
            <w:pPr>
              <w:spacing w:after="0" w:before="0" w:line="240" w:lineRule="auto"/>
            </w:pPr>
            <w:r>
              <w:rPr>
                <w:rFonts w:ascii="Arial" w:hAnsi="Arial"/>
                <w:sz w:val="14"/>
              </w:rPr>
              <w:t>123</w:t>
            </w:r>
          </w:p>
        </w:tc>
        <w:tc>
          <w:tcPr>
            <w:tcW w:type="dxa" w:w="6696"/>
            <w:vAlign w:val="center"/>
            <w:tcMar>
              <w:top w:w="55" w:type="dxa"/>
              <w:start w:w="70" w:type="dxa"/>
              <w:bottom w:w="55" w:type="dxa"/>
              <w:end w:w="70" w:type="dxa"/>
            </w:tcMar>
          </w:tcPr>
          <w:p>
            <w:pPr>
              <w:spacing w:after="0" w:before="0" w:line="240" w:lineRule="auto"/>
            </w:pPr>
            <w:r>
              <w:rPr>
                <w:rFonts w:ascii="Arial" w:hAnsi="Arial"/>
                <w:sz w:val="14"/>
              </w:rPr>
              <w:t>The Role of Radiomics and Artificial Intelligence Applied to Staging PSMA PET in Assessing Prostate Cancer Aggressiveness. (2025)</w:t>
            </w:r>
          </w:p>
        </w:tc>
        <w:tc>
          <w:tcPr>
            <w:tcW w:type="dxa" w:w="2376"/>
            <w:vAlign w:val="center"/>
            <w:tcMar>
              <w:top w:w="55" w:type="dxa"/>
              <w:start w:w="70" w:type="dxa"/>
              <w:bottom w:w="55" w:type="dxa"/>
              <w:end w:w="70" w:type="dxa"/>
            </w:tcMar>
          </w:tcPr>
          <w:p>
            <w:pPr>
              <w:spacing w:after="0" w:before="0" w:line="240" w:lineRule="auto"/>
            </w:pPr>
            <w:r>
              <w:rPr>
                <w:rFonts w:ascii="Arial" w:hAnsi="Arial"/>
                <w:sz w:val="14"/>
              </w:rPr>
              <w:t>Narrative review rather than an original study</w:t>
            </w:r>
          </w:p>
        </w:tc>
      </w:tr>
      <w:tr>
        <w:trPr>
          <w:cantSplit/>
          <w:trHeight w:hRule="atLeast"/>
        </w:trPr>
        <w:tc>
          <w:tcPr>
            <w:tcW w:type="dxa" w:w="936"/>
            <w:vAlign w:val="center"/>
            <w:tcMar>
              <w:top w:w="55" w:type="dxa"/>
              <w:start w:w="70" w:type="dxa"/>
              <w:bottom w:w="55" w:type="dxa"/>
              <w:end w:w="70" w:type="dxa"/>
            </w:tcMar>
          </w:tcPr>
          <w:p>
            <w:pPr>
              <w:spacing w:after="0" w:before="0" w:line="240" w:lineRule="auto"/>
            </w:pPr>
            <w:r>
              <w:rPr>
                <w:rFonts w:ascii="Arial" w:hAnsi="Arial"/>
                <w:sz w:val="14"/>
              </w:rPr>
              <w:t>134</w:t>
            </w:r>
          </w:p>
        </w:tc>
        <w:tc>
          <w:tcPr>
            <w:tcW w:type="dxa" w:w="6696"/>
            <w:vAlign w:val="center"/>
            <w:tcMar>
              <w:top w:w="55" w:type="dxa"/>
              <w:start w:w="70" w:type="dxa"/>
              <w:bottom w:w="55" w:type="dxa"/>
              <w:end w:w="70" w:type="dxa"/>
            </w:tcMar>
          </w:tcPr>
          <w:p>
            <w:pPr>
              <w:spacing w:after="0" w:before="0" w:line="240" w:lineRule="auto"/>
            </w:pPr>
            <w:r>
              <w:rPr>
                <w:rFonts w:ascii="Arial" w:hAnsi="Arial"/>
                <w:sz w:val="14"/>
              </w:rPr>
              <w:t>Integrating 68Ga-PSMA-11 PET/CT with Clinical Risk Factors for Enhanced Prostate Cancer Progression Prediction. (2025)</w:t>
            </w:r>
          </w:p>
        </w:tc>
        <w:tc>
          <w:tcPr>
            <w:tcW w:type="dxa" w:w="2376"/>
            <w:vAlign w:val="center"/>
            <w:tcMar>
              <w:top w:w="55" w:type="dxa"/>
              <w:start w:w="70" w:type="dxa"/>
              <w:bottom w:w="55" w:type="dxa"/>
              <w:end w:w="70" w:type="dxa"/>
            </w:tcMar>
          </w:tcPr>
          <w:p>
            <w:pPr>
              <w:spacing w:after="0" w:before="0" w:line="240" w:lineRule="auto"/>
            </w:pPr>
            <w:r>
              <w:rPr>
                <w:rFonts w:ascii="Arial" w:hAnsi="Arial"/>
                <w:sz w:val="14"/>
              </w:rPr>
              <w:t>Composite progression model not specific to nodal staging or post-RP BCR</w:t>
            </w:r>
          </w:p>
        </w:tc>
      </w:tr>
      <w:tr>
        <w:trPr>
          <w:cantSplit/>
          <w:trHeight w:hRule="atLeast"/>
        </w:trPr>
        <w:tc>
          <w:tcPr>
            <w:tcW w:type="dxa" w:w="936"/>
            <w:vAlign w:val="center"/>
            <w:tcMar>
              <w:top w:w="55" w:type="dxa"/>
              <w:start w:w="70" w:type="dxa"/>
              <w:bottom w:w="55" w:type="dxa"/>
              <w:end w:w="70" w:type="dxa"/>
            </w:tcMar>
          </w:tcPr>
          <w:p>
            <w:pPr>
              <w:spacing w:after="0" w:before="0" w:line="240" w:lineRule="auto"/>
            </w:pPr>
            <w:r>
              <w:rPr>
                <w:rFonts w:ascii="Arial" w:hAnsi="Arial"/>
                <w:sz w:val="14"/>
              </w:rPr>
              <w:t>151</w:t>
            </w:r>
          </w:p>
        </w:tc>
        <w:tc>
          <w:tcPr>
            <w:tcW w:type="dxa" w:w="6696"/>
            <w:vAlign w:val="center"/>
            <w:tcMar>
              <w:top w:w="55" w:type="dxa"/>
              <w:start w:w="70" w:type="dxa"/>
              <w:bottom w:w="55" w:type="dxa"/>
              <w:end w:w="70" w:type="dxa"/>
            </w:tcMar>
          </w:tcPr>
          <w:p>
            <w:pPr>
              <w:spacing w:after="0" w:before="0" w:line="240" w:lineRule="auto"/>
            </w:pPr>
            <w:r>
              <w:rPr>
                <w:rFonts w:ascii="Arial" w:hAnsi="Arial"/>
                <w:sz w:val="14"/>
              </w:rPr>
              <w:t>Multimodal integration of [18F]PSMA-1007 PET/CT semiquantitative parameters and clinicopathological data for predicting prostate cancer metastasis. (2025)</w:t>
            </w:r>
          </w:p>
        </w:tc>
        <w:tc>
          <w:tcPr>
            <w:tcW w:type="dxa" w:w="2376"/>
            <w:vAlign w:val="center"/>
            <w:tcMar>
              <w:top w:w="55" w:type="dxa"/>
              <w:start w:w="70" w:type="dxa"/>
              <w:bottom w:w="55" w:type="dxa"/>
              <w:end w:w="70" w:type="dxa"/>
            </w:tcMar>
          </w:tcPr>
          <w:p>
            <w:pPr>
              <w:spacing w:after="0" w:before="0" w:line="240" w:lineRule="auto"/>
            </w:pPr>
            <w:r>
              <w:rPr>
                <w:rFonts w:ascii="Arial" w:hAnsi="Arial"/>
                <w:sz w:val="14"/>
              </w:rPr>
              <w:t>Radiologic metastasis label without pN1 reference or post-RP outcome</w:t>
            </w:r>
          </w:p>
        </w:tc>
      </w:tr>
      <w:tr>
        <w:trPr>
          <w:cantSplit/>
          <w:trHeight w:hRule="atLeast"/>
        </w:trPr>
        <w:tc>
          <w:tcPr>
            <w:tcW w:type="dxa" w:w="936"/>
            <w:vAlign w:val="center"/>
            <w:tcMar>
              <w:top w:w="55" w:type="dxa"/>
              <w:start w:w="70" w:type="dxa"/>
              <w:bottom w:w="55" w:type="dxa"/>
              <w:end w:w="70" w:type="dxa"/>
            </w:tcMar>
          </w:tcPr>
          <w:p>
            <w:pPr>
              <w:spacing w:after="0" w:before="0" w:line="240" w:lineRule="auto"/>
            </w:pPr>
            <w:r>
              <w:rPr>
                <w:rFonts w:ascii="Arial" w:hAnsi="Arial"/>
                <w:sz w:val="14"/>
              </w:rPr>
              <w:t>174</w:t>
            </w:r>
          </w:p>
        </w:tc>
        <w:tc>
          <w:tcPr>
            <w:tcW w:type="dxa" w:w="6696"/>
            <w:vAlign w:val="center"/>
            <w:tcMar>
              <w:top w:w="55" w:type="dxa"/>
              <w:start w:w="70" w:type="dxa"/>
              <w:bottom w:w="55" w:type="dxa"/>
              <w:end w:w="70" w:type="dxa"/>
            </w:tcMar>
          </w:tcPr>
          <w:p>
            <w:pPr>
              <w:spacing w:after="0" w:before="0" w:line="240" w:lineRule="auto"/>
            </w:pPr>
            <w:r>
              <w:rPr>
                <w:rFonts w:ascii="Arial" w:hAnsi="Arial"/>
                <w:sz w:val="14"/>
              </w:rPr>
              <w:t>A comparison of dimensionality reduction approaches for pre-treatment PSMA-PET/CT radiomics in prostate adenocarcinoma outcome prediction. (2026)</w:t>
            </w:r>
          </w:p>
        </w:tc>
        <w:tc>
          <w:tcPr>
            <w:tcW w:type="dxa" w:w="2376"/>
            <w:vAlign w:val="center"/>
            <w:tcMar>
              <w:top w:w="55" w:type="dxa"/>
              <w:start w:w="70" w:type="dxa"/>
              <w:bottom w:w="55" w:type="dxa"/>
              <w:end w:w="70" w:type="dxa"/>
            </w:tcMar>
          </w:tcPr>
          <w:p>
            <w:pPr>
              <w:spacing w:after="0" w:before="0" w:line="240" w:lineRule="auto"/>
            </w:pPr>
            <w:r>
              <w:rPr>
                <w:rFonts w:ascii="Arial" w:hAnsi="Arial"/>
                <w:sz w:val="14"/>
              </w:rPr>
              <w:t>Radiotherapy MFS analysis overlapping an included cohort/report</w:t>
            </w:r>
          </w:p>
        </w:tc>
      </w:tr>
      <w:tr>
        <w:trPr>
          <w:cantSplit/>
          <w:trHeight w:hRule="atLeast"/>
        </w:trPr>
        <w:tc>
          <w:tcPr>
            <w:tcW w:type="dxa" w:w="936"/>
            <w:vAlign w:val="center"/>
            <w:tcMar>
              <w:top w:w="55" w:type="dxa"/>
              <w:start w:w="70" w:type="dxa"/>
              <w:bottom w:w="55" w:type="dxa"/>
              <w:end w:w="70" w:type="dxa"/>
            </w:tcMar>
          </w:tcPr>
          <w:p>
            <w:pPr>
              <w:spacing w:after="0" w:before="0" w:line="240" w:lineRule="auto"/>
            </w:pPr>
            <w:r>
              <w:rPr>
                <w:rFonts w:ascii="Arial" w:hAnsi="Arial"/>
                <w:sz w:val="14"/>
              </w:rPr>
              <w:t>175</w:t>
            </w:r>
          </w:p>
        </w:tc>
        <w:tc>
          <w:tcPr>
            <w:tcW w:type="dxa" w:w="6696"/>
            <w:vAlign w:val="center"/>
            <w:tcMar>
              <w:top w:w="55" w:type="dxa"/>
              <w:start w:w="70" w:type="dxa"/>
              <w:bottom w:w="55" w:type="dxa"/>
              <w:end w:w="70" w:type="dxa"/>
            </w:tcMar>
          </w:tcPr>
          <w:p>
            <w:pPr>
              <w:spacing w:after="0" w:before="0" w:line="240" w:lineRule="auto"/>
            </w:pPr>
            <w:r>
              <w:rPr>
                <w:rFonts w:ascii="Arial" w:hAnsi="Arial"/>
                <w:sz w:val="14"/>
              </w:rPr>
              <w:t>Therapeutic impact of 18F-PSMA-1007 PET/MRI in staging intermediate/high-risk prostate cancer patients: Imaging biomarkers and radiomic analysis associated with tumor aggressiveness. (2026)</w:t>
            </w:r>
          </w:p>
        </w:tc>
        <w:tc>
          <w:tcPr>
            <w:tcW w:type="dxa" w:w="2376"/>
            <w:vAlign w:val="center"/>
            <w:tcMar>
              <w:top w:w="55" w:type="dxa"/>
              <w:start w:w="70" w:type="dxa"/>
              <w:bottom w:w="55" w:type="dxa"/>
              <w:end w:w="70" w:type="dxa"/>
            </w:tcMar>
          </w:tcPr>
          <w:p>
            <w:pPr>
              <w:spacing w:after="0" w:before="0" w:line="240" w:lineRule="auto"/>
            </w:pPr>
            <w:r>
              <w:rPr>
                <w:rFonts w:ascii="Arial" w:hAnsi="Arial"/>
                <w:sz w:val="14"/>
              </w:rPr>
              <w:t>Tumour aggressiveness only; no nodal or post-RP outcome</w:t>
            </w:r>
          </w:p>
        </w:tc>
      </w:tr>
      <w:tr>
        <w:trPr>
          <w:cantSplit/>
          <w:trHeight w:hRule="atLeast"/>
        </w:trPr>
        <w:tc>
          <w:tcPr>
            <w:tcW w:type="dxa" w:w="936"/>
            <w:vAlign w:val="center"/>
            <w:tcMar>
              <w:top w:w="55" w:type="dxa"/>
              <w:start w:w="70" w:type="dxa"/>
              <w:bottom w:w="55" w:type="dxa"/>
              <w:end w:w="70" w:type="dxa"/>
            </w:tcMar>
          </w:tcPr>
          <w:p>
            <w:pPr>
              <w:spacing w:after="0" w:before="0" w:line="240" w:lineRule="auto"/>
            </w:pPr>
            <w:r>
              <w:rPr>
                <w:rFonts w:ascii="Arial" w:hAnsi="Arial"/>
                <w:sz w:val="14"/>
              </w:rPr>
              <w:t>241</w:t>
            </w:r>
          </w:p>
        </w:tc>
        <w:tc>
          <w:tcPr>
            <w:tcW w:type="dxa" w:w="6696"/>
            <w:vAlign w:val="center"/>
            <w:tcMar>
              <w:top w:w="55" w:type="dxa"/>
              <w:start w:w="70" w:type="dxa"/>
              <w:bottom w:w="55" w:type="dxa"/>
              <w:end w:w="70" w:type="dxa"/>
            </w:tcMar>
          </w:tcPr>
          <w:p>
            <w:pPr>
              <w:spacing w:after="0" w:before="0" w:line="240" w:lineRule="auto"/>
            </w:pPr>
            <w:r>
              <w:rPr>
                <w:rFonts w:ascii="Arial" w:hAnsi="Arial"/>
                <w:sz w:val="14"/>
              </w:rPr>
              <w:t>An Artificial Intelligence-based Multimodality-Integration for Precise Prediction of Prostate Cancer Lymph Node Metastasis: A Retrospective Two-center Study (2020)</w:t>
            </w:r>
          </w:p>
        </w:tc>
        <w:tc>
          <w:tcPr>
            <w:tcW w:type="dxa" w:w="2376"/>
            <w:vAlign w:val="center"/>
            <w:tcMar>
              <w:top w:w="55" w:type="dxa"/>
              <w:start w:w="70" w:type="dxa"/>
              <w:bottom w:w="55" w:type="dxa"/>
              <w:end w:w="70" w:type="dxa"/>
            </w:tcMar>
          </w:tcPr>
          <w:p>
            <w:pPr>
              <w:spacing w:after="0" w:before="0" w:line="240" w:lineRule="auto"/>
            </w:pPr>
            <w:r>
              <w:rPr>
                <w:rFonts w:ascii="Arial" w:hAnsi="Arial"/>
                <w:sz w:val="14"/>
              </w:rPr>
              <w:t>Preprint/earlier report superseded by an included peer-reviewed publication</w:t>
            </w:r>
          </w:p>
        </w:tc>
      </w:tr>
      <w:tr>
        <w:trPr>
          <w:cantSplit/>
          <w:trHeight w:hRule="atLeast"/>
        </w:trPr>
        <w:tc>
          <w:tcPr>
            <w:tcW w:type="dxa" w:w="936"/>
            <w:vAlign w:val="center"/>
            <w:tcMar>
              <w:top w:w="55" w:type="dxa"/>
              <w:start w:w="70" w:type="dxa"/>
              <w:bottom w:w="55" w:type="dxa"/>
              <w:end w:w="70" w:type="dxa"/>
            </w:tcMar>
          </w:tcPr>
          <w:p>
            <w:pPr>
              <w:spacing w:after="0" w:before="0" w:line="240" w:lineRule="auto"/>
            </w:pPr>
            <w:r>
              <w:rPr>
                <w:rFonts w:ascii="Arial" w:hAnsi="Arial"/>
                <w:sz w:val="14"/>
              </w:rPr>
              <w:t>243</w:t>
            </w:r>
          </w:p>
        </w:tc>
        <w:tc>
          <w:tcPr>
            <w:tcW w:type="dxa" w:w="6696"/>
            <w:vAlign w:val="center"/>
            <w:tcMar>
              <w:top w:w="55" w:type="dxa"/>
              <w:start w:w="70" w:type="dxa"/>
              <w:bottom w:w="55" w:type="dxa"/>
              <w:end w:w="70" w:type="dxa"/>
            </w:tcMar>
          </w:tcPr>
          <w:p>
            <w:pPr>
              <w:spacing w:after="0" w:before="0" w:line="240" w:lineRule="auto"/>
            </w:pPr>
            <w:r>
              <w:rPr>
                <w:rFonts w:ascii="Arial" w:hAnsi="Arial"/>
                <w:sz w:val="14"/>
              </w:rPr>
              <w:t>A Deep Learning-Aided Decision-Support Tool for Precise Prediction of Lymph Node Metastasis in Patients with Prostate Cancer (2020)</w:t>
            </w:r>
          </w:p>
        </w:tc>
        <w:tc>
          <w:tcPr>
            <w:tcW w:type="dxa" w:w="2376"/>
            <w:vAlign w:val="center"/>
            <w:tcMar>
              <w:top w:w="55" w:type="dxa"/>
              <w:start w:w="70" w:type="dxa"/>
              <w:bottom w:w="55" w:type="dxa"/>
              <w:end w:w="70" w:type="dxa"/>
            </w:tcMar>
          </w:tcPr>
          <w:p>
            <w:pPr>
              <w:spacing w:after="0" w:before="0" w:line="240" w:lineRule="auto"/>
            </w:pPr>
            <w:r>
              <w:rPr>
                <w:rFonts w:ascii="Arial" w:hAnsi="Arial"/>
                <w:sz w:val="14"/>
              </w:rPr>
              <w:t>Preprint/earlier report superseded by an included peer-reviewed publication</w:t>
            </w:r>
          </w:p>
        </w:tc>
      </w:tr>
    </w:tbl>
    <w:p>
      <w:pPr>
        <w:pStyle w:val="Heading1"/>
      </w:pPr>
      <w:r>
        <w:t>Supplementary Table S7. PRISMA-ScR checklist</w:t>
      </w:r>
    </w:p>
    <w:tbl>
      <w:tblPr>
        <w:tblStyle w:val="TableGrid"/>
        <w:tblW w:type="dxa" w:w="10008"/>
        <w:jc w:val="center"/>
        <w:tblLayout w:type="fixed"/>
        <w:tblLook w:firstColumn="1" w:firstRow="1" w:lastColumn="0" w:lastRow="0" w:noHBand="0" w:noVBand="1" w:val="04A0"/>
        <w:tblInd w:w="70" w:type="dxa"/>
      </w:tblPr>
      <w:tblGrid>
        <w:gridCol w:w="1008"/>
        <w:gridCol w:w="6768"/>
        <w:gridCol w:w="2232"/>
      </w:tblGrid>
      <w:tr>
        <w:trPr>
          <w:cantSplit/>
          <w:trHeight w:hRule="atLeast"/>
          <w:tblHeader w:val="true"/>
        </w:trPr>
        <w:tc>
          <w:tcPr>
            <w:tcW w:type="dxa" w:w="1008"/>
            <w:vAlign w:val="center"/>
            <w:tcMar>
              <w:top w:w="55" w:type="dxa"/>
              <w:start w:w="70" w:type="dxa"/>
              <w:bottom w:w="55" w:type="dxa"/>
              <w:end w:w="70" w:type="dxa"/>
            </w:tcMar>
          </w:tcPr>
          <w:p>
            <w:pPr>
              <w:spacing w:after="0" w:before="0" w:line="240" w:lineRule="auto"/>
            </w:pPr>
            <w:r>
              <w:rPr>
                <w:rFonts w:ascii="Arial" w:hAnsi="Arial"/>
                <w:b/>
                <w:color w:val="000000"/>
                <w:sz w:val="14"/>
              </w:rPr>
              <w:t>Item</w:t>
            </w:r>
          </w:p>
        </w:tc>
        <w:tc>
          <w:tcPr>
            <w:tcW w:type="dxa" w:w="6768"/>
            <w:vAlign w:val="center"/>
            <w:tcMar>
              <w:top w:w="55" w:type="dxa"/>
              <w:start w:w="70" w:type="dxa"/>
              <w:bottom w:w="55" w:type="dxa"/>
              <w:end w:w="70" w:type="dxa"/>
            </w:tcMar>
          </w:tcPr>
          <w:p>
            <w:pPr>
              <w:spacing w:after="0" w:before="0" w:line="240" w:lineRule="auto"/>
            </w:pPr>
            <w:r>
              <w:rPr>
                <w:rFonts w:ascii="Arial" w:hAnsi="Arial"/>
                <w:b/>
                <w:color w:val="000000"/>
                <w:sz w:val="14"/>
              </w:rPr>
              <w:t>PRISMA-ScR element</w:t>
            </w:r>
          </w:p>
        </w:tc>
        <w:tc>
          <w:tcPr>
            <w:tcW w:type="dxa" w:w="2232"/>
            <w:vAlign w:val="center"/>
            <w:tcMar>
              <w:top w:w="55" w:type="dxa"/>
              <w:start w:w="70" w:type="dxa"/>
              <w:bottom w:w="55" w:type="dxa"/>
              <w:end w:w="70" w:type="dxa"/>
            </w:tcMar>
          </w:tcPr>
          <w:p>
            <w:pPr>
              <w:spacing w:after="0" w:before="0" w:line="240" w:lineRule="auto"/>
            </w:pPr>
            <w:r>
              <w:rPr>
                <w:rFonts w:ascii="Arial" w:hAnsi="Arial"/>
                <w:b/>
                <w:color w:val="000000"/>
                <w:sz w:val="14"/>
              </w:rPr>
              <w:t>Location</w:t>
            </w:r>
          </w:p>
        </w:tc>
      </w:tr>
      <w:tr>
        <w:trPr>
          <w:cantSplit/>
          <w:trHeight w:hRule="atLeast"/>
        </w:trPr>
        <w:tc>
          <w:tcPr>
            <w:tcW w:type="dxa" w:w="1008"/>
            <w:vAlign w:val="center"/>
            <w:tcMar>
              <w:top w:w="55" w:type="dxa"/>
              <w:start w:w="70" w:type="dxa"/>
              <w:bottom w:w="55" w:type="dxa"/>
              <w:end w:w="70" w:type="dxa"/>
            </w:tcMar>
          </w:tcPr>
          <w:p>
            <w:pPr>
              <w:spacing w:after="0" w:before="0" w:line="240" w:lineRule="auto"/>
            </w:pPr>
            <w:r>
              <w:rPr>
                <w:rFonts w:ascii="Arial" w:hAnsi="Arial"/>
                <w:sz w:val="14"/>
              </w:rPr>
              <w:t>1</w:t>
            </w:r>
          </w:p>
        </w:tc>
        <w:tc>
          <w:tcPr>
            <w:tcW w:type="dxa" w:w="6768"/>
            <w:vAlign w:val="center"/>
            <w:tcMar>
              <w:top w:w="55" w:type="dxa"/>
              <w:start w:w="70" w:type="dxa"/>
              <w:bottom w:w="55" w:type="dxa"/>
              <w:end w:w="70" w:type="dxa"/>
            </w:tcMar>
          </w:tcPr>
          <w:p>
            <w:pPr>
              <w:spacing w:after="0" w:before="0" w:line="240" w:lineRule="auto"/>
            </w:pPr>
            <w:r>
              <w:rPr>
                <w:rFonts w:ascii="Arial" w:hAnsi="Arial"/>
                <w:sz w:val="14"/>
              </w:rPr>
              <w:t>Title</w:t>
            </w:r>
          </w:p>
        </w:tc>
        <w:tc>
          <w:tcPr>
            <w:tcW w:type="dxa" w:w="2232"/>
            <w:vAlign w:val="center"/>
            <w:tcMar>
              <w:top w:w="55" w:type="dxa"/>
              <w:start w:w="70" w:type="dxa"/>
              <w:bottom w:w="55" w:type="dxa"/>
              <w:end w:w="70" w:type="dxa"/>
            </w:tcMar>
          </w:tcPr>
          <w:p>
            <w:pPr>
              <w:spacing w:after="0" w:before="0" w:line="240" w:lineRule="auto"/>
            </w:pPr>
            <w:r>
              <w:rPr>
                <w:rFonts w:ascii="Arial" w:hAnsi="Arial"/>
                <w:sz w:val="14"/>
              </w:rPr>
              <w:t>Title</w:t>
            </w:r>
          </w:p>
        </w:tc>
      </w:tr>
      <w:tr>
        <w:trPr>
          <w:cantSplit/>
          <w:trHeight w:hRule="atLeast"/>
        </w:trPr>
        <w:tc>
          <w:tcPr>
            <w:tcW w:type="dxa" w:w="1008"/>
            <w:vAlign w:val="center"/>
            <w:tcMar>
              <w:top w:w="55" w:type="dxa"/>
              <w:start w:w="70" w:type="dxa"/>
              <w:bottom w:w="55" w:type="dxa"/>
              <w:end w:w="70" w:type="dxa"/>
            </w:tcMar>
          </w:tcPr>
          <w:p>
            <w:pPr>
              <w:spacing w:after="0" w:before="0" w:line="240" w:lineRule="auto"/>
            </w:pPr>
            <w:r>
              <w:rPr>
                <w:rFonts w:ascii="Arial" w:hAnsi="Arial"/>
                <w:sz w:val="14"/>
              </w:rPr>
              <w:t>2</w:t>
            </w:r>
          </w:p>
        </w:tc>
        <w:tc>
          <w:tcPr>
            <w:tcW w:type="dxa" w:w="6768"/>
            <w:vAlign w:val="center"/>
            <w:tcMar>
              <w:top w:w="55" w:type="dxa"/>
              <w:start w:w="70" w:type="dxa"/>
              <w:bottom w:w="55" w:type="dxa"/>
              <w:end w:w="70" w:type="dxa"/>
            </w:tcMar>
          </w:tcPr>
          <w:p>
            <w:pPr>
              <w:spacing w:after="0" w:before="0" w:line="240" w:lineRule="auto"/>
            </w:pPr>
            <w:r>
              <w:rPr>
                <w:rFonts w:ascii="Arial" w:hAnsi="Arial"/>
                <w:sz w:val="14"/>
              </w:rPr>
              <w:t>Structured summary</w:t>
            </w:r>
          </w:p>
        </w:tc>
        <w:tc>
          <w:tcPr>
            <w:tcW w:type="dxa" w:w="2232"/>
            <w:vAlign w:val="center"/>
            <w:tcMar>
              <w:top w:w="55" w:type="dxa"/>
              <w:start w:w="70" w:type="dxa"/>
              <w:bottom w:w="55" w:type="dxa"/>
              <w:end w:w="70" w:type="dxa"/>
            </w:tcMar>
          </w:tcPr>
          <w:p>
            <w:pPr>
              <w:spacing w:after="0" w:before="0" w:line="240" w:lineRule="auto"/>
            </w:pPr>
            <w:r>
              <w:rPr>
                <w:rFonts w:ascii="Arial" w:hAnsi="Arial"/>
                <w:sz w:val="14"/>
              </w:rPr>
              <w:t>Abstract</w:t>
            </w:r>
          </w:p>
        </w:tc>
      </w:tr>
      <w:tr>
        <w:trPr>
          <w:cantSplit/>
          <w:trHeight w:hRule="atLeast"/>
        </w:trPr>
        <w:tc>
          <w:tcPr>
            <w:tcW w:type="dxa" w:w="1008"/>
            <w:vAlign w:val="center"/>
            <w:tcMar>
              <w:top w:w="55" w:type="dxa"/>
              <w:start w:w="70" w:type="dxa"/>
              <w:bottom w:w="55" w:type="dxa"/>
              <w:end w:w="70" w:type="dxa"/>
            </w:tcMar>
          </w:tcPr>
          <w:p>
            <w:pPr>
              <w:spacing w:after="0" w:before="0" w:line="240" w:lineRule="auto"/>
            </w:pPr>
            <w:r>
              <w:rPr>
                <w:rFonts w:ascii="Arial" w:hAnsi="Arial"/>
                <w:sz w:val="14"/>
              </w:rPr>
              <w:t>3</w:t>
            </w:r>
          </w:p>
        </w:tc>
        <w:tc>
          <w:tcPr>
            <w:tcW w:type="dxa" w:w="6768"/>
            <w:vAlign w:val="center"/>
            <w:tcMar>
              <w:top w:w="55" w:type="dxa"/>
              <w:start w:w="70" w:type="dxa"/>
              <w:bottom w:w="55" w:type="dxa"/>
              <w:end w:w="70" w:type="dxa"/>
            </w:tcMar>
          </w:tcPr>
          <w:p>
            <w:pPr>
              <w:spacing w:after="0" w:before="0" w:line="240" w:lineRule="auto"/>
            </w:pPr>
            <w:r>
              <w:rPr>
                <w:rFonts w:ascii="Arial" w:hAnsi="Arial"/>
                <w:sz w:val="14"/>
              </w:rPr>
              <w:t>Rationale</w:t>
            </w:r>
          </w:p>
        </w:tc>
        <w:tc>
          <w:tcPr>
            <w:tcW w:type="dxa" w:w="2232"/>
            <w:vAlign w:val="center"/>
            <w:tcMar>
              <w:top w:w="55" w:type="dxa"/>
              <w:start w:w="70" w:type="dxa"/>
              <w:bottom w:w="55" w:type="dxa"/>
              <w:end w:w="70" w:type="dxa"/>
            </w:tcMar>
          </w:tcPr>
          <w:p>
            <w:pPr>
              <w:spacing w:after="0" w:before="0" w:line="240" w:lineRule="auto"/>
            </w:pPr>
            <w:r>
              <w:rPr>
                <w:rFonts w:ascii="Arial" w:hAnsi="Arial"/>
                <w:sz w:val="14"/>
              </w:rPr>
              <w:t>Background</w:t>
            </w:r>
          </w:p>
        </w:tc>
      </w:tr>
      <w:tr>
        <w:trPr>
          <w:cantSplit/>
          <w:trHeight w:hRule="atLeast"/>
        </w:trPr>
        <w:tc>
          <w:tcPr>
            <w:tcW w:type="dxa" w:w="1008"/>
            <w:vAlign w:val="center"/>
            <w:tcMar>
              <w:top w:w="55" w:type="dxa"/>
              <w:start w:w="70" w:type="dxa"/>
              <w:bottom w:w="55" w:type="dxa"/>
              <w:end w:w="70" w:type="dxa"/>
            </w:tcMar>
          </w:tcPr>
          <w:p>
            <w:pPr>
              <w:spacing w:after="0" w:before="0" w:line="240" w:lineRule="auto"/>
            </w:pPr>
            <w:r>
              <w:rPr>
                <w:rFonts w:ascii="Arial" w:hAnsi="Arial"/>
                <w:sz w:val="14"/>
              </w:rPr>
              <w:t>4</w:t>
            </w:r>
          </w:p>
        </w:tc>
        <w:tc>
          <w:tcPr>
            <w:tcW w:type="dxa" w:w="6768"/>
            <w:vAlign w:val="center"/>
            <w:tcMar>
              <w:top w:w="55" w:type="dxa"/>
              <w:start w:w="70" w:type="dxa"/>
              <w:bottom w:w="55" w:type="dxa"/>
              <w:end w:w="70" w:type="dxa"/>
            </w:tcMar>
          </w:tcPr>
          <w:p>
            <w:pPr>
              <w:spacing w:after="0" w:before="0" w:line="240" w:lineRule="auto"/>
            </w:pPr>
            <w:r>
              <w:rPr>
                <w:rFonts w:ascii="Arial" w:hAnsi="Arial"/>
                <w:sz w:val="14"/>
              </w:rPr>
              <w:t>Objectives</w:t>
            </w:r>
          </w:p>
        </w:tc>
        <w:tc>
          <w:tcPr>
            <w:tcW w:type="dxa" w:w="2232"/>
            <w:vAlign w:val="center"/>
            <w:tcMar>
              <w:top w:w="55" w:type="dxa"/>
              <w:start w:w="70" w:type="dxa"/>
              <w:bottom w:w="55" w:type="dxa"/>
              <w:end w:w="70" w:type="dxa"/>
            </w:tcMar>
          </w:tcPr>
          <w:p>
            <w:pPr>
              <w:spacing w:after="0" w:before="0" w:line="240" w:lineRule="auto"/>
            </w:pPr>
            <w:r>
              <w:rPr>
                <w:rFonts w:ascii="Arial" w:hAnsi="Arial"/>
                <w:sz w:val="14"/>
              </w:rPr>
              <w:t>Background</w:t>
            </w:r>
          </w:p>
        </w:tc>
      </w:tr>
      <w:tr>
        <w:trPr>
          <w:cantSplit/>
          <w:trHeight w:hRule="atLeast"/>
        </w:trPr>
        <w:tc>
          <w:tcPr>
            <w:tcW w:type="dxa" w:w="1008"/>
            <w:vAlign w:val="center"/>
            <w:tcMar>
              <w:top w:w="55" w:type="dxa"/>
              <w:start w:w="70" w:type="dxa"/>
              <w:bottom w:w="55" w:type="dxa"/>
              <w:end w:w="70" w:type="dxa"/>
            </w:tcMar>
          </w:tcPr>
          <w:p>
            <w:pPr>
              <w:spacing w:after="0" w:before="0" w:line="240" w:lineRule="auto"/>
            </w:pPr>
            <w:r>
              <w:rPr>
                <w:rFonts w:ascii="Arial" w:hAnsi="Arial"/>
                <w:sz w:val="14"/>
              </w:rPr>
              <w:t>5</w:t>
            </w:r>
          </w:p>
        </w:tc>
        <w:tc>
          <w:tcPr>
            <w:tcW w:type="dxa" w:w="6768"/>
            <w:vAlign w:val="center"/>
            <w:tcMar>
              <w:top w:w="55" w:type="dxa"/>
              <w:start w:w="70" w:type="dxa"/>
              <w:bottom w:w="55" w:type="dxa"/>
              <w:end w:w="70" w:type="dxa"/>
            </w:tcMar>
          </w:tcPr>
          <w:p>
            <w:pPr>
              <w:spacing w:after="0" w:before="0" w:line="240" w:lineRule="auto"/>
            </w:pPr>
            <w:r>
              <w:rPr>
                <w:rFonts w:ascii="Arial" w:hAnsi="Arial"/>
                <w:sz w:val="14"/>
              </w:rPr>
              <w:t>Protocol and registration</w:t>
            </w:r>
          </w:p>
        </w:tc>
        <w:tc>
          <w:tcPr>
            <w:tcW w:type="dxa" w:w="2232"/>
            <w:vAlign w:val="center"/>
            <w:tcMar>
              <w:top w:w="55" w:type="dxa"/>
              <w:start w:w="70" w:type="dxa"/>
              <w:bottom w:w="55" w:type="dxa"/>
              <w:end w:w="70" w:type="dxa"/>
            </w:tcMar>
          </w:tcPr>
          <w:p>
            <w:pPr>
              <w:spacing w:after="0" w:before="0" w:line="240" w:lineRule="auto"/>
            </w:pPr>
            <w:r>
              <w:rPr>
                <w:rFonts w:ascii="Arial" w:hAnsi="Arial"/>
                <w:sz w:val="14"/>
              </w:rPr>
              <w:t>Methods: no protocol registered</w:t>
            </w:r>
          </w:p>
        </w:tc>
      </w:tr>
      <w:tr>
        <w:trPr>
          <w:cantSplit/>
          <w:trHeight w:hRule="atLeast"/>
        </w:trPr>
        <w:tc>
          <w:tcPr>
            <w:tcW w:type="dxa" w:w="1008"/>
            <w:vAlign w:val="center"/>
            <w:tcMar>
              <w:top w:w="55" w:type="dxa"/>
              <w:start w:w="70" w:type="dxa"/>
              <w:bottom w:w="55" w:type="dxa"/>
              <w:end w:w="70" w:type="dxa"/>
            </w:tcMar>
          </w:tcPr>
          <w:p>
            <w:pPr>
              <w:spacing w:after="0" w:before="0" w:line="240" w:lineRule="auto"/>
            </w:pPr>
            <w:r>
              <w:rPr>
                <w:rFonts w:ascii="Arial" w:hAnsi="Arial"/>
                <w:sz w:val="14"/>
              </w:rPr>
              <w:t>6</w:t>
            </w:r>
          </w:p>
        </w:tc>
        <w:tc>
          <w:tcPr>
            <w:tcW w:type="dxa" w:w="6768"/>
            <w:vAlign w:val="center"/>
            <w:tcMar>
              <w:top w:w="55" w:type="dxa"/>
              <w:start w:w="70" w:type="dxa"/>
              <w:bottom w:w="55" w:type="dxa"/>
              <w:end w:w="70" w:type="dxa"/>
            </w:tcMar>
          </w:tcPr>
          <w:p>
            <w:pPr>
              <w:spacing w:after="0" w:before="0" w:line="240" w:lineRule="auto"/>
            </w:pPr>
            <w:r>
              <w:rPr>
                <w:rFonts w:ascii="Arial" w:hAnsi="Arial"/>
                <w:sz w:val="14"/>
              </w:rPr>
              <w:t>Eligibility criteria</w:t>
            </w:r>
          </w:p>
        </w:tc>
        <w:tc>
          <w:tcPr>
            <w:tcW w:type="dxa" w:w="2232"/>
            <w:vAlign w:val="center"/>
            <w:tcMar>
              <w:top w:w="55" w:type="dxa"/>
              <w:start w:w="70" w:type="dxa"/>
              <w:bottom w:w="55" w:type="dxa"/>
              <w:end w:w="70" w:type="dxa"/>
            </w:tcMar>
          </w:tcPr>
          <w:p>
            <w:pPr>
              <w:spacing w:after="0" w:before="0" w:line="240" w:lineRule="auto"/>
            </w:pPr>
            <w:r>
              <w:rPr>
                <w:rFonts w:ascii="Arial" w:hAnsi="Arial"/>
                <w:sz w:val="14"/>
              </w:rPr>
              <w:t>Methods: Design and eligibility</w:t>
            </w:r>
          </w:p>
        </w:tc>
      </w:tr>
      <w:tr>
        <w:trPr>
          <w:cantSplit/>
          <w:trHeight w:hRule="atLeast"/>
        </w:trPr>
        <w:tc>
          <w:tcPr>
            <w:tcW w:type="dxa" w:w="1008"/>
            <w:vAlign w:val="center"/>
            <w:tcMar>
              <w:top w:w="55" w:type="dxa"/>
              <w:start w:w="70" w:type="dxa"/>
              <w:bottom w:w="55" w:type="dxa"/>
              <w:end w:w="70" w:type="dxa"/>
            </w:tcMar>
          </w:tcPr>
          <w:p>
            <w:pPr>
              <w:spacing w:after="0" w:before="0" w:line="240" w:lineRule="auto"/>
            </w:pPr>
            <w:r>
              <w:rPr>
                <w:rFonts w:ascii="Arial" w:hAnsi="Arial"/>
                <w:sz w:val="14"/>
              </w:rPr>
              <w:t>7</w:t>
            </w:r>
          </w:p>
        </w:tc>
        <w:tc>
          <w:tcPr>
            <w:tcW w:type="dxa" w:w="6768"/>
            <w:vAlign w:val="center"/>
            <w:tcMar>
              <w:top w:w="55" w:type="dxa"/>
              <w:start w:w="70" w:type="dxa"/>
              <w:bottom w:w="55" w:type="dxa"/>
              <w:end w:w="70" w:type="dxa"/>
            </w:tcMar>
          </w:tcPr>
          <w:p>
            <w:pPr>
              <w:spacing w:after="0" w:before="0" w:line="240" w:lineRule="auto"/>
            </w:pPr>
            <w:r>
              <w:rPr>
                <w:rFonts w:ascii="Arial" w:hAnsi="Arial"/>
                <w:sz w:val="14"/>
              </w:rPr>
              <w:t>Information sources</w:t>
            </w:r>
          </w:p>
        </w:tc>
        <w:tc>
          <w:tcPr>
            <w:tcW w:type="dxa" w:w="2232"/>
            <w:vAlign w:val="center"/>
            <w:tcMar>
              <w:top w:w="55" w:type="dxa"/>
              <w:start w:w="70" w:type="dxa"/>
              <w:bottom w:w="55" w:type="dxa"/>
              <w:end w:w="70" w:type="dxa"/>
            </w:tcMar>
          </w:tcPr>
          <w:p>
            <w:pPr>
              <w:spacing w:after="0" w:before="0" w:line="240" w:lineRule="auto"/>
            </w:pPr>
            <w:r>
              <w:rPr>
                <w:rFonts w:ascii="Arial" w:hAnsi="Arial"/>
                <w:sz w:val="14"/>
              </w:rPr>
              <w:t>Methods: Search, selection and data extraction</w:t>
            </w:r>
          </w:p>
        </w:tc>
      </w:tr>
      <w:tr>
        <w:trPr>
          <w:cantSplit/>
          <w:trHeight w:hRule="atLeast"/>
        </w:trPr>
        <w:tc>
          <w:tcPr>
            <w:tcW w:type="dxa" w:w="1008"/>
            <w:vAlign w:val="center"/>
            <w:tcMar>
              <w:top w:w="55" w:type="dxa"/>
              <w:start w:w="70" w:type="dxa"/>
              <w:bottom w:w="55" w:type="dxa"/>
              <w:end w:w="70" w:type="dxa"/>
            </w:tcMar>
          </w:tcPr>
          <w:p>
            <w:pPr>
              <w:spacing w:after="0" w:before="0" w:line="240" w:lineRule="auto"/>
            </w:pPr>
            <w:r>
              <w:rPr>
                <w:rFonts w:ascii="Arial" w:hAnsi="Arial"/>
                <w:sz w:val="14"/>
              </w:rPr>
              <w:t>8</w:t>
            </w:r>
          </w:p>
        </w:tc>
        <w:tc>
          <w:tcPr>
            <w:tcW w:type="dxa" w:w="6768"/>
            <w:vAlign w:val="center"/>
            <w:tcMar>
              <w:top w:w="55" w:type="dxa"/>
              <w:start w:w="70" w:type="dxa"/>
              <w:bottom w:w="55" w:type="dxa"/>
              <w:end w:w="70" w:type="dxa"/>
            </w:tcMar>
          </w:tcPr>
          <w:p>
            <w:pPr>
              <w:spacing w:after="0" w:before="0" w:line="240" w:lineRule="auto"/>
            </w:pPr>
            <w:r>
              <w:rPr>
                <w:rFonts w:ascii="Arial" w:hAnsi="Arial"/>
                <w:sz w:val="14"/>
              </w:rPr>
              <w:t>Search</w:t>
            </w:r>
          </w:p>
        </w:tc>
        <w:tc>
          <w:tcPr>
            <w:tcW w:type="dxa" w:w="2232"/>
            <w:vAlign w:val="center"/>
            <w:tcMar>
              <w:top w:w="55" w:type="dxa"/>
              <w:start w:w="70" w:type="dxa"/>
              <w:bottom w:w="55" w:type="dxa"/>
              <w:end w:w="70" w:type="dxa"/>
            </w:tcMar>
          </w:tcPr>
          <w:p>
            <w:pPr>
              <w:spacing w:after="0" w:before="0" w:line="240" w:lineRule="auto"/>
            </w:pPr>
            <w:r>
              <w:rPr>
                <w:rFonts w:ascii="Arial" w:hAnsi="Arial"/>
                <w:sz w:val="14"/>
              </w:rPr>
              <w:t>Supplementary Methods S1–S2</w:t>
            </w:r>
          </w:p>
        </w:tc>
      </w:tr>
      <w:tr>
        <w:trPr>
          <w:cantSplit/>
          <w:trHeight w:hRule="atLeast"/>
        </w:trPr>
        <w:tc>
          <w:tcPr>
            <w:tcW w:type="dxa" w:w="1008"/>
            <w:vAlign w:val="center"/>
            <w:tcMar>
              <w:top w:w="55" w:type="dxa"/>
              <w:start w:w="70" w:type="dxa"/>
              <w:bottom w:w="55" w:type="dxa"/>
              <w:end w:w="70" w:type="dxa"/>
            </w:tcMar>
          </w:tcPr>
          <w:p>
            <w:pPr>
              <w:spacing w:after="0" w:before="0" w:line="240" w:lineRule="auto"/>
            </w:pPr>
            <w:r>
              <w:rPr>
                <w:rFonts w:ascii="Arial" w:hAnsi="Arial"/>
                <w:sz w:val="14"/>
              </w:rPr>
              <w:t>9</w:t>
            </w:r>
          </w:p>
        </w:tc>
        <w:tc>
          <w:tcPr>
            <w:tcW w:type="dxa" w:w="6768"/>
            <w:vAlign w:val="center"/>
            <w:tcMar>
              <w:top w:w="55" w:type="dxa"/>
              <w:start w:w="70" w:type="dxa"/>
              <w:bottom w:w="55" w:type="dxa"/>
              <w:end w:w="70" w:type="dxa"/>
            </w:tcMar>
          </w:tcPr>
          <w:p>
            <w:pPr>
              <w:spacing w:after="0" w:before="0" w:line="240" w:lineRule="auto"/>
            </w:pPr>
            <w:r>
              <w:rPr>
                <w:rFonts w:ascii="Arial" w:hAnsi="Arial"/>
                <w:sz w:val="14"/>
              </w:rPr>
              <w:t>Selection of sources</w:t>
            </w:r>
          </w:p>
        </w:tc>
        <w:tc>
          <w:tcPr>
            <w:tcW w:type="dxa" w:w="2232"/>
            <w:vAlign w:val="center"/>
            <w:tcMar>
              <w:top w:w="55" w:type="dxa"/>
              <w:start w:w="70" w:type="dxa"/>
              <w:bottom w:w="55" w:type="dxa"/>
              <w:end w:w="70" w:type="dxa"/>
            </w:tcMar>
          </w:tcPr>
          <w:p>
            <w:pPr>
              <w:spacing w:after="0" w:before="0" w:line="240" w:lineRule="auto"/>
            </w:pPr>
            <w:r>
              <w:rPr>
                <w:rFonts w:ascii="Arial" w:hAnsi="Arial"/>
                <w:sz w:val="14"/>
              </w:rPr>
              <w:t>Methods: Search, selection and data extraction</w:t>
            </w:r>
          </w:p>
        </w:tc>
      </w:tr>
      <w:tr>
        <w:trPr>
          <w:cantSplit/>
          <w:trHeight w:hRule="atLeast"/>
        </w:trPr>
        <w:tc>
          <w:tcPr>
            <w:tcW w:type="dxa" w:w="1008"/>
            <w:vAlign w:val="center"/>
            <w:tcMar>
              <w:top w:w="55" w:type="dxa"/>
              <w:start w:w="70" w:type="dxa"/>
              <w:bottom w:w="55" w:type="dxa"/>
              <w:end w:w="70" w:type="dxa"/>
            </w:tcMar>
          </w:tcPr>
          <w:p>
            <w:pPr>
              <w:spacing w:after="0" w:before="0" w:line="240" w:lineRule="auto"/>
            </w:pPr>
            <w:r>
              <w:rPr>
                <w:rFonts w:ascii="Arial" w:hAnsi="Arial"/>
                <w:sz w:val="14"/>
              </w:rPr>
              <w:t>10</w:t>
            </w:r>
          </w:p>
        </w:tc>
        <w:tc>
          <w:tcPr>
            <w:tcW w:type="dxa" w:w="6768"/>
            <w:vAlign w:val="center"/>
            <w:tcMar>
              <w:top w:w="55" w:type="dxa"/>
              <w:start w:w="70" w:type="dxa"/>
              <w:bottom w:w="55" w:type="dxa"/>
              <w:end w:w="70" w:type="dxa"/>
            </w:tcMar>
          </w:tcPr>
          <w:p>
            <w:pPr>
              <w:spacing w:after="0" w:before="0" w:line="240" w:lineRule="auto"/>
            </w:pPr>
            <w:r>
              <w:rPr>
                <w:rFonts w:ascii="Arial" w:hAnsi="Arial"/>
                <w:sz w:val="14"/>
              </w:rPr>
              <w:t>Data-charting process</w:t>
            </w:r>
          </w:p>
        </w:tc>
        <w:tc>
          <w:tcPr>
            <w:tcW w:type="dxa" w:w="2232"/>
            <w:vAlign w:val="center"/>
            <w:tcMar>
              <w:top w:w="55" w:type="dxa"/>
              <w:start w:w="70" w:type="dxa"/>
              <w:bottom w:w="55" w:type="dxa"/>
              <w:end w:w="70" w:type="dxa"/>
            </w:tcMar>
          </w:tcPr>
          <w:p>
            <w:pPr>
              <w:spacing w:after="0" w:before="0" w:line="240" w:lineRule="auto"/>
            </w:pPr>
            <w:r>
              <w:rPr>
                <w:rFonts w:ascii="Arial" w:hAnsi="Arial"/>
                <w:sz w:val="14"/>
              </w:rPr>
              <w:t>Methods: Search, selection and data extraction</w:t>
            </w:r>
          </w:p>
        </w:tc>
      </w:tr>
      <w:tr>
        <w:trPr>
          <w:cantSplit/>
          <w:trHeight w:hRule="atLeast"/>
        </w:trPr>
        <w:tc>
          <w:tcPr>
            <w:tcW w:type="dxa" w:w="1008"/>
            <w:vAlign w:val="center"/>
            <w:tcMar>
              <w:top w:w="55" w:type="dxa"/>
              <w:start w:w="70" w:type="dxa"/>
              <w:bottom w:w="55" w:type="dxa"/>
              <w:end w:w="70" w:type="dxa"/>
            </w:tcMar>
          </w:tcPr>
          <w:p>
            <w:pPr>
              <w:spacing w:after="0" w:before="0" w:line="240" w:lineRule="auto"/>
            </w:pPr>
            <w:r>
              <w:rPr>
                <w:rFonts w:ascii="Arial" w:hAnsi="Arial"/>
                <w:sz w:val="14"/>
              </w:rPr>
              <w:t>11</w:t>
            </w:r>
          </w:p>
        </w:tc>
        <w:tc>
          <w:tcPr>
            <w:tcW w:type="dxa" w:w="6768"/>
            <w:vAlign w:val="center"/>
            <w:tcMar>
              <w:top w:w="55" w:type="dxa"/>
              <w:start w:w="70" w:type="dxa"/>
              <w:bottom w:w="55" w:type="dxa"/>
              <w:end w:w="70" w:type="dxa"/>
            </w:tcMar>
          </w:tcPr>
          <w:p>
            <w:pPr>
              <w:spacing w:after="0" w:before="0" w:line="240" w:lineRule="auto"/>
            </w:pPr>
            <w:r>
              <w:rPr>
                <w:rFonts w:ascii="Arial" w:hAnsi="Arial"/>
                <w:sz w:val="14"/>
              </w:rPr>
              <w:t>Data items</w:t>
            </w:r>
          </w:p>
        </w:tc>
        <w:tc>
          <w:tcPr>
            <w:tcW w:type="dxa" w:w="2232"/>
            <w:vAlign w:val="center"/>
            <w:tcMar>
              <w:top w:w="55" w:type="dxa"/>
              <w:start w:w="70" w:type="dxa"/>
              <w:bottom w:w="55" w:type="dxa"/>
              <w:end w:w="70" w:type="dxa"/>
            </w:tcMar>
          </w:tcPr>
          <w:p>
            <w:pPr>
              <w:spacing w:after="0" w:before="0" w:line="240" w:lineRule="auto"/>
            </w:pPr>
            <w:r>
              <w:rPr>
                <w:rFonts w:ascii="Arial" w:hAnsi="Arial"/>
                <w:sz w:val="14"/>
              </w:rPr>
              <w:t>Methods: Search, selection and data extraction</w:t>
            </w:r>
          </w:p>
        </w:tc>
      </w:tr>
      <w:tr>
        <w:trPr>
          <w:cantSplit/>
          <w:trHeight w:hRule="atLeast"/>
        </w:trPr>
        <w:tc>
          <w:tcPr>
            <w:tcW w:type="dxa" w:w="1008"/>
            <w:vAlign w:val="center"/>
            <w:tcMar>
              <w:top w:w="55" w:type="dxa"/>
              <w:start w:w="70" w:type="dxa"/>
              <w:bottom w:w="55" w:type="dxa"/>
              <w:end w:w="70" w:type="dxa"/>
            </w:tcMar>
          </w:tcPr>
          <w:p>
            <w:pPr>
              <w:spacing w:after="0" w:before="0" w:line="240" w:lineRule="auto"/>
            </w:pPr>
            <w:r>
              <w:rPr>
                <w:rFonts w:ascii="Arial" w:hAnsi="Arial"/>
                <w:sz w:val="14"/>
              </w:rPr>
              <w:t>12</w:t>
            </w:r>
          </w:p>
        </w:tc>
        <w:tc>
          <w:tcPr>
            <w:tcW w:type="dxa" w:w="6768"/>
            <w:vAlign w:val="center"/>
            <w:tcMar>
              <w:top w:w="55" w:type="dxa"/>
              <w:start w:w="70" w:type="dxa"/>
              <w:bottom w:w="55" w:type="dxa"/>
              <w:end w:w="70" w:type="dxa"/>
            </w:tcMar>
          </w:tcPr>
          <w:p>
            <w:pPr>
              <w:spacing w:after="0" w:before="0" w:line="240" w:lineRule="auto"/>
            </w:pPr>
            <w:r>
              <w:rPr>
                <w:rFonts w:ascii="Arial" w:hAnsi="Arial"/>
                <w:sz w:val="14"/>
              </w:rPr>
              <w:t>Critical appraisal</w:t>
            </w:r>
          </w:p>
        </w:tc>
        <w:tc>
          <w:tcPr>
            <w:tcW w:type="dxa" w:w="2232"/>
            <w:vAlign w:val="center"/>
            <w:tcMar>
              <w:top w:w="55" w:type="dxa"/>
              <w:start w:w="70" w:type="dxa"/>
              <w:bottom w:w="55" w:type="dxa"/>
              <w:end w:w="70" w:type="dxa"/>
            </w:tcMar>
          </w:tcPr>
          <w:p>
            <w:pPr>
              <w:spacing w:after="0" w:before="0" w:line="240" w:lineRule="auto"/>
            </w:pPr>
            <w:r>
              <w:rPr>
                <w:rFonts w:ascii="Arial" w:hAnsi="Arial"/>
                <w:sz w:val="14"/>
              </w:rPr>
              <w:t>Methods; Supplementary Methods S4 and Tables S3–S4</w:t>
            </w:r>
          </w:p>
        </w:tc>
      </w:tr>
      <w:tr>
        <w:trPr>
          <w:cantSplit/>
          <w:trHeight w:hRule="atLeast"/>
        </w:trPr>
        <w:tc>
          <w:tcPr>
            <w:tcW w:type="dxa" w:w="1008"/>
            <w:vAlign w:val="center"/>
            <w:tcMar>
              <w:top w:w="55" w:type="dxa"/>
              <w:start w:w="70" w:type="dxa"/>
              <w:bottom w:w="55" w:type="dxa"/>
              <w:end w:w="70" w:type="dxa"/>
            </w:tcMar>
          </w:tcPr>
          <w:p>
            <w:pPr>
              <w:spacing w:after="0" w:before="0" w:line="240" w:lineRule="auto"/>
            </w:pPr>
            <w:r>
              <w:rPr>
                <w:rFonts w:ascii="Arial" w:hAnsi="Arial"/>
                <w:sz w:val="14"/>
              </w:rPr>
              <w:t>13</w:t>
            </w:r>
          </w:p>
        </w:tc>
        <w:tc>
          <w:tcPr>
            <w:tcW w:type="dxa" w:w="6768"/>
            <w:vAlign w:val="center"/>
            <w:tcMar>
              <w:top w:w="55" w:type="dxa"/>
              <w:start w:w="70" w:type="dxa"/>
              <w:bottom w:w="55" w:type="dxa"/>
              <w:end w:w="70" w:type="dxa"/>
            </w:tcMar>
          </w:tcPr>
          <w:p>
            <w:pPr>
              <w:spacing w:after="0" w:before="0" w:line="240" w:lineRule="auto"/>
            </w:pPr>
            <w:r>
              <w:rPr>
                <w:rFonts w:ascii="Arial" w:hAnsi="Arial"/>
                <w:sz w:val="14"/>
              </w:rPr>
              <w:t>Synthesis</w:t>
            </w:r>
          </w:p>
        </w:tc>
        <w:tc>
          <w:tcPr>
            <w:tcW w:type="dxa" w:w="2232"/>
            <w:vAlign w:val="center"/>
            <w:tcMar>
              <w:top w:w="55" w:type="dxa"/>
              <w:start w:w="70" w:type="dxa"/>
              <w:bottom w:w="55" w:type="dxa"/>
              <w:end w:w="70" w:type="dxa"/>
            </w:tcMar>
          </w:tcPr>
          <w:p>
            <w:pPr>
              <w:spacing w:after="0" w:before="0" w:line="240" w:lineRule="auto"/>
            </w:pPr>
            <w:r>
              <w:rPr>
                <w:rFonts w:ascii="Arial" w:hAnsi="Arial"/>
                <w:sz w:val="14"/>
              </w:rPr>
              <w:t>Methods: evidence hierarchy and appraisal</w:t>
            </w:r>
          </w:p>
        </w:tc>
      </w:tr>
      <w:tr>
        <w:trPr>
          <w:cantSplit/>
          <w:trHeight w:hRule="atLeast"/>
        </w:trPr>
        <w:tc>
          <w:tcPr>
            <w:tcW w:type="dxa" w:w="1008"/>
            <w:vAlign w:val="center"/>
            <w:tcMar>
              <w:top w:w="55" w:type="dxa"/>
              <w:start w:w="70" w:type="dxa"/>
              <w:bottom w:w="55" w:type="dxa"/>
              <w:end w:w="70" w:type="dxa"/>
            </w:tcMar>
          </w:tcPr>
          <w:p>
            <w:pPr>
              <w:spacing w:after="0" w:before="0" w:line="240" w:lineRule="auto"/>
            </w:pPr>
            <w:r>
              <w:rPr>
                <w:rFonts w:ascii="Arial" w:hAnsi="Arial"/>
                <w:sz w:val="14"/>
              </w:rPr>
              <w:t>14</w:t>
            </w:r>
          </w:p>
        </w:tc>
        <w:tc>
          <w:tcPr>
            <w:tcW w:type="dxa" w:w="6768"/>
            <w:vAlign w:val="center"/>
            <w:tcMar>
              <w:top w:w="55" w:type="dxa"/>
              <w:start w:w="70" w:type="dxa"/>
              <w:bottom w:w="55" w:type="dxa"/>
              <w:end w:w="70" w:type="dxa"/>
            </w:tcMar>
          </w:tcPr>
          <w:p>
            <w:pPr>
              <w:spacing w:after="0" w:before="0" w:line="240" w:lineRule="auto"/>
            </w:pPr>
            <w:r>
              <w:rPr>
                <w:rFonts w:ascii="Arial" w:hAnsi="Arial"/>
                <w:sz w:val="14"/>
              </w:rPr>
              <w:t>Selection of sources</w:t>
            </w:r>
          </w:p>
        </w:tc>
        <w:tc>
          <w:tcPr>
            <w:tcW w:type="dxa" w:w="2232"/>
            <w:vAlign w:val="center"/>
            <w:tcMar>
              <w:top w:w="55" w:type="dxa"/>
              <w:start w:w="70" w:type="dxa"/>
              <w:bottom w:w="55" w:type="dxa"/>
              <w:end w:w="70" w:type="dxa"/>
            </w:tcMar>
          </w:tcPr>
          <w:p>
            <w:pPr>
              <w:spacing w:after="0" w:before="0" w:line="240" w:lineRule="auto"/>
            </w:pPr>
            <w:r>
              <w:rPr>
                <w:rFonts w:ascii="Arial" w:hAnsi="Arial"/>
                <w:sz w:val="14"/>
              </w:rPr>
              <w:t>Results; Fig. 1</w:t>
            </w:r>
          </w:p>
        </w:tc>
      </w:tr>
      <w:tr>
        <w:trPr>
          <w:cantSplit/>
          <w:trHeight w:hRule="atLeast"/>
        </w:trPr>
        <w:tc>
          <w:tcPr>
            <w:tcW w:type="dxa" w:w="1008"/>
            <w:vAlign w:val="center"/>
            <w:tcMar>
              <w:top w:w="55" w:type="dxa"/>
              <w:start w:w="70" w:type="dxa"/>
              <w:bottom w:w="55" w:type="dxa"/>
              <w:end w:w="70" w:type="dxa"/>
            </w:tcMar>
          </w:tcPr>
          <w:p>
            <w:pPr>
              <w:spacing w:after="0" w:before="0" w:line="240" w:lineRule="auto"/>
            </w:pPr>
            <w:r>
              <w:rPr>
                <w:rFonts w:ascii="Arial" w:hAnsi="Arial"/>
                <w:sz w:val="14"/>
              </w:rPr>
              <w:t>15</w:t>
            </w:r>
          </w:p>
        </w:tc>
        <w:tc>
          <w:tcPr>
            <w:tcW w:type="dxa" w:w="6768"/>
            <w:vAlign w:val="center"/>
            <w:tcMar>
              <w:top w:w="55" w:type="dxa"/>
              <w:start w:w="70" w:type="dxa"/>
              <w:bottom w:w="55" w:type="dxa"/>
              <w:end w:w="70" w:type="dxa"/>
            </w:tcMar>
          </w:tcPr>
          <w:p>
            <w:pPr>
              <w:spacing w:after="0" w:before="0" w:line="240" w:lineRule="auto"/>
            </w:pPr>
            <w:r>
              <w:rPr>
                <w:rFonts w:ascii="Arial" w:hAnsi="Arial"/>
                <w:sz w:val="14"/>
              </w:rPr>
              <w:t>Characteristics of sources</w:t>
            </w:r>
          </w:p>
        </w:tc>
        <w:tc>
          <w:tcPr>
            <w:tcW w:type="dxa" w:w="2232"/>
            <w:vAlign w:val="center"/>
            <w:tcMar>
              <w:top w:w="55" w:type="dxa"/>
              <w:start w:w="70" w:type="dxa"/>
              <w:bottom w:w="55" w:type="dxa"/>
              <w:end w:w="70" w:type="dxa"/>
            </w:tcMar>
          </w:tcPr>
          <w:p>
            <w:pPr>
              <w:spacing w:after="0" w:before="0" w:line="240" w:lineRule="auto"/>
            </w:pPr>
            <w:r>
              <w:rPr>
                <w:rFonts w:ascii="Arial" w:hAnsi="Arial"/>
                <w:sz w:val="14"/>
              </w:rPr>
              <w:t>Results; Supplementary Tables S1–S2</w:t>
            </w:r>
          </w:p>
        </w:tc>
      </w:tr>
      <w:tr>
        <w:trPr>
          <w:cantSplit/>
          <w:trHeight w:hRule="atLeast"/>
        </w:trPr>
        <w:tc>
          <w:tcPr>
            <w:tcW w:type="dxa" w:w="1008"/>
            <w:vAlign w:val="center"/>
            <w:tcMar>
              <w:top w:w="55" w:type="dxa"/>
              <w:start w:w="70" w:type="dxa"/>
              <w:bottom w:w="55" w:type="dxa"/>
              <w:end w:w="70" w:type="dxa"/>
            </w:tcMar>
          </w:tcPr>
          <w:p>
            <w:pPr>
              <w:spacing w:after="0" w:before="0" w:line="240" w:lineRule="auto"/>
            </w:pPr>
            <w:r>
              <w:rPr>
                <w:rFonts w:ascii="Arial" w:hAnsi="Arial"/>
                <w:sz w:val="14"/>
              </w:rPr>
              <w:t>16</w:t>
            </w:r>
          </w:p>
        </w:tc>
        <w:tc>
          <w:tcPr>
            <w:tcW w:type="dxa" w:w="6768"/>
            <w:vAlign w:val="center"/>
            <w:tcMar>
              <w:top w:w="55" w:type="dxa"/>
              <w:start w:w="70" w:type="dxa"/>
              <w:bottom w:w="55" w:type="dxa"/>
              <w:end w:w="70" w:type="dxa"/>
            </w:tcMar>
          </w:tcPr>
          <w:p>
            <w:pPr>
              <w:spacing w:after="0" w:before="0" w:line="240" w:lineRule="auto"/>
            </w:pPr>
            <w:r>
              <w:rPr>
                <w:rFonts w:ascii="Arial" w:hAnsi="Arial"/>
                <w:sz w:val="14"/>
              </w:rPr>
              <w:t>Critical appraisal within sources</w:t>
            </w:r>
          </w:p>
        </w:tc>
        <w:tc>
          <w:tcPr>
            <w:tcW w:type="dxa" w:w="2232"/>
            <w:vAlign w:val="center"/>
            <w:tcMar>
              <w:top w:w="55" w:type="dxa"/>
              <w:start w:w="70" w:type="dxa"/>
              <w:bottom w:w="55" w:type="dxa"/>
              <w:end w:w="70" w:type="dxa"/>
            </w:tcMar>
          </w:tcPr>
          <w:p>
            <w:pPr>
              <w:spacing w:after="0" w:before="0" w:line="240" w:lineRule="auto"/>
            </w:pPr>
            <w:r>
              <w:rPr>
                <w:rFonts w:ascii="Arial" w:hAnsi="Arial"/>
                <w:sz w:val="14"/>
              </w:rPr>
              <w:t>Results; Supplementary Methods S4 and Tables S3–S4</w:t>
            </w:r>
          </w:p>
        </w:tc>
      </w:tr>
      <w:tr>
        <w:trPr>
          <w:cantSplit/>
          <w:trHeight w:hRule="atLeast"/>
        </w:trPr>
        <w:tc>
          <w:tcPr>
            <w:tcW w:type="dxa" w:w="1008"/>
            <w:vAlign w:val="center"/>
            <w:tcMar>
              <w:top w:w="55" w:type="dxa"/>
              <w:start w:w="70" w:type="dxa"/>
              <w:bottom w:w="55" w:type="dxa"/>
              <w:end w:w="70" w:type="dxa"/>
            </w:tcMar>
          </w:tcPr>
          <w:p>
            <w:pPr>
              <w:spacing w:after="0" w:before="0" w:line="240" w:lineRule="auto"/>
            </w:pPr>
            <w:r>
              <w:rPr>
                <w:rFonts w:ascii="Arial" w:hAnsi="Arial"/>
                <w:sz w:val="14"/>
              </w:rPr>
              <w:t>17</w:t>
            </w:r>
          </w:p>
        </w:tc>
        <w:tc>
          <w:tcPr>
            <w:tcW w:type="dxa" w:w="6768"/>
            <w:vAlign w:val="center"/>
            <w:tcMar>
              <w:top w:w="55" w:type="dxa"/>
              <w:start w:w="70" w:type="dxa"/>
              <w:bottom w:w="55" w:type="dxa"/>
              <w:end w:w="70" w:type="dxa"/>
            </w:tcMar>
          </w:tcPr>
          <w:p>
            <w:pPr>
              <w:spacing w:after="0" w:before="0" w:line="240" w:lineRule="auto"/>
            </w:pPr>
            <w:r>
              <w:rPr>
                <w:rFonts w:ascii="Arial" w:hAnsi="Arial"/>
                <w:sz w:val="14"/>
              </w:rPr>
              <w:t>Results of individual sources</w:t>
            </w:r>
          </w:p>
        </w:tc>
        <w:tc>
          <w:tcPr>
            <w:tcW w:type="dxa" w:w="2232"/>
            <w:vAlign w:val="center"/>
            <w:tcMar>
              <w:top w:w="55" w:type="dxa"/>
              <w:start w:w="70" w:type="dxa"/>
              <w:bottom w:w="55" w:type="dxa"/>
              <w:end w:w="70" w:type="dxa"/>
            </w:tcMar>
          </w:tcPr>
          <w:p>
            <w:pPr>
              <w:spacing w:after="0" w:before="0" w:line="240" w:lineRule="auto"/>
            </w:pPr>
            <w:r>
              <w:rPr>
                <w:rFonts w:ascii="Arial" w:hAnsi="Arial"/>
                <w:sz w:val="14"/>
              </w:rPr>
              <w:t>Results; Tables 1–2; Supplementary Tables S1–S2</w:t>
            </w:r>
          </w:p>
        </w:tc>
      </w:tr>
      <w:tr>
        <w:trPr>
          <w:cantSplit/>
          <w:trHeight w:hRule="atLeast"/>
        </w:trPr>
        <w:tc>
          <w:tcPr>
            <w:tcW w:type="dxa" w:w="1008"/>
            <w:vAlign w:val="center"/>
            <w:tcMar>
              <w:top w:w="55" w:type="dxa"/>
              <w:start w:w="70" w:type="dxa"/>
              <w:bottom w:w="55" w:type="dxa"/>
              <w:end w:w="70" w:type="dxa"/>
            </w:tcMar>
          </w:tcPr>
          <w:p>
            <w:pPr>
              <w:spacing w:after="0" w:before="0" w:line="240" w:lineRule="auto"/>
            </w:pPr>
            <w:r>
              <w:rPr>
                <w:rFonts w:ascii="Arial" w:hAnsi="Arial"/>
                <w:sz w:val="14"/>
              </w:rPr>
              <w:t>18</w:t>
            </w:r>
          </w:p>
        </w:tc>
        <w:tc>
          <w:tcPr>
            <w:tcW w:type="dxa" w:w="6768"/>
            <w:vAlign w:val="center"/>
            <w:tcMar>
              <w:top w:w="55" w:type="dxa"/>
              <w:start w:w="70" w:type="dxa"/>
              <w:bottom w:w="55" w:type="dxa"/>
              <w:end w:w="70" w:type="dxa"/>
            </w:tcMar>
          </w:tcPr>
          <w:p>
            <w:pPr>
              <w:spacing w:after="0" w:before="0" w:line="240" w:lineRule="auto"/>
            </w:pPr>
            <w:r>
              <w:rPr>
                <w:rFonts w:ascii="Arial" w:hAnsi="Arial"/>
                <w:sz w:val="14"/>
              </w:rPr>
              <w:t>Synthesis of results</w:t>
            </w:r>
          </w:p>
        </w:tc>
        <w:tc>
          <w:tcPr>
            <w:tcW w:type="dxa" w:w="2232"/>
            <w:vAlign w:val="center"/>
            <w:tcMar>
              <w:top w:w="55" w:type="dxa"/>
              <w:start w:w="70" w:type="dxa"/>
              <w:bottom w:w="55" w:type="dxa"/>
              <w:end w:w="70" w:type="dxa"/>
            </w:tcMar>
          </w:tcPr>
          <w:p>
            <w:pPr>
              <w:spacing w:after="0" w:before="0" w:line="240" w:lineRule="auto"/>
            </w:pPr>
            <w:r>
              <w:rPr>
                <w:rFonts w:ascii="Arial" w:hAnsi="Arial"/>
                <w:sz w:val="14"/>
              </w:rPr>
              <w:t>Results</w:t>
            </w:r>
          </w:p>
        </w:tc>
      </w:tr>
      <w:tr>
        <w:trPr>
          <w:cantSplit/>
          <w:trHeight w:hRule="atLeast"/>
        </w:trPr>
        <w:tc>
          <w:tcPr>
            <w:tcW w:type="dxa" w:w="1008"/>
            <w:vAlign w:val="center"/>
            <w:tcMar>
              <w:top w:w="55" w:type="dxa"/>
              <w:start w:w="70" w:type="dxa"/>
              <w:bottom w:w="55" w:type="dxa"/>
              <w:end w:w="70" w:type="dxa"/>
            </w:tcMar>
          </w:tcPr>
          <w:p>
            <w:pPr>
              <w:spacing w:after="0" w:before="0" w:line="240" w:lineRule="auto"/>
            </w:pPr>
            <w:r>
              <w:rPr>
                <w:rFonts w:ascii="Arial" w:hAnsi="Arial"/>
                <w:sz w:val="14"/>
              </w:rPr>
              <w:t>19</w:t>
            </w:r>
          </w:p>
        </w:tc>
        <w:tc>
          <w:tcPr>
            <w:tcW w:type="dxa" w:w="6768"/>
            <w:vAlign w:val="center"/>
            <w:tcMar>
              <w:top w:w="55" w:type="dxa"/>
              <w:start w:w="70" w:type="dxa"/>
              <w:bottom w:w="55" w:type="dxa"/>
              <w:end w:w="70" w:type="dxa"/>
            </w:tcMar>
          </w:tcPr>
          <w:p>
            <w:pPr>
              <w:spacing w:after="0" w:before="0" w:line="240" w:lineRule="auto"/>
            </w:pPr>
            <w:r>
              <w:rPr>
                <w:rFonts w:ascii="Arial" w:hAnsi="Arial"/>
                <w:sz w:val="14"/>
              </w:rPr>
              <w:t>Summary of evidence</w:t>
            </w:r>
          </w:p>
        </w:tc>
        <w:tc>
          <w:tcPr>
            <w:tcW w:type="dxa" w:w="2232"/>
            <w:vAlign w:val="center"/>
            <w:tcMar>
              <w:top w:w="55" w:type="dxa"/>
              <w:start w:w="70" w:type="dxa"/>
              <w:bottom w:w="55" w:type="dxa"/>
              <w:end w:w="70" w:type="dxa"/>
            </w:tcMar>
          </w:tcPr>
          <w:p>
            <w:pPr>
              <w:spacing w:after="0" w:before="0" w:line="240" w:lineRule="auto"/>
            </w:pPr>
            <w:r>
              <w:rPr>
                <w:rFonts w:ascii="Arial" w:hAnsi="Arial"/>
                <w:sz w:val="14"/>
              </w:rPr>
              <w:t>Discussion</w:t>
            </w:r>
          </w:p>
        </w:tc>
      </w:tr>
      <w:tr>
        <w:trPr>
          <w:cantSplit/>
          <w:trHeight w:hRule="atLeast"/>
        </w:trPr>
        <w:tc>
          <w:tcPr>
            <w:tcW w:type="dxa" w:w="1008"/>
            <w:vAlign w:val="center"/>
            <w:tcMar>
              <w:top w:w="55" w:type="dxa"/>
              <w:start w:w="70" w:type="dxa"/>
              <w:bottom w:w="55" w:type="dxa"/>
              <w:end w:w="70" w:type="dxa"/>
            </w:tcMar>
          </w:tcPr>
          <w:p>
            <w:pPr>
              <w:spacing w:after="0" w:before="0" w:line="240" w:lineRule="auto"/>
            </w:pPr>
            <w:r>
              <w:rPr>
                <w:rFonts w:ascii="Arial" w:hAnsi="Arial"/>
                <w:sz w:val="14"/>
              </w:rPr>
              <w:t>20</w:t>
            </w:r>
          </w:p>
        </w:tc>
        <w:tc>
          <w:tcPr>
            <w:tcW w:type="dxa" w:w="6768"/>
            <w:vAlign w:val="center"/>
            <w:tcMar>
              <w:top w:w="55" w:type="dxa"/>
              <w:start w:w="70" w:type="dxa"/>
              <w:bottom w:w="55" w:type="dxa"/>
              <w:end w:w="70" w:type="dxa"/>
            </w:tcMar>
          </w:tcPr>
          <w:p>
            <w:pPr>
              <w:spacing w:after="0" w:before="0" w:line="240" w:lineRule="auto"/>
            </w:pPr>
            <w:r>
              <w:rPr>
                <w:rFonts w:ascii="Arial" w:hAnsi="Arial"/>
                <w:sz w:val="14"/>
              </w:rPr>
              <w:t>Limitations</w:t>
            </w:r>
          </w:p>
        </w:tc>
        <w:tc>
          <w:tcPr>
            <w:tcW w:type="dxa" w:w="2232"/>
            <w:vAlign w:val="center"/>
            <w:tcMar>
              <w:top w:w="55" w:type="dxa"/>
              <w:start w:w="70" w:type="dxa"/>
              <w:bottom w:w="55" w:type="dxa"/>
              <w:end w:w="70" w:type="dxa"/>
            </w:tcMar>
          </w:tcPr>
          <w:p>
            <w:pPr>
              <w:spacing w:after="0" w:before="0" w:line="240" w:lineRule="auto"/>
            </w:pPr>
            <w:r>
              <w:rPr>
                <w:rFonts w:ascii="Arial" w:hAnsi="Arial"/>
                <w:sz w:val="14"/>
              </w:rPr>
              <w:t>Discussion: Limitations of the review</w:t>
            </w:r>
          </w:p>
        </w:tc>
      </w:tr>
      <w:tr>
        <w:trPr>
          <w:cantSplit/>
          <w:trHeight w:hRule="atLeast"/>
        </w:trPr>
        <w:tc>
          <w:tcPr>
            <w:tcW w:type="dxa" w:w="1008"/>
            <w:vAlign w:val="center"/>
            <w:tcMar>
              <w:top w:w="55" w:type="dxa"/>
              <w:start w:w="70" w:type="dxa"/>
              <w:bottom w:w="55" w:type="dxa"/>
              <w:end w:w="70" w:type="dxa"/>
            </w:tcMar>
          </w:tcPr>
          <w:p>
            <w:pPr>
              <w:spacing w:after="0" w:before="0" w:line="240" w:lineRule="auto"/>
            </w:pPr>
            <w:r>
              <w:rPr>
                <w:rFonts w:ascii="Arial" w:hAnsi="Arial"/>
                <w:sz w:val="14"/>
              </w:rPr>
              <w:t>21</w:t>
            </w:r>
          </w:p>
        </w:tc>
        <w:tc>
          <w:tcPr>
            <w:tcW w:type="dxa" w:w="6768"/>
            <w:vAlign w:val="center"/>
            <w:tcMar>
              <w:top w:w="55" w:type="dxa"/>
              <w:start w:w="70" w:type="dxa"/>
              <w:bottom w:w="55" w:type="dxa"/>
              <w:end w:w="70" w:type="dxa"/>
            </w:tcMar>
          </w:tcPr>
          <w:p>
            <w:pPr>
              <w:spacing w:after="0" w:before="0" w:line="240" w:lineRule="auto"/>
            </w:pPr>
            <w:r>
              <w:rPr>
                <w:rFonts w:ascii="Arial" w:hAnsi="Arial"/>
                <w:sz w:val="14"/>
              </w:rPr>
              <w:t>Conclusions</w:t>
            </w:r>
          </w:p>
        </w:tc>
        <w:tc>
          <w:tcPr>
            <w:tcW w:type="dxa" w:w="2232"/>
            <w:vAlign w:val="center"/>
            <w:tcMar>
              <w:top w:w="55" w:type="dxa"/>
              <w:start w:w="70" w:type="dxa"/>
              <w:bottom w:w="55" w:type="dxa"/>
              <w:end w:w="70" w:type="dxa"/>
            </w:tcMar>
          </w:tcPr>
          <w:p>
            <w:pPr>
              <w:spacing w:after="0" w:before="0" w:line="240" w:lineRule="auto"/>
            </w:pPr>
            <w:r>
              <w:rPr>
                <w:rFonts w:ascii="Arial" w:hAnsi="Arial"/>
                <w:sz w:val="14"/>
              </w:rPr>
              <w:t>Conclusions</w:t>
            </w:r>
          </w:p>
        </w:tc>
      </w:tr>
      <w:tr>
        <w:trPr>
          <w:cantSplit/>
          <w:trHeight w:hRule="atLeast"/>
        </w:trPr>
        <w:tc>
          <w:tcPr>
            <w:tcW w:type="dxa" w:w="1008"/>
            <w:vAlign w:val="center"/>
            <w:tcMar>
              <w:top w:w="55" w:type="dxa"/>
              <w:start w:w="70" w:type="dxa"/>
              <w:bottom w:w="55" w:type="dxa"/>
              <w:end w:w="70" w:type="dxa"/>
            </w:tcMar>
          </w:tcPr>
          <w:p>
            <w:pPr>
              <w:spacing w:after="0" w:before="0" w:line="240" w:lineRule="auto"/>
            </w:pPr>
            <w:r>
              <w:rPr>
                <w:rFonts w:ascii="Arial" w:hAnsi="Arial"/>
                <w:sz w:val="14"/>
              </w:rPr>
              <w:t>22</w:t>
            </w:r>
          </w:p>
        </w:tc>
        <w:tc>
          <w:tcPr>
            <w:tcW w:type="dxa" w:w="6768"/>
            <w:vAlign w:val="center"/>
            <w:tcMar>
              <w:top w:w="55" w:type="dxa"/>
              <w:start w:w="70" w:type="dxa"/>
              <w:bottom w:w="55" w:type="dxa"/>
              <w:end w:w="70" w:type="dxa"/>
            </w:tcMar>
          </w:tcPr>
          <w:p>
            <w:pPr>
              <w:spacing w:after="0" w:before="0" w:line="240" w:lineRule="auto"/>
            </w:pPr>
            <w:r>
              <w:rPr>
                <w:rFonts w:ascii="Arial" w:hAnsi="Arial"/>
                <w:sz w:val="14"/>
              </w:rPr>
              <w:t>Funding</w:t>
            </w:r>
          </w:p>
        </w:tc>
        <w:tc>
          <w:tcPr>
            <w:tcW w:type="dxa" w:w="2232"/>
            <w:vAlign w:val="center"/>
            <w:tcMar>
              <w:top w:w="55" w:type="dxa"/>
              <w:start w:w="70" w:type="dxa"/>
              <w:bottom w:w="55" w:type="dxa"/>
              <w:end w:w="70" w:type="dxa"/>
            </w:tcMar>
          </w:tcPr>
          <w:p>
            <w:pPr>
              <w:spacing w:after="0" w:before="0" w:line="240" w:lineRule="auto"/>
            </w:pPr>
            <w:r>
              <w:rPr>
                <w:rFonts w:ascii="Arial" w:hAnsi="Arial"/>
                <w:sz w:val="14"/>
              </w:rPr>
              <w:t>Declarations: Funding</w:t>
            </w:r>
          </w:p>
        </w:tc>
      </w:tr>
    </w:tbl>
    <w:sectPr w:rsidR="00FC693F" w:rsidRPr="0006063C" w:rsidSect="00034616">
      <w:pgSz w:w="11909" w:h="16834"/>
      <w:pgMar w:top="936" w:right="936" w:bottom="936" w:left="936" w:header="567"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eastAsia="Times New Roman"/>
        <w:color w:val="000000"/>
        <w:sz w:val="18"/>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eastAsia="Times New Roman"/>
        <w:color w:val="000000"/>
        <w:sz w:val="18"/>
      </w:rPr>
      <w:fldChar w:fldCharType="begin"/>
      <w:instrText xml:space="preserve"> PAGE </w:instrText>
      <w:fldChar w:fldCharType="separate"/>
      <w:t>1</w: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eastAsia="Times New Roman"/>
        <w:color w:val="000000"/>
        <w:sz w:val="18"/>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59" w:lineRule="auto"/>
      <w:jc w:val="left"/>
    </w:pPr>
    <w:rPr>
      <w:rFonts w:ascii="Arial" w:hAnsi="Arial" w:eastAsia="Times New Roman"/>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80" w:line="240" w:lineRule="auto"/>
      <w:outlineLvl w:val="0"/>
    </w:pPr>
    <w:rPr>
      <w:rFonts w:asciiTheme="majorHAnsi" w:eastAsiaTheme="majorEastAsia" w:hAnsiTheme="majorHAnsi" w:cstheme="majorBidi" w:ascii="Arial" w:hAnsi="Arial" w:eastAsia="Times New Roman"/>
      <w:b/>
      <w:bCs/>
      <w:i w:val="0"/>
      <w:color w:val="17365D"/>
      <w:sz w:val="28"/>
      <w:szCs w:val="28"/>
    </w:rPr>
  </w:style>
  <w:style w:type="paragraph" w:styleId="Heading2">
    <w:name w:val="heading 2"/>
    <w:basedOn w:val="Normal"/>
    <w:next w:val="Normal"/>
    <w:link w:val="Heading2Char"/>
    <w:uiPriority w:val="9"/>
    <w:unhideWhenUsed/>
    <w:qFormat/>
    <w:rsid w:val="00FC693F"/>
    <w:pPr>
      <w:keepNext/>
      <w:keepLines/>
      <w:widowControl/>
      <w:spacing w:before="200" w:after="80" w:line="240" w:lineRule="auto"/>
      <w:outlineLvl w:val="1"/>
    </w:pPr>
    <w:rPr>
      <w:rFonts w:asciiTheme="majorHAnsi" w:eastAsiaTheme="majorEastAsia" w:hAnsiTheme="majorHAnsi" w:cstheme="majorBidi" w:ascii="Arial" w:hAnsi="Arial" w:eastAsia="Times New Roman"/>
      <w:b/>
      <w:bCs/>
      <w:i w:val="0"/>
      <w:color w:val="2F75B5"/>
      <w:sz w:val="23"/>
      <w:szCs w:val="26"/>
    </w:rPr>
  </w:style>
  <w:style w:type="paragraph" w:styleId="Heading3">
    <w:name w:val="heading 3"/>
    <w:basedOn w:val="Normal"/>
    <w:next w:val="Normal"/>
    <w:link w:val="Heading3Char"/>
    <w:uiPriority w:val="9"/>
    <w:unhideWhenUsed/>
    <w:qFormat/>
    <w:rsid w:val="00FC693F"/>
    <w:pPr>
      <w:keepNext/>
      <w:keepLines/>
      <w:widowControl/>
      <w:spacing w:before="200" w:after="80" w:line="240" w:lineRule="auto"/>
      <w:outlineLvl w:val="2"/>
    </w:pPr>
    <w:rPr>
      <w:rFonts w:asciiTheme="majorHAnsi" w:eastAsiaTheme="majorEastAsia" w:hAnsiTheme="majorHAnsi" w:cstheme="majorBidi" w:ascii="Arial" w:hAnsi="Arial" w:eastAsia="Times New Roman"/>
      <w:b/>
      <w:bCs/>
      <w:i/>
      <w:color w:val="2F75B5"/>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80" w:line="240" w:lineRule="auto" w:before="0"/>
      <w:contextualSpacing/>
    </w:pPr>
    <w:rPr>
      <w:rFonts w:asciiTheme="majorHAnsi" w:eastAsiaTheme="majorEastAsia" w:hAnsiTheme="majorHAnsi" w:cstheme="majorBidi" w:ascii="Arial" w:hAnsi="Arial" w:eastAsia="Times New Roman"/>
      <w:b/>
      <w:i w:val="0"/>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88" w:lineRule="auto"/>
      <w:ind w:left="539" w:hanging="272"/>
      <w:contextualSpacing/>
    </w:pPr>
    <w:rPr>
      <w:rFonts w:ascii="Times New Roman" w:hAnsi="Times New Roman" w:eastAsia="Times New Roman"/>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88" w:lineRule="auto"/>
      <w:ind w:left="539" w:hanging="272"/>
      <w:contextualSpacing/>
    </w:pPr>
    <w:rPr>
      <w:rFonts w:ascii="Times New Roman" w:hAnsi="Times New Roman" w:eastAsia="Times New Roman"/>
      <w:color w:val="00000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caption">
    <w:name w:val="Table caption"/>
    <w:pPr>
      <w:keepNext/>
      <w:spacing w:before="160" w:after="80" w:line="240" w:lineRule="auto"/>
    </w:pPr>
    <w:rPr>
      <w:rFonts w:ascii="Arial" w:hAnsi="Arial" w:eastAsia="Times New Roman"/>
      <w:b/>
      <w:color w:val="17365D"/>
      <w:sz w:val="18"/>
    </w:rPr>
  </w:style>
  <w:style w:type="paragraph" w:customStyle="1" w:styleId="Tablenote">
    <w:name w:val="Table note"/>
    <w:pPr>
      <w:spacing w:before="60" w:after="120" w:line="240" w:lineRule="auto"/>
    </w:pPr>
    <w:rPr>
      <w:rFonts w:ascii="Arial" w:hAnsi="Arial" w:eastAsia="Times New Roman"/>
      <w:i/>
      <w:color w:val="000000"/>
      <w:sz w:val="15"/>
    </w:rPr>
  </w:style>
  <w:style w:type="paragraph" w:customStyle="1" w:styleId="Reference">
    <w:name w:val="Reference"/>
    <w:pPr>
      <w:spacing w:before="0" w:after="0" w:line="480" w:lineRule="auto"/>
      <w:ind w:left="369" w:hanging="369"/>
    </w:pPr>
    <w:rPr>
      <w:rFonts w:ascii="Times New Roman" w:hAnsi="Times New Roman" w:eastAsia="Times New Roman"/>
      <w:color w:val="000000"/>
      <w:sz w:val="20"/>
    </w:rPr>
  </w:style>
  <w:style w:type="paragraph" w:customStyle="1" w:styleId="Query">
    <w:name w:val="Query"/>
    <w:pPr>
      <w:spacing w:after="140" w:line="240" w:lineRule="auto"/>
      <w:ind w:left="227" w:right="170"/>
    </w:pPr>
    <w:rPr>
      <w:rFonts w:ascii="Liberation Mono" w:hAnsi="Liberation Mono" w:eastAsia="Liberation Mono"/>
      <w:color w:val="000000"/>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1: supplementary methods and evidence tables</dc:title>
  <dc:subject>Beyond a negative PSMA PET: artificial intelligence for occult pN1 risk and extended pelvic lymph-node dissection selection in prostate cancer—a systematic scoping review</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