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D0B" w:rsidRPr="00C940F5" w:rsidRDefault="00734D0B" w:rsidP="009E77FE">
      <w:pPr>
        <w:pStyle w:val="1"/>
        <w:rPr>
          <w:lang w:val="en-GB"/>
        </w:rPr>
      </w:pPr>
      <w:r w:rsidRPr="00C940F5">
        <w:rPr>
          <w:lang w:val="en-GB"/>
        </w:rPr>
        <w:t>Text S1 Emission scenarios</w:t>
      </w:r>
    </w:p>
    <w:p w:rsidR="00734D0B" w:rsidRPr="00C940F5" w:rsidRDefault="00734D0B" w:rsidP="009E77FE">
      <w:pPr>
        <w:ind w:firstLineChars="100" w:firstLine="240"/>
        <w:rPr>
          <w:lang w:val="en-GB"/>
        </w:rPr>
      </w:pPr>
      <w:r w:rsidRPr="00C940F5">
        <w:rPr>
          <w:lang w:val="en-GB"/>
        </w:rPr>
        <w:t xml:space="preserve">We used the INDC emissions data submitted by 192 countries according to the Paris Agreement. The INDC dataset is continuously updated and can be obtained from the UNFCCC website </w:t>
      </w:r>
      <w:r>
        <w:rPr>
          <w:noProof/>
          <w:lang w:val="en-GB"/>
        </w:rPr>
        <w:t>(UNFCCC 2019)</w:t>
      </w:r>
      <w:r w:rsidRPr="00C940F5">
        <w:rPr>
          <w:lang w:val="en-GB"/>
        </w:rPr>
        <w:t xml:space="preserve">. The emissions targets reported by each country vary from absolute emissions targets to emissions targets relative to a base year level, or emissions reduction targets relative to a baseline emissions scenario. We analysed and extracted the emissions targets of most countries. Of the 165 INDCs, 124 (covering 151 countries) were assessed and quantified, accounting for 93.6% of global greenhouse gas (GHG) emissions. The mitigation targets of the remaining INDCs could not be assessed because of a lack of quantified goals; however, they account for only a small part of global GHG emissions. For more details on the global INDC emissions calculations, refer to </w:t>
      </w:r>
      <w:r>
        <w:rPr>
          <w:noProof/>
          <w:lang w:val="en-GB"/>
        </w:rPr>
        <w:t>Wang et al. (2018)</w:t>
      </w:r>
      <w:r w:rsidRPr="00C940F5">
        <w:rPr>
          <w:lang w:val="en-GB"/>
        </w:rPr>
        <w:t>. Global INDC emissions before 2030 were estimated by adding up all national INDC emissions.</w:t>
      </w:r>
    </w:p>
    <w:p w:rsidR="00734D0B" w:rsidRPr="00C940F5" w:rsidRDefault="00734D0B" w:rsidP="009E77FE">
      <w:pPr>
        <w:ind w:firstLineChars="100" w:firstLine="240"/>
        <w:rPr>
          <w:lang w:val="en-GB"/>
        </w:rPr>
      </w:pPr>
      <w:r w:rsidRPr="00C940F5">
        <w:rPr>
          <w:lang w:val="en-GB"/>
        </w:rPr>
        <w:t>Simulations of future emissions, obtained using 28 socioeconomic models (IPCC AR5 scenario database, https://tntcat.iiasa.ac.at/AR5DB/), were used to extend the INDC scenarios until the end of this century. We considered the rate of decarbonization, carbon capture and storage technology (CCS), energy structure improvement, and time to carbon neutralization. We also considered the many possible interpretations of “INDC mitigation actions” available in the scenarios that contributed to the IPCC AR5 scenario database. We used scenarios that conform to the 2030 GHG emission levels that are consistent with the INDCs (50</w:t>
      </w:r>
      <w:r w:rsidRPr="00C940F5">
        <w:rPr>
          <w:lang w:val="en-GB"/>
        </w:rPr>
        <w:sym w:font="Symbol" w:char="F02D"/>
      </w:r>
      <w:r w:rsidRPr="00C940F5">
        <w:rPr>
          <w:lang w:val="en-GB"/>
        </w:rPr>
        <w:t>56 Gt CO</w:t>
      </w:r>
      <w:r w:rsidRPr="00C940F5">
        <w:rPr>
          <w:vertAlign w:val="subscript"/>
          <w:lang w:val="en-GB"/>
        </w:rPr>
        <w:t>2</w:t>
      </w:r>
      <w:r w:rsidRPr="00C940F5">
        <w:rPr>
          <w:lang w:val="en-GB"/>
        </w:rPr>
        <w:t xml:space="preserve"> eq/yr) and assumed </w:t>
      </w:r>
      <w:r>
        <w:rPr>
          <w:lang w:val="en-GB"/>
        </w:rPr>
        <w:t xml:space="preserve">that </w:t>
      </w:r>
      <w:r w:rsidRPr="00C940F5">
        <w:rPr>
          <w:lang w:val="en-GB"/>
        </w:rPr>
        <w:t>there are no sudden changes in climate over the 21st century. Considering the difficulty and uncertainty of carbon removal technology in the future, we took a conservative approach with respect to the future availability of negative emissions technologies and scenarios by using CCS &gt; 15 Gt CO</w:t>
      </w:r>
      <w:r w:rsidRPr="00E259FC">
        <w:rPr>
          <w:vertAlign w:val="subscript"/>
          <w:lang w:val="en-GB"/>
        </w:rPr>
        <w:t>2</w:t>
      </w:r>
      <w:r w:rsidRPr="00E259FC">
        <w:rPr>
          <w:lang w:val="en-GB"/>
        </w:rPr>
        <w:t> </w:t>
      </w:r>
      <w:r w:rsidRPr="00C940F5">
        <w:rPr>
          <w:lang w:val="en-GB"/>
        </w:rPr>
        <w:t>eq/yr.</w:t>
      </w:r>
    </w:p>
    <w:p w:rsidR="00734D0B" w:rsidRPr="00C940F5" w:rsidRDefault="00734D0B" w:rsidP="009E77FE">
      <w:pPr>
        <w:ind w:firstLineChars="100" w:firstLine="240"/>
        <w:rPr>
          <w:lang w:val="en-GB"/>
        </w:rPr>
      </w:pPr>
      <w:r w:rsidRPr="00C940F5">
        <w:rPr>
          <w:lang w:val="en-GB"/>
        </w:rPr>
        <w:t xml:space="preserve">We classified the emissions pathways into six groups using key characteristics such as emissions targets for specific years, renewable energy structure, and the amount of CCS (see </w:t>
      </w:r>
      <w:r w:rsidRPr="00C940F5">
        <w:rPr>
          <w:color w:val="0070C0"/>
          <w:lang w:val="en-GB"/>
        </w:rPr>
        <w:t>Fig. S1)</w:t>
      </w:r>
      <w:r w:rsidRPr="00C940F5">
        <w:rPr>
          <w:lang w:val="en-GB"/>
        </w:rPr>
        <w:t xml:space="preserve">. Group I (baseline scenario) includes scenarios without any </w:t>
      </w:r>
      <w:r w:rsidRPr="00C940F5">
        <w:rPr>
          <w:lang w:val="en-GB"/>
        </w:rPr>
        <w:lastRenderedPageBreak/>
        <w:t>additional climate policies or mitigation actions, where the GHG emissions continue to grow according to current trends. Group II is similar to Group I but allows for lower energy intensity in the future. Group III represents a weak</w:t>
      </w:r>
      <w:r>
        <w:rPr>
          <w:lang w:val="en-GB"/>
        </w:rPr>
        <w:t xml:space="preserve"> </w:t>
      </w:r>
      <w:r w:rsidRPr="00C940F5">
        <w:rPr>
          <w:lang w:val="en-GB"/>
        </w:rPr>
        <w:t xml:space="preserve">policy baseline scenario that considers existing climate policies, a weak interpretation (e.g., 2020 Copenhagen Pledges), and extrapolation of these targets beyond 2020 based on emissions intensity. Global emissions were assumed to peak in 2030 in Groups IV, V, and VI. Specifically, Group IV can be described as a “continued action” pathway. The relatively constant decarbonization rates were roughly followed in the period after 2030. The overall trend of Group V is close to that of Group IV, but mitigation is more rapid after 2030. Group VI involves CCS technology accelerating decarbonization and determining negative emissions in some pathways. </w:t>
      </w:r>
      <w:r w:rsidRPr="00E259FC">
        <w:rPr>
          <w:lang w:val="en-GB"/>
        </w:rPr>
        <w:t>In this study, we focused on Groups III and IV, which represent the INDC “continued action” scenario.</w:t>
      </w:r>
    </w:p>
    <w:p w:rsidR="00734D0B" w:rsidRPr="00C940F5" w:rsidRDefault="00734D0B" w:rsidP="009E77FE">
      <w:pPr>
        <w:rPr>
          <w:lang w:val="en-GB"/>
        </w:rPr>
      </w:pPr>
      <w:r w:rsidRPr="00C940F5">
        <w:rPr>
          <w:noProof/>
        </w:rPr>
        <w:drawing>
          <wp:inline distT="0" distB="0" distL="0" distR="0" wp14:anchorId="45BF30A1" wp14:editId="52B97784">
            <wp:extent cx="5274310" cy="3700780"/>
            <wp:effectExtent l="0" t="0" r="2540" b="0"/>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1排放路径_更新.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700780"/>
                    </a:xfrm>
                    <a:prstGeom prst="rect">
                      <a:avLst/>
                    </a:prstGeom>
                  </pic:spPr>
                </pic:pic>
              </a:graphicData>
            </a:graphic>
          </wp:inline>
        </w:drawing>
      </w:r>
    </w:p>
    <w:p w:rsidR="00734D0B" w:rsidRPr="00C940F5" w:rsidRDefault="00734D0B" w:rsidP="009E77FE">
      <w:pPr>
        <w:rPr>
          <w:lang w:val="en-GB"/>
        </w:rPr>
      </w:pPr>
      <w:r w:rsidRPr="00C940F5">
        <w:rPr>
          <w:b/>
          <w:lang w:val="en-GB"/>
        </w:rPr>
        <w:t>Figure S1</w:t>
      </w:r>
      <w:r w:rsidRPr="00C940F5">
        <w:rPr>
          <w:lang w:val="en-GB"/>
        </w:rPr>
        <w:t xml:space="preserve"> Future emissions pathways analysed in this example. The dashed vertical line delineates the range of conditional and unconditional INDC pledges in 2030</w:t>
      </w:r>
      <w:r>
        <w:rPr>
          <w:lang w:val="en-GB"/>
        </w:rPr>
        <w:t>,</w:t>
      </w:r>
      <w:r w:rsidRPr="00C940F5">
        <w:rPr>
          <w:lang w:val="en-GB"/>
        </w:rPr>
        <w:t xml:space="preserve"> and the thin lines show the selected emissions pathways that are classified into the six groups, differentiated by different colours. The grey and yellow shaded areas are the ranges of the 1.5 °C and 2 °C pathways, respectively, which are shown for reference </w:t>
      </w:r>
      <w:r>
        <w:rPr>
          <w:noProof/>
          <w:lang w:val="en-GB"/>
        </w:rPr>
        <w:lastRenderedPageBreak/>
        <w:t>(CAT 2017)</w:t>
      </w:r>
      <w:r w:rsidRPr="00C940F5">
        <w:rPr>
          <w:lang w:val="en-GB"/>
        </w:rPr>
        <w:t xml:space="preserve">. The right-hand </w:t>
      </w:r>
      <w:r w:rsidRPr="00C940F5">
        <w:rPr>
          <w:i/>
          <w:iCs/>
          <w:lang w:val="en-GB"/>
        </w:rPr>
        <w:t>y</w:t>
      </w:r>
      <w:r w:rsidRPr="00C940F5">
        <w:rPr>
          <w:lang w:val="en-GB"/>
        </w:rPr>
        <w:t>-axis shows the estimates of warming above the preindustrial level (ΔT) for each scenario group (the temperature range is the uncertainty range of 33</w:t>
      </w:r>
      <w:r w:rsidRPr="00C940F5">
        <w:rPr>
          <w:lang w:val="en-GB"/>
        </w:rPr>
        <w:sym w:font="Symbol" w:char="F02D"/>
      </w:r>
      <w:r w:rsidRPr="00C940F5">
        <w:rPr>
          <w:lang w:val="en-GB"/>
        </w:rPr>
        <w:t>66% and the median is in parentheses).</w:t>
      </w:r>
    </w:p>
    <w:p w:rsidR="00734D0B" w:rsidRPr="00C940F5" w:rsidRDefault="00734D0B" w:rsidP="009E77FE">
      <w:pPr>
        <w:pStyle w:val="1"/>
        <w:rPr>
          <w:lang w:val="en-GB"/>
        </w:rPr>
      </w:pPr>
      <w:r w:rsidRPr="00C940F5">
        <w:rPr>
          <w:lang w:val="en-GB"/>
        </w:rPr>
        <w:t>Text S2 Global warming responses to INDC emission reductions</w:t>
      </w:r>
    </w:p>
    <w:p w:rsidR="00734D0B" w:rsidRPr="00C940F5" w:rsidRDefault="00734D0B" w:rsidP="009E77FE">
      <w:pPr>
        <w:ind w:firstLineChars="100" w:firstLine="240"/>
        <w:rPr>
          <w:lang w:val="en-GB"/>
        </w:rPr>
      </w:pPr>
      <w:r w:rsidRPr="00C940F5">
        <w:rPr>
          <w:lang w:val="en-GB"/>
        </w:rPr>
        <w:t>Running a full suite of comprehensive Earth system models (ESMs), such as the CMIP5 model, to simulate climate response under INDC scenarios is unrealistic because of the high computational cost, while running only one model is not representative of climate response because of potential biases of the model. Recent studies have shown an approximately linear relationship between cumulative CO</w:t>
      </w:r>
      <w:r w:rsidRPr="00C940F5">
        <w:rPr>
          <w:vertAlign w:val="subscript"/>
          <w:lang w:val="en-GB"/>
        </w:rPr>
        <w:t>2</w:t>
      </w:r>
      <w:r w:rsidRPr="00C940F5">
        <w:rPr>
          <w:lang w:val="en-GB"/>
        </w:rPr>
        <w:t xml:space="preserve"> emissions and temperature change, thereby providing a way to evaluate climate response under INDC scenarios without the need to run additional simulations using comprehensive ESMs. Global mean warming under different INDC scenarios can be inferred from the relationship between climate warming and cumulative CO</w:t>
      </w:r>
      <w:r w:rsidRPr="00C940F5">
        <w:rPr>
          <w:vertAlign w:val="subscript"/>
          <w:lang w:val="en-GB"/>
        </w:rPr>
        <w:t>2</w:t>
      </w:r>
      <w:r w:rsidRPr="00C940F5">
        <w:rPr>
          <w:lang w:val="en-GB"/>
        </w:rPr>
        <w:t xml:space="preserve"> emissions </w:t>
      </w:r>
      <w:r>
        <w:rPr>
          <w:noProof/>
          <w:lang w:val="en-GB"/>
        </w:rPr>
        <w:t>(Collins et al. 2013, Gillett et al. 2013, Matthews et al. 2009, Tokarska et al. 2016, Zickfeld et al. 2009)</w:t>
      </w:r>
      <w:r w:rsidRPr="00C940F5">
        <w:rPr>
          <w:lang w:val="en-GB"/>
        </w:rPr>
        <w:t>. A function of temperature change responses to cumulative CO</w:t>
      </w:r>
      <w:r w:rsidRPr="00C940F5">
        <w:rPr>
          <w:vertAlign w:val="subscript"/>
          <w:lang w:val="en-GB"/>
        </w:rPr>
        <w:t>2</w:t>
      </w:r>
      <w:r w:rsidRPr="00C940F5">
        <w:rPr>
          <w:lang w:val="en-GB"/>
        </w:rPr>
        <w:t xml:space="preserve"> emissions (TRCE) was constructed from multimodel simulations and defined as </w:t>
      </w:r>
      <w:bookmarkStart w:id="0" w:name="OLE_LINK211"/>
      <w:bookmarkStart w:id="1" w:name="OLE_LINK212"/>
      <m:oMath>
        <m:sSub>
          <m:sSubPr>
            <m:ctrlPr>
              <w:rPr>
                <w:rFonts w:ascii="Cambria Math" w:hAnsi="Cambria Math"/>
                <w:iCs/>
                <w:lang w:val="en-GB"/>
              </w:rPr>
            </m:ctrlPr>
          </m:sSubPr>
          <m:e>
            <m:r>
              <m:rPr>
                <m:sty m:val="p"/>
              </m:rPr>
              <w:rPr>
                <w:rFonts w:ascii="Cambria Math" w:hAnsi="Cambria Math"/>
                <w:lang w:val="en-GB"/>
              </w:rPr>
              <m:t>TCRE</m:t>
            </m:r>
          </m:e>
          <m:sub>
            <m:r>
              <m:rPr>
                <m:sty m:val="p"/>
              </m:rPr>
              <w:rPr>
                <w:rFonts w:ascii="Cambria Math" w:hAnsi="Cambria Math"/>
                <w:lang w:val="en-GB"/>
              </w:rPr>
              <m:t>all</m:t>
            </m:r>
          </m:sub>
        </m:sSub>
        <m:r>
          <m:rPr>
            <m:sty m:val="p"/>
          </m:rPr>
          <w:rPr>
            <w:rFonts w:ascii="Cambria Math" w:hAnsi="Cambria Math"/>
            <w:lang w:val="en-GB"/>
          </w:rPr>
          <m:t>=</m:t>
        </m:r>
        <m:r>
          <w:rPr>
            <w:rFonts w:ascii="Cambria Math" w:hAnsi="Cambria Math"/>
            <w:lang w:val="en-GB"/>
          </w:rPr>
          <m:t>∆T/∆I</m:t>
        </m:r>
      </m:oMath>
      <w:bookmarkEnd w:id="0"/>
      <w:bookmarkEnd w:id="1"/>
      <w:r w:rsidRPr="00C940F5">
        <w:rPr>
          <w:lang w:val="en-GB"/>
        </w:rPr>
        <w:t xml:space="preserve">, where </w:t>
      </w:r>
      <m:oMath>
        <m:r>
          <w:rPr>
            <w:rFonts w:ascii="Cambria Math" w:hAnsi="Cambria Math"/>
            <w:lang w:val="en-GB"/>
          </w:rPr>
          <m:t>∆I</m:t>
        </m:r>
      </m:oMath>
      <w:r w:rsidRPr="00C940F5">
        <w:rPr>
          <w:lang w:val="en-GB"/>
        </w:rPr>
        <w:t xml:space="preserve"> represents the cumulative anthropogenic CO</w:t>
      </w:r>
      <w:r w:rsidRPr="00C940F5">
        <w:rPr>
          <w:vertAlign w:val="subscript"/>
          <w:lang w:val="en-GB"/>
        </w:rPr>
        <w:t>2</w:t>
      </w:r>
      <w:r w:rsidRPr="00C940F5">
        <w:rPr>
          <w:lang w:val="en-GB"/>
        </w:rPr>
        <w:t xml:space="preserve"> emissions and </w:t>
      </w:r>
      <m:oMath>
        <m:r>
          <w:rPr>
            <w:rFonts w:ascii="Cambria Math" w:hAnsi="Cambria Math"/>
            <w:lang w:val="en-GB"/>
          </w:rPr>
          <m:t>∆T</m:t>
        </m:r>
      </m:oMath>
      <w:r w:rsidRPr="00C940F5">
        <w:rPr>
          <w:lang w:val="en-GB"/>
        </w:rPr>
        <w:t xml:space="preserve"> is the corresponding change in global mean temperature, subject to decadal smoothing. All non-CO</w:t>
      </w:r>
      <w:r w:rsidRPr="00C940F5">
        <w:rPr>
          <w:vertAlign w:val="subscript"/>
          <w:lang w:val="en-GB"/>
        </w:rPr>
        <w:t>2</w:t>
      </w:r>
      <w:r w:rsidRPr="00C940F5">
        <w:rPr>
          <w:lang w:val="en-GB"/>
        </w:rPr>
        <w:t xml:space="preserve"> emissions in the INDC scenarios were converted into a unit of CO</w:t>
      </w:r>
      <w:r w:rsidRPr="00C940F5">
        <w:rPr>
          <w:vertAlign w:val="subscript"/>
          <w:lang w:val="en-GB"/>
        </w:rPr>
        <w:t>2</w:t>
      </w:r>
      <w:r w:rsidRPr="00C940F5">
        <w:rPr>
          <w:lang w:val="en-GB"/>
        </w:rPr>
        <w:t xml:space="preserve"> equivalent emissions.</w:t>
      </w:r>
    </w:p>
    <w:p w:rsidR="00734D0B" w:rsidRPr="00C940F5" w:rsidRDefault="00734D0B" w:rsidP="009E77FE">
      <w:pPr>
        <w:ind w:firstLineChars="100" w:firstLine="240"/>
        <w:rPr>
          <w:lang w:val="en-GB"/>
        </w:rPr>
      </w:pPr>
      <w:r w:rsidRPr="00C940F5">
        <w:rPr>
          <w:lang w:val="en-GB"/>
        </w:rPr>
        <w:t xml:space="preserve">The IPCC AR5 projected future climate change under a set of </w:t>
      </w:r>
      <w:r w:rsidRPr="008743E3">
        <w:rPr>
          <w:lang w:val="en-GB"/>
        </w:rPr>
        <w:t>Representative Concentration Pathways</w:t>
      </w:r>
      <w:r>
        <w:rPr>
          <w:lang w:val="en-GB"/>
        </w:rPr>
        <w:t xml:space="preserve"> (</w:t>
      </w:r>
      <w:r w:rsidRPr="00C940F5">
        <w:rPr>
          <w:lang w:val="en-GB"/>
        </w:rPr>
        <w:t>RCP</w:t>
      </w:r>
      <w:r>
        <w:rPr>
          <w:lang w:val="en-GB"/>
        </w:rPr>
        <w:t>)</w:t>
      </w:r>
      <w:r w:rsidRPr="00C940F5">
        <w:rPr>
          <w:lang w:val="en-GB"/>
        </w:rPr>
        <w:t xml:space="preserve"> scenarios, using an ensemble of comprehensive ESMs (CMIP5) and a reduced-complexity carbon-cycle and climate model [Model for the Assessment of Greenhouse Gas Induced Climate Change (MAGICC)]. The TCRE is relatively constant over time and is independent of the CO</w:t>
      </w:r>
      <w:r w:rsidRPr="00C940F5">
        <w:rPr>
          <w:vertAlign w:val="subscript"/>
          <w:lang w:val="en-GB"/>
        </w:rPr>
        <w:t>2</w:t>
      </w:r>
      <w:r w:rsidRPr="00C940F5">
        <w:rPr>
          <w:lang w:val="en-GB"/>
        </w:rPr>
        <w:t xml:space="preserve"> emissions pathway </w:t>
      </w:r>
      <w:r>
        <w:rPr>
          <w:lang w:val="en-GB"/>
        </w:rPr>
        <w:t xml:space="preserve">based on </w:t>
      </w:r>
      <w:r w:rsidRPr="00C940F5">
        <w:rPr>
          <w:lang w:val="en-GB"/>
        </w:rPr>
        <w:t xml:space="preserve">the results of the CMIP5/MAGICC model </w:t>
      </w:r>
      <w:r>
        <w:rPr>
          <w:noProof/>
          <w:lang w:val="en-GB"/>
        </w:rPr>
        <w:t>(Matthews et al. 2009, Allen et al. 2009, Rogelj, Meinshausen, and Knutti 2012)</w:t>
      </w:r>
      <w:r w:rsidRPr="00C940F5">
        <w:rPr>
          <w:lang w:val="en-GB"/>
        </w:rPr>
        <w:t xml:space="preserve">. Based on a reliable estimate of TCRE, warming in response to the INDC scenarios was defined as </w:t>
      </w:r>
      <m:oMath>
        <m:sSub>
          <m:sSubPr>
            <m:ctrlPr>
              <w:rPr>
                <w:rFonts w:ascii="Cambria Math" w:hAnsi="Cambria Math"/>
                <w:i/>
                <w:lang w:val="en-GB"/>
              </w:rPr>
            </m:ctrlPr>
          </m:sSubPr>
          <m:e>
            <m:r>
              <w:rPr>
                <w:rFonts w:ascii="Cambria Math" w:hAnsi="Cambria Math"/>
                <w:lang w:val="en-GB"/>
              </w:rPr>
              <m:t>∆T</m:t>
            </m:r>
          </m:e>
          <m:sub>
            <m:r>
              <m:rPr>
                <m:sty m:val="p"/>
              </m:rPr>
              <w:rPr>
                <w:rFonts w:ascii="Cambria Math" w:hAnsi="Cambria Math"/>
                <w:lang w:val="en-GB"/>
              </w:rPr>
              <m:t>INDC</m:t>
            </m:r>
          </m:sub>
        </m:sSub>
        <m:r>
          <m:rPr>
            <m:sty m:val="p"/>
          </m:rPr>
          <w:rPr>
            <w:rFonts w:ascii="Cambria Math" w:hAnsi="Cambria Math"/>
            <w:lang w:val="en-GB"/>
          </w:rPr>
          <m:t>=</m:t>
        </m:r>
        <m:sSub>
          <m:sSubPr>
            <m:ctrlPr>
              <w:rPr>
                <w:rFonts w:ascii="Cambria Math" w:hAnsi="Cambria Math"/>
                <w:iCs/>
                <w:lang w:val="en-GB"/>
              </w:rPr>
            </m:ctrlPr>
          </m:sSubPr>
          <m:e>
            <m:r>
              <m:rPr>
                <m:sty m:val="p"/>
              </m:rPr>
              <w:rPr>
                <w:rFonts w:ascii="Cambria Math" w:hAnsi="Cambria Math"/>
                <w:lang w:val="en-GB"/>
              </w:rPr>
              <m:t>TCRE</m:t>
            </m:r>
          </m:e>
          <m:sub>
            <m:r>
              <m:rPr>
                <m:sty m:val="p"/>
              </m:rPr>
              <w:rPr>
                <w:rFonts w:ascii="Cambria Math" w:hAnsi="Cambria Math"/>
                <w:lang w:val="en-GB"/>
              </w:rPr>
              <m:t>all</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∆I</m:t>
            </m:r>
          </m:e>
          <m:sub>
            <m:r>
              <m:rPr>
                <m:sty m:val="p"/>
              </m:rPr>
              <w:rPr>
                <w:rFonts w:ascii="Cambria Math" w:hAnsi="Cambria Math"/>
                <w:lang w:val="en-GB"/>
              </w:rPr>
              <m:t>INDC</m:t>
            </m:r>
          </m:sub>
        </m:sSub>
      </m:oMath>
      <w:r w:rsidRPr="00C940F5">
        <w:rPr>
          <w:lang w:val="en-GB"/>
        </w:rPr>
        <w:t xml:space="preserve">, where </w:t>
      </w:r>
      <m:oMath>
        <m:sSub>
          <m:sSubPr>
            <m:ctrlPr>
              <w:rPr>
                <w:rFonts w:ascii="Cambria Math" w:hAnsi="Cambria Math"/>
                <w:i/>
                <w:lang w:val="en-GB"/>
              </w:rPr>
            </m:ctrlPr>
          </m:sSubPr>
          <m:e>
            <m:r>
              <w:rPr>
                <w:rFonts w:ascii="Cambria Math" w:hAnsi="Cambria Math"/>
                <w:lang w:val="en-GB"/>
              </w:rPr>
              <m:t>∆I</m:t>
            </m:r>
          </m:e>
          <m:sub>
            <m:r>
              <m:rPr>
                <m:sty m:val="p"/>
              </m:rPr>
              <w:rPr>
                <w:rFonts w:ascii="Cambria Math" w:hAnsi="Cambria Math"/>
                <w:lang w:val="en-GB"/>
              </w:rPr>
              <m:t>INDC</m:t>
            </m:r>
          </m:sub>
        </m:sSub>
      </m:oMath>
      <w:r w:rsidRPr="00C940F5">
        <w:rPr>
          <w:lang w:val="en-GB"/>
        </w:rPr>
        <w:t xml:space="preserve"> is the cumulative emissions under the INDC scenarios.</w:t>
      </w:r>
    </w:p>
    <w:p w:rsidR="00734D0B" w:rsidRPr="00C940F5" w:rsidRDefault="00734D0B" w:rsidP="009E77FE">
      <w:pPr>
        <w:ind w:firstLineChars="100" w:firstLine="240"/>
        <w:rPr>
          <w:lang w:val="en-GB"/>
        </w:rPr>
      </w:pPr>
      <w:r w:rsidRPr="00C940F5">
        <w:rPr>
          <w:lang w:val="en-GB"/>
        </w:rPr>
        <w:t xml:space="preserve">Several studies also provided evaluation results. For example, the United Nations Environment Program (UNEP) published the Emissions Gap Report </w:t>
      </w:r>
      <w:r>
        <w:rPr>
          <w:noProof/>
          <w:lang w:val="en-GB"/>
        </w:rPr>
        <w:t>(UNEP 2017)</w:t>
      </w:r>
      <w:r w:rsidRPr="00C940F5">
        <w:rPr>
          <w:lang w:val="en-GB"/>
        </w:rPr>
        <w:t xml:space="preserve">, which hypothesized that global emissions in accordance with the INDCs would result in global warming 3–4 °C (probability &gt;66%) above the preindustrial level by 2100 and would have a profound impact on the climate. </w:t>
      </w:r>
      <w:r>
        <w:rPr>
          <w:noProof/>
          <w:lang w:val="en-GB"/>
        </w:rPr>
        <w:t>Rogelj et al. (2016)</w:t>
      </w:r>
      <w:r w:rsidRPr="00C940F5">
        <w:rPr>
          <w:color w:val="4472C4" w:themeColor="accent5"/>
          <w:lang w:val="en-GB"/>
        </w:rPr>
        <w:t xml:space="preserve"> </w:t>
      </w:r>
      <w:r w:rsidRPr="00C940F5">
        <w:rPr>
          <w:lang w:val="en-GB"/>
        </w:rPr>
        <w:t xml:space="preserve">showed that the median temperature rise at the end of this century will be ~2.6–3.1 °C, with a stronger temperature increase likely. The </w:t>
      </w:r>
      <w:r>
        <w:rPr>
          <w:noProof/>
          <w:lang w:val="en-GB"/>
        </w:rPr>
        <w:t>CI (2016)</w:t>
      </w:r>
      <w:r w:rsidRPr="00C940F5">
        <w:rPr>
          <w:lang w:val="en-GB"/>
        </w:rPr>
        <w:t xml:space="preserve"> reported a range of ~2.0–4.6 °C based on INDC scenarios. </w:t>
      </w:r>
      <w:r>
        <w:rPr>
          <w:noProof/>
          <w:lang w:val="en-GB"/>
        </w:rPr>
        <w:t>Wang et al. (2018)</w:t>
      </w:r>
      <w:r w:rsidRPr="00C940F5">
        <w:rPr>
          <w:lang w:val="en-GB"/>
        </w:rPr>
        <w:t xml:space="preserve"> pointed out that the INDC emissions would lead to a global mean warming of 1.4 °C (1.3–1.7 °C) by 2030 and 3.2 °C (2.6–4.3 °C) by 2100. We synthesised the results from the above-mentioned studies and assessed the corresponding potential global mean temperature rise for various emission scenarios based on 78 climate sensitivity experiments from the GCM ensemble of CMIP5 </w:t>
      </w:r>
      <w:r>
        <w:rPr>
          <w:noProof/>
          <w:lang w:val="en-GB"/>
        </w:rPr>
        <w:t>(Taylor, Stouffer, and Meehl 2011)</w:t>
      </w:r>
      <w:r w:rsidRPr="00C940F5">
        <w:rPr>
          <w:lang w:val="en-GB"/>
        </w:rPr>
        <w:t xml:space="preserve">. </w:t>
      </w:r>
      <w:r>
        <w:rPr>
          <w:lang w:val="en-GB"/>
        </w:rPr>
        <w:t>As the results, w</w:t>
      </w:r>
      <w:r w:rsidRPr="00C940F5">
        <w:rPr>
          <w:lang w:val="en-GB"/>
        </w:rPr>
        <w:t xml:space="preserve">e determined that </w:t>
      </w:r>
      <m:oMath>
        <m:sSub>
          <m:sSubPr>
            <m:ctrlPr>
              <w:rPr>
                <w:rFonts w:ascii="Cambria Math" w:hAnsi="Cambria Math"/>
                <w:i/>
                <w:szCs w:val="20"/>
                <w:lang w:val="en-GB"/>
              </w:rPr>
            </m:ctrlPr>
          </m:sSubPr>
          <m:e>
            <m:r>
              <w:rPr>
                <w:rFonts w:ascii="Cambria Math" w:hAnsi="Cambria Math"/>
                <w:szCs w:val="20"/>
                <w:lang w:val="en-GB"/>
              </w:rPr>
              <m:t>∆T</m:t>
            </m:r>
          </m:e>
          <m:sub>
            <m:r>
              <m:rPr>
                <m:sty m:val="p"/>
              </m:rPr>
              <w:rPr>
                <w:rFonts w:ascii="Cambria Math" w:hAnsi="Cambria Math"/>
                <w:szCs w:val="20"/>
                <w:lang w:val="en-GB"/>
              </w:rPr>
              <m:t>INDC</m:t>
            </m:r>
          </m:sub>
        </m:sSub>
        <m:r>
          <m:rPr>
            <m:sty m:val="p"/>
          </m:rPr>
          <w:rPr>
            <w:rFonts w:ascii="Cambria Math" w:hAnsi="Cambria Math"/>
            <w:szCs w:val="20"/>
            <w:lang w:val="en-GB"/>
          </w:rPr>
          <m:t>≈2.9</m:t>
        </m:r>
        <m:r>
          <m:rPr>
            <m:sty m:val="p"/>
          </m:rPr>
          <w:rPr>
            <w:rFonts w:ascii="Cambria Math" w:hAnsi="Cambria Math"/>
            <w:szCs w:val="20"/>
            <w:lang w:val="en-GB"/>
          </w:rPr>
          <w:sym w:font="Symbol" w:char="F02D"/>
        </m:r>
        <m:r>
          <m:rPr>
            <m:sty m:val="p"/>
          </m:rPr>
          <w:rPr>
            <w:rFonts w:ascii="Cambria Math" w:hAnsi="Cambria Math"/>
            <w:szCs w:val="20"/>
            <w:lang w:val="en-GB"/>
          </w:rPr>
          <m:t>3.3 </m:t>
        </m:r>
        <m:r>
          <m:rPr>
            <m:sty m:val="p"/>
          </m:rPr>
          <w:rPr>
            <w:rFonts w:ascii="Cambria Math" w:hAnsi="Cambria Math"/>
            <w:lang w:val="en-GB"/>
          </w:rPr>
          <m:t>°C</m:t>
        </m:r>
        <m:r>
          <m:rPr>
            <m:sty m:val="p"/>
          </m:rPr>
          <w:rPr>
            <w:rFonts w:ascii="Cambria Math" w:hAnsi="Cambria Math"/>
            <w:szCs w:val="20"/>
            <w:lang w:val="en-GB"/>
          </w:rPr>
          <m:t xml:space="preserve"> </m:t>
        </m:r>
      </m:oMath>
      <w:r w:rsidRPr="00C940F5">
        <w:rPr>
          <w:lang w:val="en-GB"/>
        </w:rPr>
        <w:t>(median 3.1 °C) is the most likely temperature increase range for the “continued action” pathways of the INDCs.</w:t>
      </w:r>
    </w:p>
    <w:p w:rsidR="00734D0B" w:rsidRPr="00C940F5" w:rsidRDefault="00734D0B" w:rsidP="009E77FE">
      <w:pPr>
        <w:widowControl/>
        <w:jc w:val="left"/>
        <w:rPr>
          <w:b/>
          <w:lang w:val="en-GB"/>
        </w:rPr>
      </w:pPr>
      <w:r w:rsidRPr="00C940F5">
        <w:rPr>
          <w:b/>
          <w:lang w:val="en-GB"/>
        </w:rPr>
        <w:br w:type="page"/>
      </w:r>
    </w:p>
    <w:p w:rsidR="00734D0B" w:rsidRPr="00C940F5" w:rsidRDefault="00734D0B" w:rsidP="009E77FE">
      <w:pPr>
        <w:rPr>
          <w:lang w:val="en-GB"/>
        </w:rPr>
      </w:pPr>
      <w:r w:rsidRPr="00963707">
        <w:rPr>
          <w:b/>
          <w:lang w:val="en-GB"/>
        </w:rPr>
        <w:lastRenderedPageBreak/>
        <w:t>Table S1 Basic information on the 17 GCMs in the CMIP5 used in this study.</w:t>
      </w:r>
      <w:r w:rsidR="00963707" w:rsidRPr="00963707">
        <w:t xml:space="preserve"> </w:t>
      </w:r>
      <w:r w:rsidR="00963707" w:rsidRPr="002270FA">
        <w:t>The selection of these 17 models is mainly based on the availability of data</w:t>
      </w:r>
      <w:r w:rsidR="00963707">
        <w:t xml:space="preserve"> (precipitation and a</w:t>
      </w:r>
      <w:r w:rsidR="00963707" w:rsidRPr="009A2169">
        <w:t>ll the inputs required for the Penman-Monteith model</w:t>
      </w:r>
      <w:r w:rsidR="00963707">
        <w:t>)</w:t>
      </w:r>
      <w:r w:rsidR="00963707" w:rsidRPr="002270FA">
        <w:t>.</w:t>
      </w:r>
      <w:bookmarkStart w:id="2" w:name="_GoBack"/>
      <w:bookmarkEnd w:id="2"/>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3543"/>
        <w:gridCol w:w="1129"/>
        <w:gridCol w:w="1497"/>
      </w:tblGrid>
      <w:tr w:rsidR="00734D0B" w:rsidRPr="00C940F5" w:rsidTr="001943A4">
        <w:trPr>
          <w:cantSplit/>
          <w:tblHeader/>
        </w:trPr>
        <w:tc>
          <w:tcPr>
            <w:tcW w:w="2127" w:type="dxa"/>
            <w:tcBorders>
              <w:top w:val="single" w:sz="12" w:space="0" w:color="auto"/>
              <w:bottom w:val="single" w:sz="8" w:space="0" w:color="auto"/>
            </w:tcBorders>
          </w:tcPr>
          <w:p w:rsidR="00734D0B" w:rsidRPr="00C940F5" w:rsidRDefault="00734D0B" w:rsidP="001943A4">
            <w:pPr>
              <w:jc w:val="left"/>
              <w:rPr>
                <w:b/>
                <w:lang w:val="en-GB"/>
              </w:rPr>
            </w:pPr>
            <w:r w:rsidRPr="00C940F5">
              <w:rPr>
                <w:b/>
                <w:lang w:val="en-GB"/>
              </w:rPr>
              <w:lastRenderedPageBreak/>
              <w:t>Model name</w:t>
            </w:r>
          </w:p>
        </w:tc>
        <w:tc>
          <w:tcPr>
            <w:tcW w:w="3543" w:type="dxa"/>
            <w:tcBorders>
              <w:top w:val="single" w:sz="12" w:space="0" w:color="auto"/>
              <w:bottom w:val="single" w:sz="8" w:space="0" w:color="auto"/>
            </w:tcBorders>
          </w:tcPr>
          <w:p w:rsidR="00734D0B" w:rsidRPr="00C940F5" w:rsidRDefault="00734D0B" w:rsidP="001943A4">
            <w:pPr>
              <w:jc w:val="left"/>
              <w:rPr>
                <w:b/>
                <w:lang w:val="en-GB"/>
              </w:rPr>
            </w:pPr>
            <w:r w:rsidRPr="00C940F5">
              <w:rPr>
                <w:b/>
                <w:lang w:val="en-GB"/>
              </w:rPr>
              <w:t>Institute</w:t>
            </w:r>
          </w:p>
        </w:tc>
        <w:tc>
          <w:tcPr>
            <w:tcW w:w="1129" w:type="dxa"/>
            <w:tcBorders>
              <w:top w:val="single" w:sz="12" w:space="0" w:color="auto"/>
              <w:bottom w:val="single" w:sz="8" w:space="0" w:color="auto"/>
            </w:tcBorders>
          </w:tcPr>
          <w:p w:rsidR="00734D0B" w:rsidRPr="00C940F5" w:rsidRDefault="00734D0B" w:rsidP="001943A4">
            <w:pPr>
              <w:jc w:val="left"/>
              <w:rPr>
                <w:b/>
                <w:lang w:val="en-GB"/>
              </w:rPr>
            </w:pPr>
            <w:r w:rsidRPr="00C940F5">
              <w:rPr>
                <w:b/>
                <w:lang w:val="en-GB"/>
              </w:rPr>
              <w:t>Country</w:t>
            </w:r>
          </w:p>
        </w:tc>
        <w:tc>
          <w:tcPr>
            <w:tcW w:w="1497" w:type="dxa"/>
            <w:tcBorders>
              <w:top w:val="single" w:sz="12" w:space="0" w:color="auto"/>
              <w:left w:val="nil"/>
              <w:bottom w:val="single" w:sz="8" w:space="0" w:color="auto"/>
            </w:tcBorders>
          </w:tcPr>
          <w:p w:rsidR="00734D0B" w:rsidRPr="00C940F5" w:rsidRDefault="00734D0B" w:rsidP="001943A4">
            <w:pPr>
              <w:jc w:val="center"/>
              <w:rPr>
                <w:b/>
                <w:lang w:val="en-GB"/>
              </w:rPr>
            </w:pPr>
            <w:r w:rsidRPr="00C940F5">
              <w:rPr>
                <w:b/>
                <w:lang w:val="en-GB"/>
              </w:rPr>
              <w:t>Horizontal resolution</w:t>
            </w:r>
          </w:p>
        </w:tc>
      </w:tr>
      <w:tr w:rsidR="00734D0B" w:rsidRPr="00C940F5" w:rsidTr="001943A4">
        <w:trPr>
          <w:cantSplit/>
          <w:tblHeader/>
        </w:trPr>
        <w:tc>
          <w:tcPr>
            <w:tcW w:w="2127" w:type="dxa"/>
            <w:tcBorders>
              <w:top w:val="single" w:sz="4" w:space="0" w:color="auto"/>
            </w:tcBorders>
          </w:tcPr>
          <w:p w:rsidR="00734D0B" w:rsidRPr="00C940F5" w:rsidRDefault="00734D0B" w:rsidP="001943A4">
            <w:pPr>
              <w:jc w:val="left"/>
              <w:rPr>
                <w:b/>
                <w:lang w:val="en-GB"/>
              </w:rPr>
            </w:pPr>
            <w:r w:rsidRPr="00C940F5">
              <w:rPr>
                <w:b/>
                <w:lang w:val="en-GB"/>
              </w:rPr>
              <w:t>BCC-CSM1-1</w:t>
            </w:r>
          </w:p>
        </w:tc>
        <w:tc>
          <w:tcPr>
            <w:tcW w:w="3543" w:type="dxa"/>
            <w:vMerge w:val="restart"/>
            <w:tcBorders>
              <w:top w:val="single" w:sz="4" w:space="0" w:color="auto"/>
            </w:tcBorders>
          </w:tcPr>
          <w:p w:rsidR="00734D0B" w:rsidRPr="00C940F5" w:rsidRDefault="00734D0B" w:rsidP="001943A4">
            <w:pPr>
              <w:jc w:val="left"/>
              <w:rPr>
                <w:lang w:val="en-GB"/>
              </w:rPr>
            </w:pPr>
            <w:r w:rsidRPr="00C940F5">
              <w:rPr>
                <w:lang w:val="en-GB"/>
              </w:rPr>
              <w:t>Beijing Climate Center, China Meteorological Administration</w:t>
            </w:r>
          </w:p>
        </w:tc>
        <w:tc>
          <w:tcPr>
            <w:tcW w:w="1129" w:type="dxa"/>
            <w:vMerge w:val="restart"/>
            <w:tcBorders>
              <w:top w:val="single" w:sz="4" w:space="0" w:color="auto"/>
            </w:tcBorders>
          </w:tcPr>
          <w:p w:rsidR="00734D0B" w:rsidRPr="00C940F5" w:rsidRDefault="00734D0B" w:rsidP="001943A4">
            <w:pPr>
              <w:jc w:val="left"/>
              <w:rPr>
                <w:lang w:val="en-GB"/>
              </w:rPr>
            </w:pPr>
            <w:r w:rsidRPr="00C940F5">
              <w:rPr>
                <w:lang w:val="en-GB"/>
              </w:rPr>
              <w:t>China</w:t>
            </w:r>
          </w:p>
        </w:tc>
        <w:tc>
          <w:tcPr>
            <w:tcW w:w="1497" w:type="dxa"/>
            <w:tcBorders>
              <w:top w:val="single" w:sz="4" w:space="0" w:color="auto"/>
            </w:tcBorders>
          </w:tcPr>
          <w:p w:rsidR="00734D0B" w:rsidRPr="00C940F5" w:rsidRDefault="00734D0B" w:rsidP="001943A4">
            <w:pPr>
              <w:jc w:val="center"/>
              <w:rPr>
                <w:lang w:val="en-GB"/>
              </w:rPr>
            </w:pPr>
            <w:r w:rsidRPr="00C940F5">
              <w:rPr>
                <w:lang w:val="en-GB"/>
              </w:rPr>
              <w:t>128 × 64</w:t>
            </w:r>
          </w:p>
        </w:tc>
      </w:tr>
      <w:tr w:rsidR="00734D0B" w:rsidRPr="00C940F5" w:rsidTr="001943A4">
        <w:trPr>
          <w:cantSplit/>
          <w:tblHeader/>
        </w:trPr>
        <w:tc>
          <w:tcPr>
            <w:tcW w:w="2127" w:type="dxa"/>
            <w:tcBorders>
              <w:bottom w:val="single" w:sz="4" w:space="0" w:color="auto"/>
            </w:tcBorders>
          </w:tcPr>
          <w:p w:rsidR="00734D0B" w:rsidRPr="00C940F5" w:rsidRDefault="00734D0B" w:rsidP="001943A4">
            <w:pPr>
              <w:jc w:val="left"/>
              <w:rPr>
                <w:b/>
                <w:lang w:val="en-GB"/>
              </w:rPr>
            </w:pPr>
            <w:r w:rsidRPr="00C940F5">
              <w:rPr>
                <w:b/>
                <w:lang w:val="en-GB"/>
              </w:rPr>
              <w:t>BCC-CSM1-1-m</w:t>
            </w:r>
          </w:p>
        </w:tc>
        <w:tc>
          <w:tcPr>
            <w:tcW w:w="3543" w:type="dxa"/>
            <w:vMerge/>
            <w:tcBorders>
              <w:bottom w:val="single" w:sz="4" w:space="0" w:color="auto"/>
            </w:tcBorders>
          </w:tcPr>
          <w:p w:rsidR="00734D0B" w:rsidRPr="00C940F5" w:rsidRDefault="00734D0B" w:rsidP="001943A4">
            <w:pPr>
              <w:jc w:val="left"/>
              <w:rPr>
                <w:lang w:val="en-GB"/>
              </w:rPr>
            </w:pPr>
          </w:p>
        </w:tc>
        <w:tc>
          <w:tcPr>
            <w:tcW w:w="1129" w:type="dxa"/>
            <w:vMerge/>
            <w:tcBorders>
              <w:bottom w:val="single" w:sz="4" w:space="0" w:color="auto"/>
            </w:tcBorders>
          </w:tcPr>
          <w:p w:rsidR="00734D0B" w:rsidRPr="00C940F5" w:rsidRDefault="00734D0B" w:rsidP="001943A4">
            <w:pPr>
              <w:jc w:val="left"/>
              <w:rPr>
                <w:lang w:val="en-GB"/>
              </w:rPr>
            </w:pPr>
          </w:p>
        </w:tc>
        <w:tc>
          <w:tcPr>
            <w:tcW w:w="1497" w:type="dxa"/>
            <w:tcBorders>
              <w:bottom w:val="single" w:sz="4" w:space="0" w:color="auto"/>
            </w:tcBorders>
          </w:tcPr>
          <w:p w:rsidR="00734D0B" w:rsidRPr="00C940F5" w:rsidRDefault="00734D0B" w:rsidP="001943A4">
            <w:pPr>
              <w:jc w:val="center"/>
              <w:rPr>
                <w:lang w:val="en-GB"/>
              </w:rPr>
            </w:pPr>
            <w:r w:rsidRPr="00C940F5">
              <w:rPr>
                <w:lang w:val="en-GB"/>
              </w:rPr>
              <w:t>320 × 160</w:t>
            </w:r>
          </w:p>
        </w:tc>
      </w:tr>
      <w:tr w:rsidR="00734D0B" w:rsidRPr="00C940F5" w:rsidTr="001943A4">
        <w:trPr>
          <w:cantSplit/>
          <w:tblHeader/>
        </w:trPr>
        <w:tc>
          <w:tcPr>
            <w:tcW w:w="2127" w:type="dxa"/>
            <w:tcBorders>
              <w:top w:val="single" w:sz="4" w:space="0" w:color="auto"/>
              <w:bottom w:val="single" w:sz="4" w:space="0" w:color="auto"/>
            </w:tcBorders>
          </w:tcPr>
          <w:p w:rsidR="00734D0B" w:rsidRPr="00C940F5" w:rsidRDefault="00734D0B" w:rsidP="001943A4">
            <w:pPr>
              <w:jc w:val="left"/>
              <w:rPr>
                <w:b/>
                <w:lang w:val="en-GB"/>
              </w:rPr>
            </w:pPr>
            <w:r w:rsidRPr="00C940F5">
              <w:rPr>
                <w:b/>
                <w:lang w:val="en-GB"/>
              </w:rPr>
              <w:t>BNU-ESM</w:t>
            </w:r>
          </w:p>
        </w:tc>
        <w:tc>
          <w:tcPr>
            <w:tcW w:w="3543" w:type="dxa"/>
            <w:tcBorders>
              <w:top w:val="single" w:sz="4" w:space="0" w:color="auto"/>
              <w:bottom w:val="single" w:sz="4" w:space="0" w:color="auto"/>
            </w:tcBorders>
          </w:tcPr>
          <w:p w:rsidR="00734D0B" w:rsidRPr="00C940F5" w:rsidRDefault="00734D0B" w:rsidP="001943A4">
            <w:pPr>
              <w:tabs>
                <w:tab w:val="left" w:pos="675"/>
              </w:tabs>
              <w:jc w:val="left"/>
              <w:rPr>
                <w:lang w:val="en-GB"/>
              </w:rPr>
            </w:pPr>
            <w:r w:rsidRPr="00C940F5">
              <w:rPr>
                <w:lang w:val="en-GB"/>
              </w:rPr>
              <w:t>Beijing Normal University</w:t>
            </w:r>
          </w:p>
        </w:tc>
        <w:tc>
          <w:tcPr>
            <w:tcW w:w="1129" w:type="dxa"/>
            <w:tcBorders>
              <w:top w:val="single" w:sz="4" w:space="0" w:color="auto"/>
              <w:bottom w:val="single" w:sz="4" w:space="0" w:color="auto"/>
            </w:tcBorders>
          </w:tcPr>
          <w:p w:rsidR="00734D0B" w:rsidRPr="00C940F5" w:rsidRDefault="00734D0B" w:rsidP="001943A4">
            <w:pPr>
              <w:jc w:val="left"/>
              <w:rPr>
                <w:lang w:val="en-GB"/>
              </w:rPr>
            </w:pPr>
            <w:r w:rsidRPr="00C940F5">
              <w:rPr>
                <w:lang w:val="en-GB"/>
              </w:rPr>
              <w:t>China</w:t>
            </w:r>
          </w:p>
        </w:tc>
        <w:tc>
          <w:tcPr>
            <w:tcW w:w="1497" w:type="dxa"/>
            <w:tcBorders>
              <w:top w:val="single" w:sz="4" w:space="0" w:color="auto"/>
              <w:bottom w:val="single" w:sz="4" w:space="0" w:color="auto"/>
            </w:tcBorders>
          </w:tcPr>
          <w:p w:rsidR="00734D0B" w:rsidRPr="00C940F5" w:rsidRDefault="00734D0B" w:rsidP="001943A4">
            <w:pPr>
              <w:jc w:val="center"/>
              <w:rPr>
                <w:lang w:val="en-GB"/>
              </w:rPr>
            </w:pPr>
            <w:r w:rsidRPr="00C940F5">
              <w:rPr>
                <w:lang w:val="en-GB"/>
              </w:rPr>
              <w:t>128 × 64</w:t>
            </w:r>
          </w:p>
        </w:tc>
      </w:tr>
      <w:tr w:rsidR="00734D0B" w:rsidRPr="00C940F5" w:rsidTr="001943A4">
        <w:trPr>
          <w:cantSplit/>
          <w:tblHeader/>
        </w:trPr>
        <w:tc>
          <w:tcPr>
            <w:tcW w:w="2127" w:type="dxa"/>
            <w:tcBorders>
              <w:top w:val="single" w:sz="4" w:space="0" w:color="auto"/>
              <w:bottom w:val="single" w:sz="4" w:space="0" w:color="auto"/>
            </w:tcBorders>
          </w:tcPr>
          <w:p w:rsidR="00734D0B" w:rsidRPr="00C940F5" w:rsidRDefault="00734D0B" w:rsidP="001943A4">
            <w:pPr>
              <w:jc w:val="left"/>
              <w:rPr>
                <w:b/>
                <w:color w:val="A5A5A5" w:themeColor="accent3"/>
                <w:lang w:val="en-GB"/>
              </w:rPr>
            </w:pPr>
            <w:r w:rsidRPr="00C940F5">
              <w:rPr>
                <w:b/>
                <w:lang w:val="en-GB"/>
              </w:rPr>
              <w:t>CanESM2</w:t>
            </w:r>
          </w:p>
        </w:tc>
        <w:tc>
          <w:tcPr>
            <w:tcW w:w="3543" w:type="dxa"/>
            <w:tcBorders>
              <w:top w:val="single" w:sz="4" w:space="0" w:color="auto"/>
              <w:bottom w:val="single" w:sz="4" w:space="0" w:color="auto"/>
            </w:tcBorders>
          </w:tcPr>
          <w:p w:rsidR="00734D0B" w:rsidRPr="00C940F5" w:rsidRDefault="00734D0B" w:rsidP="001943A4">
            <w:pPr>
              <w:jc w:val="left"/>
              <w:rPr>
                <w:lang w:val="en-GB"/>
              </w:rPr>
            </w:pPr>
            <w:r w:rsidRPr="00C940F5">
              <w:rPr>
                <w:lang w:val="en-GB"/>
              </w:rPr>
              <w:t>Canadian Centre for Climate Modelling and Analysis</w:t>
            </w:r>
          </w:p>
        </w:tc>
        <w:tc>
          <w:tcPr>
            <w:tcW w:w="1129" w:type="dxa"/>
            <w:tcBorders>
              <w:top w:val="single" w:sz="4" w:space="0" w:color="auto"/>
              <w:bottom w:val="single" w:sz="4" w:space="0" w:color="auto"/>
            </w:tcBorders>
          </w:tcPr>
          <w:p w:rsidR="00734D0B" w:rsidRPr="00C940F5" w:rsidRDefault="00734D0B" w:rsidP="001943A4">
            <w:pPr>
              <w:jc w:val="left"/>
              <w:rPr>
                <w:lang w:val="en-GB"/>
              </w:rPr>
            </w:pPr>
            <w:r w:rsidRPr="00C940F5">
              <w:rPr>
                <w:lang w:val="en-GB"/>
              </w:rPr>
              <w:t>Canada</w:t>
            </w:r>
          </w:p>
        </w:tc>
        <w:tc>
          <w:tcPr>
            <w:tcW w:w="1497" w:type="dxa"/>
            <w:tcBorders>
              <w:top w:val="single" w:sz="4" w:space="0" w:color="auto"/>
              <w:bottom w:val="single" w:sz="4" w:space="0" w:color="auto"/>
            </w:tcBorders>
          </w:tcPr>
          <w:p w:rsidR="00734D0B" w:rsidRPr="00C940F5" w:rsidRDefault="00734D0B" w:rsidP="001943A4">
            <w:pPr>
              <w:jc w:val="center"/>
              <w:rPr>
                <w:lang w:val="en-GB"/>
              </w:rPr>
            </w:pPr>
            <w:r w:rsidRPr="00C940F5">
              <w:rPr>
                <w:lang w:val="en-GB"/>
              </w:rPr>
              <w:t>128 × 64</w:t>
            </w:r>
          </w:p>
        </w:tc>
      </w:tr>
      <w:tr w:rsidR="00734D0B" w:rsidRPr="00C940F5" w:rsidTr="001943A4">
        <w:trPr>
          <w:cantSplit/>
          <w:tblHeader/>
        </w:trPr>
        <w:tc>
          <w:tcPr>
            <w:tcW w:w="2127" w:type="dxa"/>
            <w:tcBorders>
              <w:top w:val="single" w:sz="4" w:space="0" w:color="auto"/>
              <w:bottom w:val="single" w:sz="4" w:space="0" w:color="auto"/>
            </w:tcBorders>
          </w:tcPr>
          <w:p w:rsidR="00734D0B" w:rsidRPr="00C940F5" w:rsidRDefault="00734D0B" w:rsidP="001943A4">
            <w:pPr>
              <w:jc w:val="left"/>
              <w:rPr>
                <w:b/>
                <w:lang w:val="en-GB"/>
              </w:rPr>
            </w:pPr>
            <w:r w:rsidRPr="00C940F5">
              <w:rPr>
                <w:b/>
                <w:lang w:val="en-GB"/>
              </w:rPr>
              <w:t>CNRM-CM5</w:t>
            </w:r>
          </w:p>
        </w:tc>
        <w:tc>
          <w:tcPr>
            <w:tcW w:w="3543" w:type="dxa"/>
            <w:tcBorders>
              <w:top w:val="single" w:sz="4" w:space="0" w:color="auto"/>
              <w:bottom w:val="single" w:sz="4" w:space="0" w:color="auto"/>
            </w:tcBorders>
          </w:tcPr>
          <w:p w:rsidR="00734D0B" w:rsidRPr="00C940F5" w:rsidRDefault="00734D0B" w:rsidP="001943A4">
            <w:pPr>
              <w:jc w:val="left"/>
              <w:rPr>
                <w:lang w:val="en-GB"/>
              </w:rPr>
            </w:pPr>
            <w:r w:rsidRPr="00C940F5">
              <w:rPr>
                <w:lang w:val="en-GB"/>
              </w:rPr>
              <w:t>Centre National de Recherches Météorologiques, Centre Européen de Recherche et de Formation Avancée en Calcul Scientifique</w:t>
            </w:r>
          </w:p>
        </w:tc>
        <w:tc>
          <w:tcPr>
            <w:tcW w:w="1129" w:type="dxa"/>
            <w:tcBorders>
              <w:top w:val="single" w:sz="4" w:space="0" w:color="auto"/>
              <w:bottom w:val="single" w:sz="4" w:space="0" w:color="auto"/>
            </w:tcBorders>
          </w:tcPr>
          <w:p w:rsidR="00734D0B" w:rsidRPr="00C940F5" w:rsidRDefault="00734D0B" w:rsidP="001943A4">
            <w:pPr>
              <w:jc w:val="left"/>
              <w:rPr>
                <w:lang w:val="en-GB"/>
              </w:rPr>
            </w:pPr>
            <w:r w:rsidRPr="00C940F5">
              <w:rPr>
                <w:lang w:val="en-GB"/>
              </w:rPr>
              <w:t>France</w:t>
            </w:r>
          </w:p>
        </w:tc>
        <w:tc>
          <w:tcPr>
            <w:tcW w:w="1497" w:type="dxa"/>
            <w:tcBorders>
              <w:top w:val="single" w:sz="4" w:space="0" w:color="auto"/>
              <w:bottom w:val="single" w:sz="4" w:space="0" w:color="auto"/>
            </w:tcBorders>
          </w:tcPr>
          <w:p w:rsidR="00734D0B" w:rsidRPr="00C940F5" w:rsidRDefault="00734D0B" w:rsidP="001943A4">
            <w:pPr>
              <w:jc w:val="center"/>
              <w:rPr>
                <w:lang w:val="en-GB"/>
              </w:rPr>
            </w:pPr>
            <w:r w:rsidRPr="00C940F5">
              <w:rPr>
                <w:lang w:val="en-GB"/>
              </w:rPr>
              <w:t>256 × 128</w:t>
            </w:r>
          </w:p>
        </w:tc>
      </w:tr>
      <w:tr w:rsidR="00734D0B" w:rsidRPr="00C940F5" w:rsidTr="001943A4">
        <w:trPr>
          <w:cantSplit/>
          <w:tblHeader/>
        </w:trPr>
        <w:tc>
          <w:tcPr>
            <w:tcW w:w="2127" w:type="dxa"/>
            <w:tcBorders>
              <w:top w:val="single" w:sz="4" w:space="0" w:color="auto"/>
              <w:bottom w:val="single" w:sz="4" w:space="0" w:color="auto"/>
            </w:tcBorders>
          </w:tcPr>
          <w:p w:rsidR="00734D0B" w:rsidRPr="00C940F5" w:rsidRDefault="00734D0B" w:rsidP="001943A4">
            <w:pPr>
              <w:jc w:val="left"/>
              <w:rPr>
                <w:b/>
                <w:lang w:val="en-GB"/>
              </w:rPr>
            </w:pPr>
            <w:r w:rsidRPr="00C940F5">
              <w:rPr>
                <w:b/>
                <w:lang w:val="en-GB"/>
              </w:rPr>
              <w:t>CSIRO-Mk3-6-0</w:t>
            </w:r>
          </w:p>
        </w:tc>
        <w:tc>
          <w:tcPr>
            <w:tcW w:w="3543" w:type="dxa"/>
            <w:tcBorders>
              <w:top w:val="single" w:sz="4" w:space="0" w:color="auto"/>
              <w:bottom w:val="single" w:sz="4" w:space="0" w:color="auto"/>
            </w:tcBorders>
          </w:tcPr>
          <w:p w:rsidR="00734D0B" w:rsidRPr="00C940F5" w:rsidRDefault="00734D0B" w:rsidP="001943A4">
            <w:pPr>
              <w:jc w:val="left"/>
              <w:rPr>
                <w:lang w:val="en-GB"/>
              </w:rPr>
            </w:pPr>
            <w:r w:rsidRPr="00C940F5">
              <w:rPr>
                <w:lang w:val="en-GB"/>
              </w:rPr>
              <w:t>Commonwealth Scientific and Industrial Research Organisation (CSIRO), Queensland Climate Change Centre of Excellence</w:t>
            </w:r>
          </w:p>
        </w:tc>
        <w:tc>
          <w:tcPr>
            <w:tcW w:w="1129" w:type="dxa"/>
            <w:tcBorders>
              <w:top w:val="single" w:sz="4" w:space="0" w:color="auto"/>
              <w:bottom w:val="single" w:sz="4" w:space="0" w:color="auto"/>
            </w:tcBorders>
          </w:tcPr>
          <w:p w:rsidR="00734D0B" w:rsidRPr="00C940F5" w:rsidRDefault="00734D0B" w:rsidP="001943A4">
            <w:pPr>
              <w:jc w:val="left"/>
              <w:rPr>
                <w:lang w:val="en-GB"/>
              </w:rPr>
            </w:pPr>
            <w:r w:rsidRPr="00C940F5">
              <w:rPr>
                <w:lang w:val="en-GB"/>
              </w:rPr>
              <w:t>Australia</w:t>
            </w:r>
          </w:p>
        </w:tc>
        <w:tc>
          <w:tcPr>
            <w:tcW w:w="1497" w:type="dxa"/>
            <w:tcBorders>
              <w:top w:val="single" w:sz="4" w:space="0" w:color="auto"/>
              <w:bottom w:val="single" w:sz="4" w:space="0" w:color="auto"/>
            </w:tcBorders>
          </w:tcPr>
          <w:p w:rsidR="00734D0B" w:rsidRPr="00C940F5" w:rsidRDefault="00734D0B" w:rsidP="001943A4">
            <w:pPr>
              <w:jc w:val="center"/>
              <w:rPr>
                <w:lang w:val="en-GB"/>
              </w:rPr>
            </w:pPr>
            <w:r w:rsidRPr="00C940F5">
              <w:rPr>
                <w:lang w:val="en-GB"/>
              </w:rPr>
              <w:t>192 × 96</w:t>
            </w:r>
          </w:p>
        </w:tc>
      </w:tr>
      <w:tr w:rsidR="00734D0B" w:rsidRPr="00C940F5" w:rsidTr="001943A4">
        <w:trPr>
          <w:cantSplit/>
          <w:tblHeader/>
        </w:trPr>
        <w:tc>
          <w:tcPr>
            <w:tcW w:w="2127" w:type="dxa"/>
            <w:tcBorders>
              <w:top w:val="single" w:sz="4" w:space="0" w:color="auto"/>
              <w:bottom w:val="single" w:sz="4" w:space="0" w:color="auto"/>
            </w:tcBorders>
          </w:tcPr>
          <w:p w:rsidR="00734D0B" w:rsidRPr="00C940F5" w:rsidRDefault="00734D0B" w:rsidP="001943A4">
            <w:pPr>
              <w:jc w:val="left"/>
              <w:rPr>
                <w:b/>
                <w:lang w:val="en-GB"/>
              </w:rPr>
            </w:pPr>
            <w:r w:rsidRPr="00C940F5">
              <w:rPr>
                <w:b/>
                <w:lang w:val="en-GB"/>
              </w:rPr>
              <w:t>FGOALS-s2</w:t>
            </w:r>
          </w:p>
        </w:tc>
        <w:tc>
          <w:tcPr>
            <w:tcW w:w="3543" w:type="dxa"/>
            <w:tcBorders>
              <w:top w:val="single" w:sz="4" w:space="0" w:color="auto"/>
              <w:bottom w:val="single" w:sz="4" w:space="0" w:color="auto"/>
            </w:tcBorders>
          </w:tcPr>
          <w:p w:rsidR="00734D0B" w:rsidRPr="00C940F5" w:rsidRDefault="00734D0B" w:rsidP="001943A4">
            <w:pPr>
              <w:jc w:val="left"/>
              <w:rPr>
                <w:lang w:val="en-GB"/>
              </w:rPr>
            </w:pPr>
            <w:r w:rsidRPr="00C940F5">
              <w:rPr>
                <w:lang w:val="en-GB"/>
              </w:rPr>
              <w:t>Institute of Atmospheric Physics, Chinese Academy of Science</w:t>
            </w:r>
          </w:p>
        </w:tc>
        <w:tc>
          <w:tcPr>
            <w:tcW w:w="1129" w:type="dxa"/>
            <w:tcBorders>
              <w:top w:val="single" w:sz="4" w:space="0" w:color="auto"/>
              <w:bottom w:val="single" w:sz="4" w:space="0" w:color="auto"/>
            </w:tcBorders>
          </w:tcPr>
          <w:p w:rsidR="00734D0B" w:rsidRPr="00C940F5" w:rsidRDefault="00734D0B" w:rsidP="001943A4">
            <w:pPr>
              <w:jc w:val="left"/>
              <w:rPr>
                <w:lang w:val="en-GB"/>
              </w:rPr>
            </w:pPr>
            <w:r w:rsidRPr="00C940F5">
              <w:rPr>
                <w:lang w:val="en-GB"/>
              </w:rPr>
              <w:t>China</w:t>
            </w:r>
          </w:p>
        </w:tc>
        <w:tc>
          <w:tcPr>
            <w:tcW w:w="1497" w:type="dxa"/>
            <w:tcBorders>
              <w:top w:val="single" w:sz="4" w:space="0" w:color="auto"/>
              <w:bottom w:val="single" w:sz="4" w:space="0" w:color="auto"/>
            </w:tcBorders>
          </w:tcPr>
          <w:p w:rsidR="00734D0B" w:rsidRPr="00C940F5" w:rsidRDefault="00734D0B" w:rsidP="001943A4">
            <w:pPr>
              <w:jc w:val="center"/>
              <w:rPr>
                <w:lang w:val="en-GB"/>
              </w:rPr>
            </w:pPr>
            <w:r w:rsidRPr="00C940F5">
              <w:rPr>
                <w:lang w:val="en-GB"/>
              </w:rPr>
              <w:t>128 × 108</w:t>
            </w:r>
          </w:p>
        </w:tc>
      </w:tr>
      <w:tr w:rsidR="00734D0B" w:rsidRPr="00C940F5" w:rsidTr="001943A4">
        <w:trPr>
          <w:cantSplit/>
          <w:tblHeader/>
        </w:trPr>
        <w:tc>
          <w:tcPr>
            <w:tcW w:w="2127" w:type="dxa"/>
            <w:tcBorders>
              <w:top w:val="single" w:sz="4" w:space="0" w:color="auto"/>
            </w:tcBorders>
          </w:tcPr>
          <w:p w:rsidR="00734D0B" w:rsidRPr="00C940F5" w:rsidRDefault="00734D0B" w:rsidP="001943A4">
            <w:pPr>
              <w:jc w:val="left"/>
              <w:rPr>
                <w:b/>
                <w:lang w:val="en-GB"/>
              </w:rPr>
            </w:pPr>
            <w:r w:rsidRPr="00C940F5">
              <w:rPr>
                <w:b/>
                <w:lang w:val="en-GB"/>
              </w:rPr>
              <w:t>GFDL-CM3</w:t>
            </w:r>
          </w:p>
        </w:tc>
        <w:tc>
          <w:tcPr>
            <w:tcW w:w="3543" w:type="dxa"/>
            <w:vMerge w:val="restart"/>
            <w:tcBorders>
              <w:top w:val="single" w:sz="4" w:space="0" w:color="auto"/>
            </w:tcBorders>
          </w:tcPr>
          <w:p w:rsidR="00734D0B" w:rsidRPr="00C940F5" w:rsidRDefault="00734D0B" w:rsidP="001943A4">
            <w:pPr>
              <w:jc w:val="left"/>
              <w:rPr>
                <w:lang w:val="en-GB"/>
              </w:rPr>
            </w:pPr>
            <w:r w:rsidRPr="00C940F5">
              <w:rPr>
                <w:lang w:val="en-GB"/>
              </w:rPr>
              <w:t>Geophysical Fluid Dynamics Laboratory</w:t>
            </w:r>
          </w:p>
        </w:tc>
        <w:tc>
          <w:tcPr>
            <w:tcW w:w="1129" w:type="dxa"/>
            <w:vMerge w:val="restart"/>
            <w:tcBorders>
              <w:top w:val="single" w:sz="4" w:space="0" w:color="auto"/>
            </w:tcBorders>
          </w:tcPr>
          <w:p w:rsidR="00734D0B" w:rsidRPr="00C940F5" w:rsidRDefault="00734D0B" w:rsidP="001943A4">
            <w:pPr>
              <w:jc w:val="left"/>
              <w:rPr>
                <w:lang w:val="en-GB"/>
              </w:rPr>
            </w:pPr>
            <w:r w:rsidRPr="00C940F5">
              <w:rPr>
                <w:lang w:val="en-GB"/>
              </w:rPr>
              <w:t>USA</w:t>
            </w:r>
          </w:p>
        </w:tc>
        <w:tc>
          <w:tcPr>
            <w:tcW w:w="1497" w:type="dxa"/>
            <w:tcBorders>
              <w:top w:val="single" w:sz="4" w:space="0" w:color="auto"/>
            </w:tcBorders>
          </w:tcPr>
          <w:p w:rsidR="00734D0B" w:rsidRPr="00C940F5" w:rsidRDefault="00734D0B" w:rsidP="001943A4">
            <w:pPr>
              <w:jc w:val="center"/>
              <w:rPr>
                <w:lang w:val="en-GB"/>
              </w:rPr>
            </w:pPr>
            <w:r w:rsidRPr="00C940F5">
              <w:rPr>
                <w:lang w:val="en-GB"/>
              </w:rPr>
              <w:t>144 × 90</w:t>
            </w:r>
          </w:p>
        </w:tc>
      </w:tr>
      <w:tr w:rsidR="00734D0B" w:rsidRPr="00C940F5" w:rsidTr="001943A4">
        <w:trPr>
          <w:cantSplit/>
          <w:tblHeader/>
        </w:trPr>
        <w:tc>
          <w:tcPr>
            <w:tcW w:w="2127" w:type="dxa"/>
          </w:tcPr>
          <w:p w:rsidR="00734D0B" w:rsidRPr="00C940F5" w:rsidRDefault="00734D0B" w:rsidP="001943A4">
            <w:pPr>
              <w:jc w:val="left"/>
              <w:rPr>
                <w:b/>
                <w:lang w:val="en-GB"/>
              </w:rPr>
            </w:pPr>
            <w:r w:rsidRPr="00C940F5">
              <w:rPr>
                <w:b/>
                <w:lang w:val="en-GB"/>
              </w:rPr>
              <w:t>GFDL-ESM2G</w:t>
            </w:r>
          </w:p>
        </w:tc>
        <w:tc>
          <w:tcPr>
            <w:tcW w:w="3543" w:type="dxa"/>
            <w:vMerge/>
          </w:tcPr>
          <w:p w:rsidR="00734D0B" w:rsidRPr="00C940F5" w:rsidRDefault="00734D0B" w:rsidP="001943A4">
            <w:pPr>
              <w:jc w:val="left"/>
              <w:rPr>
                <w:lang w:val="en-GB"/>
              </w:rPr>
            </w:pPr>
          </w:p>
        </w:tc>
        <w:tc>
          <w:tcPr>
            <w:tcW w:w="1129" w:type="dxa"/>
            <w:vMerge/>
          </w:tcPr>
          <w:p w:rsidR="00734D0B" w:rsidRPr="00C940F5" w:rsidRDefault="00734D0B" w:rsidP="001943A4">
            <w:pPr>
              <w:jc w:val="left"/>
              <w:rPr>
                <w:lang w:val="en-GB"/>
              </w:rPr>
            </w:pPr>
          </w:p>
        </w:tc>
        <w:tc>
          <w:tcPr>
            <w:tcW w:w="1497" w:type="dxa"/>
          </w:tcPr>
          <w:p w:rsidR="00734D0B" w:rsidRPr="00C940F5" w:rsidRDefault="00734D0B" w:rsidP="001943A4">
            <w:pPr>
              <w:jc w:val="center"/>
              <w:rPr>
                <w:lang w:val="en-GB"/>
              </w:rPr>
            </w:pPr>
            <w:r w:rsidRPr="00C940F5">
              <w:rPr>
                <w:lang w:val="en-GB"/>
              </w:rPr>
              <w:t>144 × 90</w:t>
            </w:r>
          </w:p>
        </w:tc>
      </w:tr>
      <w:tr w:rsidR="00734D0B" w:rsidRPr="00C940F5" w:rsidTr="001943A4">
        <w:trPr>
          <w:cantSplit/>
          <w:tblHeader/>
        </w:trPr>
        <w:tc>
          <w:tcPr>
            <w:tcW w:w="2127" w:type="dxa"/>
            <w:tcBorders>
              <w:bottom w:val="single" w:sz="4" w:space="0" w:color="auto"/>
            </w:tcBorders>
          </w:tcPr>
          <w:p w:rsidR="00734D0B" w:rsidRPr="00C940F5" w:rsidRDefault="00734D0B" w:rsidP="001943A4">
            <w:pPr>
              <w:jc w:val="left"/>
              <w:rPr>
                <w:b/>
                <w:lang w:val="en-GB"/>
              </w:rPr>
            </w:pPr>
            <w:r w:rsidRPr="00C940F5">
              <w:rPr>
                <w:b/>
                <w:lang w:val="en-GB"/>
              </w:rPr>
              <w:t>GFDL-ESM2M</w:t>
            </w:r>
          </w:p>
        </w:tc>
        <w:tc>
          <w:tcPr>
            <w:tcW w:w="3543" w:type="dxa"/>
            <w:vMerge/>
            <w:tcBorders>
              <w:bottom w:val="single" w:sz="4" w:space="0" w:color="auto"/>
            </w:tcBorders>
          </w:tcPr>
          <w:p w:rsidR="00734D0B" w:rsidRPr="00C940F5" w:rsidRDefault="00734D0B" w:rsidP="001943A4">
            <w:pPr>
              <w:jc w:val="left"/>
              <w:rPr>
                <w:lang w:val="en-GB"/>
              </w:rPr>
            </w:pPr>
          </w:p>
        </w:tc>
        <w:tc>
          <w:tcPr>
            <w:tcW w:w="1129" w:type="dxa"/>
            <w:vMerge/>
            <w:tcBorders>
              <w:bottom w:val="single" w:sz="4" w:space="0" w:color="auto"/>
            </w:tcBorders>
          </w:tcPr>
          <w:p w:rsidR="00734D0B" w:rsidRPr="00C940F5" w:rsidRDefault="00734D0B" w:rsidP="001943A4">
            <w:pPr>
              <w:jc w:val="left"/>
              <w:rPr>
                <w:lang w:val="en-GB"/>
              </w:rPr>
            </w:pPr>
          </w:p>
        </w:tc>
        <w:tc>
          <w:tcPr>
            <w:tcW w:w="1497" w:type="dxa"/>
            <w:tcBorders>
              <w:bottom w:val="single" w:sz="4" w:space="0" w:color="auto"/>
            </w:tcBorders>
          </w:tcPr>
          <w:p w:rsidR="00734D0B" w:rsidRPr="00C940F5" w:rsidRDefault="00734D0B" w:rsidP="001943A4">
            <w:pPr>
              <w:jc w:val="center"/>
              <w:rPr>
                <w:lang w:val="en-GB"/>
              </w:rPr>
            </w:pPr>
            <w:r w:rsidRPr="00C940F5">
              <w:rPr>
                <w:lang w:val="en-GB"/>
              </w:rPr>
              <w:t>144 × 90</w:t>
            </w:r>
          </w:p>
        </w:tc>
      </w:tr>
      <w:tr w:rsidR="00734D0B" w:rsidRPr="00C940F5" w:rsidTr="001943A4">
        <w:trPr>
          <w:cantSplit/>
          <w:tblHeader/>
        </w:trPr>
        <w:tc>
          <w:tcPr>
            <w:tcW w:w="2127" w:type="dxa"/>
            <w:tcBorders>
              <w:top w:val="single" w:sz="4" w:space="0" w:color="auto"/>
              <w:bottom w:val="single" w:sz="4" w:space="0" w:color="auto"/>
            </w:tcBorders>
          </w:tcPr>
          <w:p w:rsidR="00734D0B" w:rsidRPr="00C940F5" w:rsidRDefault="00734D0B" w:rsidP="001943A4">
            <w:pPr>
              <w:jc w:val="left"/>
              <w:rPr>
                <w:b/>
                <w:lang w:val="en-GB"/>
              </w:rPr>
            </w:pPr>
            <w:r w:rsidRPr="00C940F5">
              <w:rPr>
                <w:b/>
                <w:lang w:val="en-GB"/>
              </w:rPr>
              <w:t>INM-CM4</w:t>
            </w:r>
          </w:p>
        </w:tc>
        <w:tc>
          <w:tcPr>
            <w:tcW w:w="3543" w:type="dxa"/>
            <w:tcBorders>
              <w:top w:val="single" w:sz="4" w:space="0" w:color="auto"/>
              <w:bottom w:val="single" w:sz="4" w:space="0" w:color="auto"/>
            </w:tcBorders>
          </w:tcPr>
          <w:p w:rsidR="00734D0B" w:rsidRPr="00C940F5" w:rsidRDefault="00734D0B" w:rsidP="001943A4">
            <w:pPr>
              <w:jc w:val="left"/>
              <w:rPr>
                <w:lang w:val="en-GB"/>
              </w:rPr>
            </w:pPr>
            <w:r w:rsidRPr="00C940F5">
              <w:rPr>
                <w:lang w:val="en-GB"/>
              </w:rPr>
              <w:t>Russian Academy of Sciences, Institute of Numerical Mathematics</w:t>
            </w:r>
          </w:p>
        </w:tc>
        <w:tc>
          <w:tcPr>
            <w:tcW w:w="1129" w:type="dxa"/>
            <w:tcBorders>
              <w:top w:val="single" w:sz="4" w:space="0" w:color="auto"/>
              <w:bottom w:val="single" w:sz="4" w:space="0" w:color="auto"/>
            </w:tcBorders>
          </w:tcPr>
          <w:p w:rsidR="00734D0B" w:rsidRPr="00C940F5" w:rsidRDefault="00734D0B" w:rsidP="001943A4">
            <w:pPr>
              <w:jc w:val="left"/>
              <w:rPr>
                <w:lang w:val="en-GB"/>
              </w:rPr>
            </w:pPr>
            <w:r w:rsidRPr="00C940F5">
              <w:rPr>
                <w:lang w:val="en-GB"/>
              </w:rPr>
              <w:t>Russia</w:t>
            </w:r>
          </w:p>
        </w:tc>
        <w:tc>
          <w:tcPr>
            <w:tcW w:w="1497" w:type="dxa"/>
            <w:tcBorders>
              <w:top w:val="single" w:sz="4" w:space="0" w:color="auto"/>
              <w:bottom w:val="single" w:sz="4" w:space="0" w:color="auto"/>
            </w:tcBorders>
          </w:tcPr>
          <w:p w:rsidR="00734D0B" w:rsidRPr="00C940F5" w:rsidRDefault="00734D0B" w:rsidP="001943A4">
            <w:pPr>
              <w:jc w:val="center"/>
              <w:rPr>
                <w:lang w:val="en-GB"/>
              </w:rPr>
            </w:pPr>
            <w:r w:rsidRPr="00C940F5">
              <w:rPr>
                <w:lang w:val="en-GB"/>
              </w:rPr>
              <w:t>180 × 120</w:t>
            </w:r>
          </w:p>
        </w:tc>
      </w:tr>
      <w:tr w:rsidR="00734D0B" w:rsidRPr="00C940F5" w:rsidTr="001943A4">
        <w:trPr>
          <w:cantSplit/>
          <w:tblHeader/>
        </w:trPr>
        <w:tc>
          <w:tcPr>
            <w:tcW w:w="2127" w:type="dxa"/>
            <w:tcBorders>
              <w:top w:val="single" w:sz="4" w:space="0" w:color="auto"/>
            </w:tcBorders>
          </w:tcPr>
          <w:p w:rsidR="00734D0B" w:rsidRPr="00C940F5" w:rsidRDefault="00734D0B" w:rsidP="001943A4">
            <w:pPr>
              <w:jc w:val="left"/>
              <w:rPr>
                <w:b/>
                <w:lang w:val="en-GB"/>
              </w:rPr>
            </w:pPr>
            <w:r w:rsidRPr="00C940F5">
              <w:rPr>
                <w:b/>
                <w:lang w:val="en-GB"/>
              </w:rPr>
              <w:t>IPSL-CM5A-LR</w:t>
            </w:r>
          </w:p>
        </w:tc>
        <w:tc>
          <w:tcPr>
            <w:tcW w:w="3543" w:type="dxa"/>
            <w:vMerge w:val="restart"/>
            <w:tcBorders>
              <w:top w:val="single" w:sz="4" w:space="0" w:color="auto"/>
            </w:tcBorders>
          </w:tcPr>
          <w:p w:rsidR="00734D0B" w:rsidRPr="00C940F5" w:rsidRDefault="00734D0B" w:rsidP="001943A4">
            <w:pPr>
              <w:jc w:val="left"/>
              <w:rPr>
                <w:lang w:val="en-GB"/>
              </w:rPr>
            </w:pPr>
            <w:r w:rsidRPr="00C940F5">
              <w:rPr>
                <w:lang w:val="en-GB"/>
              </w:rPr>
              <w:t>Institut Pierre Simon Laplace</w:t>
            </w:r>
          </w:p>
        </w:tc>
        <w:tc>
          <w:tcPr>
            <w:tcW w:w="1129" w:type="dxa"/>
            <w:vMerge w:val="restart"/>
            <w:tcBorders>
              <w:top w:val="single" w:sz="4" w:space="0" w:color="auto"/>
            </w:tcBorders>
          </w:tcPr>
          <w:p w:rsidR="00734D0B" w:rsidRPr="00C940F5" w:rsidRDefault="00734D0B" w:rsidP="001943A4">
            <w:pPr>
              <w:jc w:val="left"/>
              <w:rPr>
                <w:lang w:val="en-GB"/>
              </w:rPr>
            </w:pPr>
            <w:r w:rsidRPr="00C940F5">
              <w:rPr>
                <w:lang w:val="en-GB"/>
              </w:rPr>
              <w:t>France</w:t>
            </w:r>
          </w:p>
        </w:tc>
        <w:tc>
          <w:tcPr>
            <w:tcW w:w="1497" w:type="dxa"/>
            <w:tcBorders>
              <w:top w:val="single" w:sz="4" w:space="0" w:color="auto"/>
            </w:tcBorders>
          </w:tcPr>
          <w:p w:rsidR="00734D0B" w:rsidRPr="00C940F5" w:rsidRDefault="00734D0B" w:rsidP="001943A4">
            <w:pPr>
              <w:jc w:val="center"/>
              <w:rPr>
                <w:lang w:val="en-GB"/>
              </w:rPr>
            </w:pPr>
            <w:r w:rsidRPr="00C940F5">
              <w:rPr>
                <w:lang w:val="en-GB"/>
              </w:rPr>
              <w:t>96 × 96</w:t>
            </w:r>
          </w:p>
        </w:tc>
      </w:tr>
      <w:tr w:rsidR="00734D0B" w:rsidRPr="00C940F5" w:rsidTr="001943A4">
        <w:trPr>
          <w:cantSplit/>
          <w:tblHeader/>
        </w:trPr>
        <w:tc>
          <w:tcPr>
            <w:tcW w:w="2127" w:type="dxa"/>
          </w:tcPr>
          <w:p w:rsidR="00734D0B" w:rsidRPr="00C940F5" w:rsidRDefault="00734D0B" w:rsidP="001943A4">
            <w:pPr>
              <w:jc w:val="left"/>
              <w:rPr>
                <w:b/>
                <w:lang w:val="en-GB"/>
              </w:rPr>
            </w:pPr>
            <w:r w:rsidRPr="00C940F5">
              <w:rPr>
                <w:b/>
                <w:lang w:val="en-GB"/>
              </w:rPr>
              <w:t>IPSL-CM5A-MR</w:t>
            </w:r>
          </w:p>
        </w:tc>
        <w:tc>
          <w:tcPr>
            <w:tcW w:w="3543" w:type="dxa"/>
            <w:vMerge/>
          </w:tcPr>
          <w:p w:rsidR="00734D0B" w:rsidRPr="00C940F5" w:rsidRDefault="00734D0B" w:rsidP="001943A4">
            <w:pPr>
              <w:jc w:val="left"/>
              <w:rPr>
                <w:lang w:val="en-GB"/>
              </w:rPr>
            </w:pPr>
          </w:p>
        </w:tc>
        <w:tc>
          <w:tcPr>
            <w:tcW w:w="1129" w:type="dxa"/>
            <w:vMerge/>
          </w:tcPr>
          <w:p w:rsidR="00734D0B" w:rsidRPr="00C940F5" w:rsidRDefault="00734D0B" w:rsidP="001943A4">
            <w:pPr>
              <w:jc w:val="left"/>
              <w:rPr>
                <w:lang w:val="en-GB"/>
              </w:rPr>
            </w:pPr>
          </w:p>
        </w:tc>
        <w:tc>
          <w:tcPr>
            <w:tcW w:w="1497" w:type="dxa"/>
          </w:tcPr>
          <w:p w:rsidR="00734D0B" w:rsidRPr="00C940F5" w:rsidRDefault="00734D0B" w:rsidP="001943A4">
            <w:pPr>
              <w:jc w:val="center"/>
              <w:rPr>
                <w:lang w:val="en-GB"/>
              </w:rPr>
            </w:pPr>
            <w:r w:rsidRPr="00C940F5">
              <w:rPr>
                <w:lang w:val="en-GB"/>
              </w:rPr>
              <w:t>144 × 143</w:t>
            </w:r>
          </w:p>
        </w:tc>
      </w:tr>
      <w:tr w:rsidR="00734D0B" w:rsidRPr="00C940F5" w:rsidTr="001943A4">
        <w:trPr>
          <w:cantSplit/>
          <w:tblHeader/>
        </w:trPr>
        <w:tc>
          <w:tcPr>
            <w:tcW w:w="2127" w:type="dxa"/>
            <w:tcBorders>
              <w:bottom w:val="single" w:sz="4" w:space="0" w:color="auto"/>
            </w:tcBorders>
          </w:tcPr>
          <w:p w:rsidR="00734D0B" w:rsidRPr="00C940F5" w:rsidRDefault="00734D0B" w:rsidP="001943A4">
            <w:pPr>
              <w:jc w:val="left"/>
              <w:rPr>
                <w:b/>
                <w:lang w:val="en-GB"/>
              </w:rPr>
            </w:pPr>
            <w:r w:rsidRPr="00C940F5">
              <w:rPr>
                <w:b/>
                <w:lang w:val="en-GB"/>
              </w:rPr>
              <w:t>IPSL-CM5B-LR</w:t>
            </w:r>
          </w:p>
        </w:tc>
        <w:tc>
          <w:tcPr>
            <w:tcW w:w="3543" w:type="dxa"/>
            <w:vMerge/>
            <w:tcBorders>
              <w:bottom w:val="single" w:sz="4" w:space="0" w:color="auto"/>
            </w:tcBorders>
          </w:tcPr>
          <w:p w:rsidR="00734D0B" w:rsidRPr="00C940F5" w:rsidRDefault="00734D0B" w:rsidP="001943A4">
            <w:pPr>
              <w:jc w:val="left"/>
              <w:rPr>
                <w:lang w:val="en-GB"/>
              </w:rPr>
            </w:pPr>
          </w:p>
        </w:tc>
        <w:tc>
          <w:tcPr>
            <w:tcW w:w="1129" w:type="dxa"/>
            <w:vMerge/>
            <w:tcBorders>
              <w:bottom w:val="single" w:sz="4" w:space="0" w:color="auto"/>
            </w:tcBorders>
          </w:tcPr>
          <w:p w:rsidR="00734D0B" w:rsidRPr="00C940F5" w:rsidRDefault="00734D0B" w:rsidP="001943A4">
            <w:pPr>
              <w:jc w:val="left"/>
              <w:rPr>
                <w:lang w:val="en-GB"/>
              </w:rPr>
            </w:pPr>
          </w:p>
        </w:tc>
        <w:tc>
          <w:tcPr>
            <w:tcW w:w="1497" w:type="dxa"/>
            <w:tcBorders>
              <w:bottom w:val="single" w:sz="4" w:space="0" w:color="auto"/>
            </w:tcBorders>
          </w:tcPr>
          <w:p w:rsidR="00734D0B" w:rsidRPr="00C940F5" w:rsidRDefault="00734D0B" w:rsidP="001943A4">
            <w:pPr>
              <w:jc w:val="center"/>
              <w:rPr>
                <w:lang w:val="en-GB"/>
              </w:rPr>
            </w:pPr>
            <w:r w:rsidRPr="00C940F5">
              <w:rPr>
                <w:lang w:val="en-GB"/>
              </w:rPr>
              <w:t>96 × 96</w:t>
            </w:r>
          </w:p>
        </w:tc>
      </w:tr>
      <w:tr w:rsidR="00734D0B" w:rsidRPr="00C940F5" w:rsidTr="001943A4">
        <w:trPr>
          <w:cantSplit/>
          <w:trHeight w:val="2194"/>
          <w:tblHeader/>
        </w:trPr>
        <w:tc>
          <w:tcPr>
            <w:tcW w:w="2127" w:type="dxa"/>
            <w:tcBorders>
              <w:top w:val="single" w:sz="4" w:space="0" w:color="auto"/>
            </w:tcBorders>
          </w:tcPr>
          <w:p w:rsidR="00734D0B" w:rsidRPr="00C940F5" w:rsidRDefault="00734D0B" w:rsidP="001943A4">
            <w:pPr>
              <w:jc w:val="left"/>
              <w:rPr>
                <w:b/>
                <w:lang w:val="en-GB"/>
              </w:rPr>
            </w:pPr>
            <w:r w:rsidRPr="00C940F5">
              <w:rPr>
                <w:b/>
                <w:lang w:val="en-GB"/>
              </w:rPr>
              <w:lastRenderedPageBreak/>
              <w:t>MIROC-ESM</w:t>
            </w:r>
          </w:p>
          <w:p w:rsidR="00734D0B" w:rsidRPr="00C940F5" w:rsidRDefault="00734D0B" w:rsidP="001943A4">
            <w:pPr>
              <w:jc w:val="left"/>
              <w:rPr>
                <w:b/>
                <w:lang w:val="en-GB"/>
              </w:rPr>
            </w:pPr>
            <w:r w:rsidRPr="00C940F5">
              <w:rPr>
                <w:b/>
                <w:lang w:val="en-GB"/>
              </w:rPr>
              <w:t>MIROC-ESM-CHEM</w:t>
            </w:r>
          </w:p>
        </w:tc>
        <w:tc>
          <w:tcPr>
            <w:tcW w:w="3543" w:type="dxa"/>
            <w:tcBorders>
              <w:top w:val="single" w:sz="4" w:space="0" w:color="auto"/>
            </w:tcBorders>
          </w:tcPr>
          <w:p w:rsidR="00734D0B" w:rsidRPr="00C940F5" w:rsidRDefault="00734D0B" w:rsidP="001943A4">
            <w:pPr>
              <w:jc w:val="left"/>
              <w:rPr>
                <w:lang w:val="en-GB"/>
              </w:rPr>
            </w:pPr>
            <w:r w:rsidRPr="00C940F5">
              <w:rPr>
                <w:lang w:val="en-GB"/>
              </w:rPr>
              <w:t>Atmosphere and Ocean Research Institute (The University of Tokyo), National Institute for Environmental Studies, Japan Agency for Marine-Earth Science and Technology</w:t>
            </w:r>
          </w:p>
        </w:tc>
        <w:tc>
          <w:tcPr>
            <w:tcW w:w="1129" w:type="dxa"/>
            <w:tcBorders>
              <w:top w:val="single" w:sz="4" w:space="0" w:color="auto"/>
            </w:tcBorders>
          </w:tcPr>
          <w:p w:rsidR="00734D0B" w:rsidRPr="00C940F5" w:rsidRDefault="00734D0B" w:rsidP="001943A4">
            <w:pPr>
              <w:jc w:val="left"/>
              <w:rPr>
                <w:lang w:val="en-GB"/>
              </w:rPr>
            </w:pPr>
            <w:r w:rsidRPr="00C940F5">
              <w:rPr>
                <w:lang w:val="en-GB"/>
              </w:rPr>
              <w:t>Japan</w:t>
            </w:r>
          </w:p>
        </w:tc>
        <w:tc>
          <w:tcPr>
            <w:tcW w:w="1497" w:type="dxa"/>
            <w:tcBorders>
              <w:top w:val="single" w:sz="4" w:space="0" w:color="auto"/>
            </w:tcBorders>
          </w:tcPr>
          <w:p w:rsidR="00734D0B" w:rsidRPr="00C940F5" w:rsidRDefault="00734D0B" w:rsidP="001943A4">
            <w:pPr>
              <w:jc w:val="center"/>
              <w:rPr>
                <w:lang w:val="en-GB"/>
              </w:rPr>
            </w:pPr>
            <w:r w:rsidRPr="00C940F5">
              <w:rPr>
                <w:lang w:val="en-GB"/>
              </w:rPr>
              <w:t>128 × 64</w:t>
            </w:r>
          </w:p>
          <w:p w:rsidR="00734D0B" w:rsidRPr="00C940F5" w:rsidRDefault="00734D0B" w:rsidP="001943A4">
            <w:pPr>
              <w:jc w:val="center"/>
              <w:rPr>
                <w:lang w:val="en-GB"/>
              </w:rPr>
            </w:pPr>
            <w:r w:rsidRPr="00C940F5">
              <w:rPr>
                <w:lang w:val="en-GB"/>
              </w:rPr>
              <w:t>128 × 64</w:t>
            </w:r>
          </w:p>
        </w:tc>
      </w:tr>
      <w:tr w:rsidR="00734D0B" w:rsidRPr="00C940F5" w:rsidTr="001943A4">
        <w:trPr>
          <w:cantSplit/>
          <w:tblHeader/>
        </w:trPr>
        <w:tc>
          <w:tcPr>
            <w:tcW w:w="2127" w:type="dxa"/>
            <w:tcBorders>
              <w:top w:val="single" w:sz="4" w:space="0" w:color="auto"/>
              <w:bottom w:val="single" w:sz="12" w:space="0" w:color="auto"/>
            </w:tcBorders>
          </w:tcPr>
          <w:p w:rsidR="00734D0B" w:rsidRPr="00C940F5" w:rsidRDefault="00734D0B" w:rsidP="001943A4">
            <w:pPr>
              <w:jc w:val="left"/>
              <w:rPr>
                <w:b/>
                <w:lang w:val="en-GB"/>
              </w:rPr>
            </w:pPr>
            <w:r w:rsidRPr="00C940F5">
              <w:rPr>
                <w:b/>
                <w:lang w:val="en-GB"/>
              </w:rPr>
              <w:t>MRI-CGCM3</w:t>
            </w:r>
          </w:p>
        </w:tc>
        <w:tc>
          <w:tcPr>
            <w:tcW w:w="3543" w:type="dxa"/>
            <w:tcBorders>
              <w:top w:val="single" w:sz="4" w:space="0" w:color="auto"/>
              <w:bottom w:val="single" w:sz="12" w:space="0" w:color="auto"/>
            </w:tcBorders>
          </w:tcPr>
          <w:p w:rsidR="00734D0B" w:rsidRPr="00C940F5" w:rsidRDefault="00734D0B" w:rsidP="001943A4">
            <w:pPr>
              <w:jc w:val="left"/>
              <w:rPr>
                <w:lang w:val="en-GB"/>
              </w:rPr>
            </w:pPr>
            <w:r w:rsidRPr="00C940F5">
              <w:rPr>
                <w:lang w:val="en-GB"/>
              </w:rPr>
              <w:t>Meteorological Research Institute</w:t>
            </w:r>
          </w:p>
        </w:tc>
        <w:tc>
          <w:tcPr>
            <w:tcW w:w="1129" w:type="dxa"/>
            <w:tcBorders>
              <w:top w:val="single" w:sz="4" w:space="0" w:color="auto"/>
              <w:bottom w:val="single" w:sz="12" w:space="0" w:color="auto"/>
            </w:tcBorders>
          </w:tcPr>
          <w:p w:rsidR="00734D0B" w:rsidRPr="00C940F5" w:rsidRDefault="00734D0B" w:rsidP="001943A4">
            <w:pPr>
              <w:jc w:val="left"/>
              <w:rPr>
                <w:lang w:val="en-GB"/>
              </w:rPr>
            </w:pPr>
            <w:r w:rsidRPr="00C940F5">
              <w:rPr>
                <w:lang w:val="en-GB"/>
              </w:rPr>
              <w:t>Japan</w:t>
            </w:r>
          </w:p>
        </w:tc>
        <w:tc>
          <w:tcPr>
            <w:tcW w:w="1497" w:type="dxa"/>
            <w:tcBorders>
              <w:top w:val="single" w:sz="4" w:space="0" w:color="auto"/>
              <w:bottom w:val="single" w:sz="12" w:space="0" w:color="auto"/>
            </w:tcBorders>
          </w:tcPr>
          <w:p w:rsidR="00734D0B" w:rsidRPr="00C940F5" w:rsidRDefault="00734D0B" w:rsidP="001943A4">
            <w:pPr>
              <w:jc w:val="center"/>
              <w:rPr>
                <w:lang w:val="en-GB"/>
              </w:rPr>
            </w:pPr>
            <w:r w:rsidRPr="00C940F5">
              <w:rPr>
                <w:lang w:val="en-GB"/>
              </w:rPr>
              <w:t>320 × 160</w:t>
            </w:r>
          </w:p>
        </w:tc>
      </w:tr>
    </w:tbl>
    <w:p w:rsidR="00734D0B" w:rsidRPr="00C940F5" w:rsidRDefault="00734D0B" w:rsidP="009E77FE">
      <w:pPr>
        <w:rPr>
          <w:lang w:val="en-GB"/>
        </w:rPr>
      </w:pPr>
    </w:p>
    <w:p w:rsidR="00734D0B" w:rsidRPr="00C940F5" w:rsidRDefault="00734D0B" w:rsidP="009E77FE">
      <w:pPr>
        <w:widowControl/>
        <w:jc w:val="left"/>
        <w:rPr>
          <w:b/>
          <w:bCs/>
          <w:kern w:val="44"/>
          <w:sz w:val="28"/>
          <w:szCs w:val="44"/>
          <w:lang w:val="en-GB"/>
        </w:rPr>
      </w:pPr>
      <w:r w:rsidRPr="00C940F5">
        <w:rPr>
          <w:lang w:val="en-GB"/>
        </w:rPr>
        <w:br w:type="page"/>
      </w:r>
    </w:p>
    <w:p w:rsidR="00734D0B" w:rsidRPr="00C940F5" w:rsidRDefault="00734D0B" w:rsidP="009E77FE">
      <w:pPr>
        <w:pStyle w:val="1"/>
        <w:rPr>
          <w:lang w:val="en-GB"/>
        </w:rPr>
      </w:pPr>
      <w:r w:rsidRPr="00C940F5">
        <w:rPr>
          <w:lang w:val="en-GB"/>
        </w:rPr>
        <w:lastRenderedPageBreak/>
        <w:t>Text S3 Bias correction method</w:t>
      </w:r>
    </w:p>
    <w:p w:rsidR="00734D0B" w:rsidRPr="00C940F5" w:rsidRDefault="00734D0B" w:rsidP="009E77FE">
      <w:pPr>
        <w:ind w:firstLineChars="100" w:firstLine="240"/>
        <w:rPr>
          <w:lang w:val="en-GB"/>
        </w:rPr>
      </w:pPr>
      <w:r w:rsidRPr="00C940F5">
        <w:rPr>
          <w:lang w:val="en-GB"/>
        </w:rPr>
        <w:t xml:space="preserve">To correct the climatology of precipitation and PET in our model, a </w:t>
      </w:r>
      <w:r>
        <w:rPr>
          <w:lang w:val="en-GB"/>
        </w:rPr>
        <w:t xml:space="preserve">bias correction </w:t>
      </w:r>
      <w:r w:rsidRPr="00C940F5">
        <w:rPr>
          <w:lang w:val="en-GB"/>
        </w:rPr>
        <w:t>method was applied to the model data. A mean correction additive scaling factor was defined as the difference between observed and simulated precipitation plus PET over the period of 1961</w:t>
      </w:r>
      <w:r w:rsidRPr="00C940F5">
        <w:rPr>
          <w:lang w:val="en-GB"/>
        </w:rPr>
        <w:sym w:font="Symbol" w:char="F02D"/>
      </w:r>
      <w:r w:rsidRPr="00C940F5">
        <w:rPr>
          <w:lang w:val="en-GB"/>
        </w:rPr>
        <w:t xml:space="preserve">1990 </w:t>
      </w:r>
      <w:r>
        <w:rPr>
          <w:noProof/>
          <w:lang w:val="en-GB"/>
        </w:rPr>
        <w:t>(Durman et al. 2001)</w:t>
      </w:r>
      <w:r w:rsidRPr="00C940F5">
        <w:rPr>
          <w:lang w:val="en-GB"/>
        </w:rPr>
        <w:t>:</w:t>
      </w:r>
    </w:p>
    <w:p w:rsidR="00734D0B" w:rsidRPr="00C940F5" w:rsidRDefault="009425F8" w:rsidP="009E77FE">
      <w:pPr>
        <w:rPr>
          <w:lang w:val="en-GB"/>
        </w:rPr>
      </w:pPr>
      <m:oMathPara>
        <m:oMath>
          <m:sSub>
            <m:sSubPr>
              <m:ctrlPr>
                <w:rPr>
                  <w:rFonts w:ascii="Cambria Math" w:hAnsi="Cambria Math"/>
                  <w:lang w:val="en-GB"/>
                </w:rPr>
              </m:ctrlPr>
            </m:sSubPr>
            <m:e>
              <m:r>
                <w:rPr>
                  <w:rFonts w:ascii="Cambria Math" w:hAnsi="Cambria Math"/>
                  <w:lang w:val="en-GB"/>
                </w:rPr>
                <m:t>T</m:t>
              </m:r>
            </m:e>
            <m:sub>
              <m:r>
                <m:rPr>
                  <m:sty m:val="p"/>
                </m:rPr>
                <w:rPr>
                  <w:rFonts w:ascii="Cambria Math" w:hAnsi="Cambria Math"/>
                  <w:lang w:val="en-GB"/>
                </w:rPr>
                <m:t>MC</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m:t>
              </m:r>
            </m:e>
            <m:sub>
              <m:r>
                <m:rPr>
                  <m:sty m:val="p"/>
                </m:rPr>
                <w:rPr>
                  <w:rFonts w:ascii="Cambria Math" w:hAnsi="Cambria Math"/>
                  <w:lang w:val="en-GB"/>
                </w:rPr>
                <m:t>model</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TT</m:t>
              </m:r>
            </m:e>
            <m:sub>
              <m:r>
                <m:rPr>
                  <m:sty m:val="p"/>
                </m:rPr>
                <w:rPr>
                  <w:rFonts w:ascii="Cambria Math" w:hAnsi="Cambria Math"/>
                  <w:lang w:val="en-GB"/>
                </w:rPr>
                <m:t>obs</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TT</m:t>
              </m:r>
            </m:e>
            <m:sub>
              <m:r>
                <m:rPr>
                  <m:sty m:val="p"/>
                </m:rPr>
                <w:rPr>
                  <w:rFonts w:ascii="Cambria Math" w:hAnsi="Cambria Math"/>
                  <w:lang w:val="en-GB"/>
                </w:rPr>
                <m:t>model</m:t>
              </m:r>
            </m:sub>
          </m:sSub>
          <m:r>
            <w:rPr>
              <w:rFonts w:ascii="Cambria Math" w:hAnsi="Cambria Math"/>
              <w:lang w:val="en-GB"/>
            </w:rPr>
            <m:t>)</m:t>
          </m:r>
        </m:oMath>
      </m:oMathPara>
    </w:p>
    <w:p w:rsidR="00734D0B" w:rsidRPr="00C940F5" w:rsidRDefault="00734D0B" w:rsidP="009E77FE">
      <w:pPr>
        <w:rPr>
          <w:lang w:val="en-GB"/>
        </w:rPr>
      </w:pPr>
      <w:r w:rsidRPr="00C940F5">
        <w:rPr>
          <w:lang w:val="en-GB"/>
        </w:rPr>
        <w:t xml:space="preserve">where </w:t>
      </w:r>
      <m:oMath>
        <m:sSub>
          <m:sSubPr>
            <m:ctrlPr>
              <w:rPr>
                <w:rFonts w:ascii="Cambria Math" w:hAnsi="Cambria Math"/>
                <w:i/>
                <w:lang w:val="en-GB"/>
              </w:rPr>
            </m:ctrlPr>
          </m:sSubPr>
          <m:e>
            <m:r>
              <w:rPr>
                <w:rFonts w:ascii="Cambria Math" w:hAnsi="Cambria Math"/>
                <w:lang w:val="en-GB"/>
              </w:rPr>
              <m:t>T</m:t>
            </m:r>
          </m:e>
          <m:sub>
            <m:r>
              <m:rPr>
                <m:sty m:val="p"/>
              </m:rPr>
              <w:rPr>
                <w:rFonts w:ascii="Cambria Math" w:hAnsi="Cambria Math"/>
                <w:lang w:val="en-GB"/>
              </w:rPr>
              <m:t>model</m:t>
            </m:r>
          </m:sub>
        </m:sSub>
      </m:oMath>
      <w:r w:rsidRPr="00C940F5">
        <w:rPr>
          <w:lang w:val="en-GB"/>
        </w:rPr>
        <w:t xml:space="preserve"> and </w:t>
      </w:r>
      <m:oMath>
        <m:sSub>
          <m:sSubPr>
            <m:ctrlPr>
              <w:rPr>
                <w:rFonts w:ascii="Cambria Math" w:hAnsi="Cambria Math"/>
                <w:lang w:val="en-GB"/>
              </w:rPr>
            </m:ctrlPr>
          </m:sSubPr>
          <m:e>
            <m:r>
              <w:rPr>
                <w:rFonts w:ascii="Cambria Math" w:hAnsi="Cambria Math"/>
                <w:lang w:val="en-GB"/>
              </w:rPr>
              <m:t>T</m:t>
            </m:r>
          </m:e>
          <m:sub>
            <m:r>
              <m:rPr>
                <m:sty m:val="p"/>
              </m:rPr>
              <w:rPr>
                <w:rFonts w:ascii="Cambria Math" w:hAnsi="Cambria Math"/>
                <w:lang w:val="en-GB"/>
              </w:rPr>
              <m:t>MC</m:t>
            </m:r>
          </m:sub>
        </m:sSub>
      </m:oMath>
      <w:r w:rsidRPr="00C940F5">
        <w:rPr>
          <w:lang w:val="en-GB"/>
        </w:rPr>
        <w:t xml:space="preserve"> are the simulated and corrected daily precipitation plus PET values, respectively, and </w:t>
      </w:r>
      <m:oMath>
        <m:sSub>
          <m:sSubPr>
            <m:ctrlPr>
              <w:rPr>
                <w:rFonts w:ascii="Cambria Math" w:hAnsi="Cambria Math"/>
                <w:i/>
                <w:lang w:val="en-GB"/>
              </w:rPr>
            </m:ctrlPr>
          </m:sSubPr>
          <m:e>
            <m:r>
              <w:rPr>
                <w:rFonts w:ascii="Cambria Math" w:hAnsi="Cambria Math"/>
                <w:lang w:val="en-GB"/>
              </w:rPr>
              <m:t>TT</m:t>
            </m:r>
          </m:e>
          <m:sub>
            <m:r>
              <m:rPr>
                <m:sty m:val="p"/>
              </m:rPr>
              <w:rPr>
                <w:rFonts w:ascii="Cambria Math" w:hAnsi="Cambria Math"/>
                <w:lang w:val="en-GB"/>
              </w:rPr>
              <m:t>obs</m:t>
            </m:r>
          </m:sub>
        </m:sSub>
      </m:oMath>
      <w:r w:rsidRPr="00C940F5">
        <w:rPr>
          <w:lang w:val="en-GB"/>
        </w:rPr>
        <w:t xml:space="preserve"> and </w:t>
      </w:r>
      <m:oMath>
        <m:sSub>
          <m:sSubPr>
            <m:ctrlPr>
              <w:rPr>
                <w:rFonts w:ascii="Cambria Math" w:hAnsi="Cambria Math"/>
                <w:i/>
                <w:lang w:val="en-GB"/>
              </w:rPr>
            </m:ctrlPr>
          </m:sSubPr>
          <m:e>
            <m:r>
              <w:rPr>
                <w:rFonts w:ascii="Cambria Math" w:hAnsi="Cambria Math"/>
                <w:lang w:val="en-GB"/>
              </w:rPr>
              <m:t>TT</m:t>
            </m:r>
          </m:e>
          <m:sub>
            <m:r>
              <m:rPr>
                <m:sty m:val="p"/>
              </m:rPr>
              <w:rPr>
                <w:rFonts w:ascii="Cambria Math" w:hAnsi="Cambria Math"/>
                <w:lang w:val="en-GB"/>
              </w:rPr>
              <m:t>model</m:t>
            </m:r>
          </m:sub>
        </m:sSub>
      </m:oMath>
      <w:r w:rsidRPr="00C940F5">
        <w:rPr>
          <w:lang w:val="en-GB"/>
        </w:rPr>
        <w:t xml:space="preserve"> are the climatological monthly mean of the observed and simulated precipitation plus PET, respectively. Thus, </w:t>
      </w:r>
      <m:oMath>
        <m:sSub>
          <m:sSubPr>
            <m:ctrlPr>
              <w:rPr>
                <w:rFonts w:ascii="Cambria Math" w:hAnsi="Cambria Math"/>
                <w:i/>
                <w:lang w:val="en-GB"/>
              </w:rPr>
            </m:ctrlPr>
          </m:sSubPr>
          <m:e>
            <m:r>
              <w:rPr>
                <w:rFonts w:ascii="Cambria Math" w:hAnsi="Cambria Math"/>
                <w:lang w:val="en-GB"/>
              </w:rPr>
              <m:t>TT</m:t>
            </m:r>
          </m:e>
          <m:sub>
            <m:r>
              <m:rPr>
                <m:sty m:val="p"/>
              </m:rPr>
              <w:rPr>
                <w:rFonts w:ascii="Cambria Math" w:hAnsi="Cambria Math"/>
                <w:lang w:val="en-GB"/>
              </w:rPr>
              <m:t>obs</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TT</m:t>
            </m:r>
          </m:e>
          <m:sub>
            <m:r>
              <m:rPr>
                <m:sty m:val="p"/>
              </m:rPr>
              <w:rPr>
                <w:rFonts w:ascii="Cambria Math" w:hAnsi="Cambria Math"/>
                <w:lang w:val="en-GB"/>
              </w:rPr>
              <m:t>model</m:t>
            </m:r>
          </m:sub>
        </m:sSub>
      </m:oMath>
      <w:r w:rsidRPr="00C940F5">
        <w:rPr>
          <w:lang w:val="en-GB"/>
        </w:rPr>
        <w:t xml:space="preserve"> represents the scaling factor and changes from month to month.</w:t>
      </w:r>
    </w:p>
    <w:p w:rsidR="00734D0B" w:rsidRPr="00C940F5" w:rsidRDefault="00734D0B" w:rsidP="009E77FE">
      <w:pPr>
        <w:pStyle w:val="1"/>
        <w:rPr>
          <w:lang w:val="en-GB"/>
        </w:rPr>
      </w:pPr>
      <w:r w:rsidRPr="00C940F5">
        <w:rPr>
          <w:lang w:val="en-GB"/>
        </w:rPr>
        <w:t>Text S4 Time-slice approach</w:t>
      </w:r>
    </w:p>
    <w:p w:rsidR="00734D0B" w:rsidRPr="00C940F5" w:rsidRDefault="00734D0B" w:rsidP="00501EB4">
      <w:pPr>
        <w:ind w:firstLineChars="100" w:firstLine="240"/>
        <w:rPr>
          <w:lang w:val="en-GB"/>
        </w:rPr>
      </w:pPr>
      <w:r w:rsidRPr="00C940F5">
        <w:rPr>
          <w:lang w:val="en-GB"/>
        </w:rPr>
        <w:t xml:space="preserve">This study was based on the historical run of the past approximately 150 years that used all forcings and the 21st century projection forced by the RCP8.5 scenario within the CMIP5 framework </w:t>
      </w:r>
      <w:r>
        <w:rPr>
          <w:noProof/>
          <w:lang w:val="en-GB"/>
        </w:rPr>
        <w:t>(Taylor, Stouffer, and Meehl 2011)</w:t>
      </w:r>
      <w:r w:rsidRPr="00C940F5">
        <w:rPr>
          <w:lang w:val="en-GB"/>
        </w:rPr>
        <w:t xml:space="preserve">. </w:t>
      </w:r>
      <w:r w:rsidR="00501EB4" w:rsidRPr="00501EB4">
        <w:rPr>
          <w:rFonts w:hint="eastAsia"/>
          <w:lang w:val="en-GB"/>
        </w:rPr>
        <w:t xml:space="preserve">Since we are primarily interested in the dependence of the distribution of </w:t>
      </w:r>
      <w:r w:rsidR="00501EB4">
        <w:rPr>
          <w:lang w:val="en-GB"/>
        </w:rPr>
        <w:t>other climate indicators</w:t>
      </w:r>
      <w:r w:rsidR="00501EB4" w:rsidRPr="00501EB4">
        <w:rPr>
          <w:rFonts w:hint="eastAsia"/>
          <w:lang w:val="en-GB"/>
        </w:rPr>
        <w:t xml:space="preserve"> on prevailing time</w:t>
      </w:r>
      <w:r w:rsidR="00501EB4">
        <w:rPr>
          <w:rFonts w:hint="eastAsia"/>
          <w:lang w:val="en-GB"/>
        </w:rPr>
        <w:t>-</w:t>
      </w:r>
      <w:r w:rsidR="00501EB4" w:rsidRPr="00501EB4">
        <w:rPr>
          <w:rFonts w:hint="eastAsia"/>
          <w:lang w:val="en-GB"/>
        </w:rPr>
        <w:t>averaged temperature conditions</w:t>
      </w:r>
      <w:r w:rsidR="00501EB4">
        <w:rPr>
          <w:lang w:val="en-GB"/>
        </w:rPr>
        <w:t>, th</w:t>
      </w:r>
      <w:r w:rsidRPr="00C940F5">
        <w:rPr>
          <w:lang w:val="en-GB"/>
        </w:rPr>
        <w:t xml:space="preserve">e time series of globally averaged </w:t>
      </w:r>
      <w:r w:rsidR="00501EB4">
        <w:rPr>
          <w:lang w:val="en-GB"/>
        </w:rPr>
        <w:t>near-</w:t>
      </w:r>
      <w:r w:rsidRPr="00C940F5">
        <w:rPr>
          <w:lang w:val="en-GB"/>
        </w:rPr>
        <w:t>surface air temperature</w:t>
      </w:r>
      <w:r w:rsidR="00501EB4">
        <w:rPr>
          <w:lang w:val="en-GB"/>
        </w:rPr>
        <w:t xml:space="preserve"> and associated climate indicators</w:t>
      </w:r>
      <w:r w:rsidRPr="00C940F5">
        <w:rPr>
          <w:lang w:val="en-GB"/>
        </w:rPr>
        <w:t xml:space="preserve"> is smoothed by a 21-year running mean to filter out the interannual variability under the historical run and the RCP scenarios for individual models. The 21-year time slice used for this average includes the median year for which the global mean surface temperature crosses a given warming target (</w:t>
      </w:r>
      <m:oMath>
        <m:sSub>
          <m:sSubPr>
            <m:ctrlPr>
              <w:rPr>
                <w:rFonts w:ascii="Cambria Math" w:hAnsi="Cambria Math"/>
                <w:i/>
                <w:szCs w:val="20"/>
                <w:lang w:val="en-GB"/>
              </w:rPr>
            </m:ctrlPr>
          </m:sSubPr>
          <m:e>
            <m:r>
              <w:rPr>
                <w:rFonts w:ascii="Cambria Math" w:hAnsi="Cambria Math"/>
                <w:szCs w:val="20"/>
                <w:lang w:val="en-GB"/>
              </w:rPr>
              <m:t>∆T</m:t>
            </m:r>
          </m:e>
          <m:sub>
            <m:r>
              <m:rPr>
                <m:sty m:val="p"/>
              </m:rPr>
              <w:rPr>
                <w:rFonts w:ascii="Cambria Math" w:hAnsi="Cambria Math"/>
                <w:szCs w:val="20"/>
                <w:lang w:val="en-GB"/>
              </w:rPr>
              <m:t>INDC</m:t>
            </m:r>
          </m:sub>
        </m:sSub>
      </m:oMath>
      <w:r w:rsidRPr="00C940F5">
        <w:rPr>
          <w:szCs w:val="20"/>
          <w:lang w:val="en-GB"/>
        </w:rPr>
        <w:t>, or 1.5</w:t>
      </w:r>
      <w:r>
        <w:rPr>
          <w:szCs w:val="20"/>
          <w:lang w:val="en-GB"/>
        </w:rPr>
        <w:t xml:space="preserve"> </w:t>
      </w:r>
      <w:r w:rsidRPr="00C940F5">
        <w:rPr>
          <w:lang w:val="en-GB"/>
        </w:rPr>
        <w:t>°C, 2.0</w:t>
      </w:r>
      <w:r>
        <w:rPr>
          <w:lang w:val="en-GB"/>
        </w:rPr>
        <w:t xml:space="preserve"> </w:t>
      </w:r>
      <w:r w:rsidRPr="00C940F5">
        <w:rPr>
          <w:lang w:val="en-GB"/>
        </w:rPr>
        <w:t>°C), as well as the 10 years preceding and following the median year (see Fig. S2).</w:t>
      </w:r>
    </w:p>
    <w:p w:rsidR="00734D0B" w:rsidRPr="00C940F5" w:rsidRDefault="00734D0B" w:rsidP="009E77FE">
      <w:pPr>
        <w:rPr>
          <w:lang w:val="en-GB"/>
        </w:rPr>
      </w:pPr>
      <w:r w:rsidRPr="00C940F5">
        <w:rPr>
          <w:noProof/>
        </w:rPr>
        <w:lastRenderedPageBreak/>
        <w:drawing>
          <wp:inline distT="0" distB="0" distL="0" distR="0" wp14:anchorId="302AD36D" wp14:editId="75FDD995">
            <wp:extent cx="5274310" cy="1697990"/>
            <wp:effectExtent l="0" t="0" r="2540" b="0"/>
            <wp:docPr id="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变暖年份示意-17.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1697990"/>
                    </a:xfrm>
                    <a:prstGeom prst="rect">
                      <a:avLst/>
                    </a:prstGeom>
                  </pic:spPr>
                </pic:pic>
              </a:graphicData>
            </a:graphic>
          </wp:inline>
        </w:drawing>
      </w:r>
    </w:p>
    <w:p w:rsidR="00734D0B" w:rsidRPr="00C940F5" w:rsidRDefault="00734D0B" w:rsidP="009E77FE">
      <w:pPr>
        <w:rPr>
          <w:lang w:val="en-GB"/>
        </w:rPr>
      </w:pPr>
      <w:r w:rsidRPr="00C940F5">
        <w:rPr>
          <w:b/>
          <w:lang w:val="en-GB"/>
        </w:rPr>
        <w:t>Figure S2</w:t>
      </w:r>
      <w:r w:rsidRPr="00C940F5">
        <w:rPr>
          <w:lang w:val="en-GB"/>
        </w:rPr>
        <w:t xml:space="preserve"> Time series of global mean annual temperature changes (with 21-year running mean) relative to the baseline climatology of the preindustrial period (1861</w:t>
      </w:r>
      <w:r w:rsidRPr="00C940F5">
        <w:rPr>
          <w:lang w:val="en-GB"/>
        </w:rPr>
        <w:sym w:font="Symbol" w:char="F02D"/>
      </w:r>
      <w:r w:rsidRPr="00C940F5">
        <w:rPr>
          <w:lang w:val="en-GB"/>
        </w:rPr>
        <w:t xml:space="preserve">1880), as derived from the individual GCMs under RCP8.5 (see legend). The horizontal dashed line indicates the warming target </w:t>
      </w:r>
      <m:oMath>
        <m:sSub>
          <m:sSubPr>
            <m:ctrlPr>
              <w:rPr>
                <w:rFonts w:ascii="Cambria Math" w:hAnsi="Cambria Math"/>
                <w:i/>
                <w:szCs w:val="20"/>
                <w:lang w:val="en-GB"/>
              </w:rPr>
            </m:ctrlPr>
          </m:sSubPr>
          <m:e>
            <m:r>
              <w:rPr>
                <w:rFonts w:ascii="Cambria Math" w:hAnsi="Cambria Math"/>
                <w:szCs w:val="20"/>
                <w:lang w:val="en-GB"/>
              </w:rPr>
              <m:t>∆T</m:t>
            </m:r>
          </m:e>
          <m:sub>
            <m:r>
              <m:rPr>
                <m:sty m:val="p"/>
              </m:rPr>
              <w:rPr>
                <w:rFonts w:ascii="Cambria Math" w:hAnsi="Cambria Math"/>
                <w:szCs w:val="20"/>
                <w:lang w:val="en-GB"/>
              </w:rPr>
              <m:t>INDC</m:t>
            </m:r>
          </m:sub>
        </m:sSub>
      </m:oMath>
      <w:r w:rsidRPr="00C940F5">
        <w:rPr>
          <w:lang w:val="en-GB"/>
        </w:rPr>
        <w:t>.</w:t>
      </w:r>
    </w:p>
    <w:p w:rsidR="00734D0B" w:rsidRPr="00C940F5" w:rsidRDefault="00734D0B" w:rsidP="009E77FE">
      <w:pPr>
        <w:widowControl/>
        <w:jc w:val="left"/>
        <w:rPr>
          <w:lang w:val="en-GB"/>
        </w:rPr>
      </w:pPr>
      <w:r w:rsidRPr="00C940F5">
        <w:rPr>
          <w:lang w:val="en-GB"/>
        </w:rPr>
        <w:br w:type="page"/>
      </w:r>
    </w:p>
    <w:p w:rsidR="00734D0B" w:rsidRPr="00C940F5" w:rsidRDefault="00734D0B" w:rsidP="009E77FE">
      <w:pPr>
        <w:pStyle w:val="1"/>
        <w:rPr>
          <w:lang w:val="en-GB"/>
        </w:rPr>
      </w:pPr>
      <w:r w:rsidRPr="00C940F5">
        <w:rPr>
          <w:lang w:val="en-GB"/>
        </w:rPr>
        <w:lastRenderedPageBreak/>
        <w:t>Text S5 Penman–Monteith model</w:t>
      </w:r>
    </w:p>
    <w:p w:rsidR="00734D0B" w:rsidRPr="00C940F5" w:rsidRDefault="00734D0B" w:rsidP="009E77FE">
      <w:pPr>
        <w:ind w:firstLineChars="100" w:firstLine="240"/>
        <w:rPr>
          <w:lang w:val="en-GB"/>
        </w:rPr>
      </w:pPr>
      <w:r w:rsidRPr="00C940F5">
        <w:rPr>
          <w:lang w:val="en-GB"/>
        </w:rPr>
        <w:t xml:space="preserve">The Penman–Monteith model is a widely used method for simulating PET </w:t>
      </w:r>
      <w:r>
        <w:rPr>
          <w:noProof/>
          <w:lang w:val="en-GB"/>
        </w:rPr>
        <w:t>(Allen and Ingram 2002)</w:t>
      </w:r>
      <w:r w:rsidRPr="00C940F5">
        <w:rPr>
          <w:lang w:val="en-GB"/>
        </w:rPr>
        <w:t xml:space="preserve">. With its emphasis on the radiative and aerodynamic controls on PET, the Penman–Monteith model is more appropriate for projections of long-term drought and dryland conditions under climate change </w:t>
      </w:r>
      <w:r>
        <w:rPr>
          <w:noProof/>
          <w:lang w:val="en-GB"/>
        </w:rPr>
        <w:t>(Sherwood and Fu 2014, Huang et al. 2017)</w:t>
      </w:r>
      <w:r w:rsidRPr="00C940F5">
        <w:rPr>
          <w:lang w:val="en-GB"/>
        </w:rPr>
        <w:t>. The modified Penman–Monteith model, recommended in 1998 by the Food and Agriculture Organization of the United Nations (hereafter the FAO56-PM model), has been applied in both arid and humid environments. Therefore, we used the Penman–Monteith</w:t>
      </w:r>
      <w:r w:rsidRPr="00C940F5" w:rsidDel="00CA71F1">
        <w:rPr>
          <w:lang w:val="en-GB"/>
        </w:rPr>
        <w:t xml:space="preserve"> </w:t>
      </w:r>
      <w:r w:rsidRPr="00C940F5">
        <w:rPr>
          <w:lang w:val="en-GB"/>
        </w:rPr>
        <w:t>model to simulate PET over Asia:</w:t>
      </w:r>
    </w:p>
    <w:p w:rsidR="00734D0B" w:rsidRPr="008743E3" w:rsidRDefault="00734D0B" w:rsidP="009E77FE">
      <w:pPr>
        <w:pStyle w:val="MTDisplayEquation"/>
      </w:pPr>
      <m:oMathPara>
        <m:oMath>
          <m:r>
            <m:rPr>
              <m:sty m:val="p"/>
            </m:rPr>
            <w:rPr>
              <w:rFonts w:ascii="Cambria Math" w:hAnsi="Cambria Math"/>
            </w:rPr>
            <w:fldChar w:fldCharType="begin"/>
          </m:r>
          <m:r>
            <m:rPr>
              <m:sty m:val="p"/>
            </m:rPr>
            <w:rPr>
              <w:rFonts w:ascii="Cambria Math" w:hAnsi="Cambria Math"/>
            </w:rPr>
            <w:fldChar w:fldCharType="separate"/>
          </m:r>
          <m:r>
            <m:rPr>
              <m:sty m:val="p"/>
            </m:rPr>
            <w:rPr>
              <w:rFonts w:ascii="Cambria Math" w:hAnsi="Cambria Math"/>
              <w:noProof/>
              <w:position w:val="-28"/>
              <w:sz w:val="20"/>
              <w:szCs w:val="20"/>
              <w:lang w:val="en-US"/>
            </w:rPr>
            <w:drawing>
              <wp:inline distT="0" distB="0" distL="0" distR="0">
                <wp:extent cx="4251960" cy="43434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1960" cy="434340"/>
                        </a:xfrm>
                        <a:prstGeom prst="rect">
                          <a:avLst/>
                        </a:prstGeom>
                        <a:noFill/>
                        <a:ln>
                          <a:noFill/>
                        </a:ln>
                      </pic:spPr>
                    </pic:pic>
                  </a:graphicData>
                </a:graphic>
              </wp:inline>
            </w:drawing>
          </m:r>
          <m:r>
            <m:rPr>
              <m:sty m:val="p"/>
            </m:rPr>
            <w:rPr>
              <w:rFonts w:ascii="Cambria Math" w:hAnsi="Cambria Math"/>
              <w:sz w:val="20"/>
              <w:szCs w:val="20"/>
            </w:rPr>
            <w:fldChar w:fldCharType="end"/>
          </m:r>
          <m:r>
            <m:rPr>
              <m:sty m:val="p"/>
            </m:rPr>
            <w:rPr>
              <w:rFonts w:ascii="Cambria Math" w:hAnsi="Cambria Math"/>
              <w:sz w:val="20"/>
              <w:szCs w:val="20"/>
            </w:rPr>
            <m:t xml:space="preserve"> </m:t>
          </m:r>
          <m:r>
            <m:rPr>
              <m:sty m:val="p"/>
            </m:rPr>
            <w:rPr>
              <w:rFonts w:ascii="Cambria Math" w:hAnsi="Cambria Math"/>
            </w:rPr>
            <m:t>PET=[0.408∆</m:t>
          </m:r>
          <m:d>
            <m:dPr>
              <m:ctrlPr>
                <w:rPr>
                  <w:rFonts w:ascii="Cambria Math" w:hAnsi="Cambria Math"/>
                </w:rPr>
              </m:ctrlPr>
            </m:dPr>
            <m:e>
              <m:sSub>
                <m:sSubPr>
                  <m:ctrlPr>
                    <w:rPr>
                      <w:rFonts w:ascii="Cambria Math" w:hAnsi="Cambria Math"/>
                    </w:rPr>
                  </m:ctrlPr>
                </m:sSubPr>
                <m:e>
                  <m:r>
                    <w:rPr>
                      <w:rFonts w:ascii="Cambria Math" w:hAnsi="Cambria Math"/>
                    </w:rPr>
                    <m:t>R</m:t>
                  </m:r>
                </m:e>
                <m:sub>
                  <m:r>
                    <m:rPr>
                      <m:sty m:val="p"/>
                    </m:rPr>
                    <w:rPr>
                      <w:rFonts w:ascii="Cambria Math" w:hAnsi="Cambria Math"/>
                    </w:rPr>
                    <m:t>n</m:t>
                  </m:r>
                </m:sub>
              </m:sSub>
              <m:r>
                <m:rPr>
                  <m:sty m:val="p"/>
                </m:rPr>
                <w:rPr>
                  <w:rFonts w:ascii="Cambria Math" w:hAnsi="Cambria Math"/>
                </w:rPr>
                <m:t>-</m:t>
              </m:r>
              <m:r>
                <w:rPr>
                  <w:rFonts w:ascii="Cambria Math" w:hAnsi="Cambria Math"/>
                </w:rPr>
                <m:t>G</m:t>
              </m:r>
            </m:e>
          </m:d>
          <m:r>
            <m:rPr>
              <m:sty m:val="p"/>
            </m:rPr>
            <w:rPr>
              <w:rFonts w:ascii="Cambria Math" w:hAnsi="Cambria Math"/>
            </w:rPr>
            <m:t>+</m:t>
          </m:r>
          <m:r>
            <w:rPr>
              <w:rFonts w:ascii="Cambria Math" w:hAnsi="Cambria Math"/>
            </w:rPr>
            <m:t>γ</m:t>
          </m:r>
          <m:f>
            <m:fPr>
              <m:ctrlPr>
                <w:rPr>
                  <w:rFonts w:ascii="Cambria Math" w:hAnsi="Cambria Math"/>
                </w:rPr>
              </m:ctrlPr>
            </m:fPr>
            <m:num>
              <m:r>
                <m:rPr>
                  <m:sty m:val="p"/>
                </m:rPr>
                <w:rPr>
                  <w:rFonts w:ascii="Cambria Math" w:hAnsi="Cambria Math"/>
                </w:rPr>
                <m:t>900</m:t>
              </m:r>
            </m:num>
            <m:den>
              <m:r>
                <w:rPr>
                  <w:rFonts w:ascii="Cambria Math" w:hAnsi="Cambria Math"/>
                </w:rPr>
                <m:t>T</m:t>
              </m:r>
              <m:r>
                <m:rPr>
                  <m:sty m:val="p"/>
                </m:rPr>
                <w:rPr>
                  <w:rFonts w:ascii="Cambria Math" w:hAnsi="Cambria Math"/>
                </w:rPr>
                <m:t>+273.15</m:t>
              </m:r>
            </m:den>
          </m:f>
          <m:sSub>
            <m:sSubPr>
              <m:ctrlPr>
                <w:rPr>
                  <w:rFonts w:ascii="Cambria Math" w:hAnsi="Cambria Math"/>
                </w:rPr>
              </m:ctrlPr>
            </m:sSubPr>
            <m:e>
              <m:r>
                <w:rPr>
                  <w:rFonts w:ascii="Cambria Math" w:hAnsi="Cambria Math"/>
                </w:rPr>
                <m:t>U</m:t>
              </m:r>
            </m:e>
            <m:sub>
              <m:r>
                <m:rPr>
                  <m:sty m:val="p"/>
                </m:rPr>
                <w:rPr>
                  <w:rFonts w:ascii="Cambria Math" w:hAnsi="Cambria Math"/>
                </w:rPr>
                <m:t>2</m:t>
              </m:r>
            </m:sub>
          </m:sSub>
          <m:r>
            <m:rPr>
              <m:sty m:val="p"/>
            </m:rP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s</m:t>
              </m:r>
            </m:sub>
          </m:sSub>
          <m:r>
            <m:rPr>
              <m:sty m:val="p"/>
            </m:rPr>
            <w:rPr>
              <w:rFonts w:ascii="Cambria Math" w:hAnsi="Cambria Math"/>
            </w:rPr>
            <w:sym w:font="Symbol" w:char="F02D"/>
          </m:r>
          <m:sSub>
            <m:sSubPr>
              <m:ctrlPr>
                <w:rPr>
                  <w:rFonts w:ascii="Cambria Math" w:hAnsi="Cambria Math"/>
                  <w:i/>
                  <w:iCs/>
                </w:rPr>
              </m:ctrlPr>
            </m:sSubPr>
            <m:e>
              <m:r>
                <w:rPr>
                  <w:rFonts w:ascii="Cambria Math" w:hAnsi="Cambria Math"/>
                </w:rPr>
                <m:t>e</m:t>
              </m:r>
            </m:e>
            <m:sub>
              <m:r>
                <w:rPr>
                  <w:rFonts w:ascii="Cambria Math" w:hAnsi="Cambria Math"/>
                </w:rPr>
                <m:t>a</m:t>
              </m:r>
            </m:sub>
          </m:sSub>
          <m:r>
            <m:rPr>
              <m:sty m:val="p"/>
            </m:rPr>
            <w:rPr>
              <w:rFonts w:ascii="Cambria Math" w:hAnsi="Cambria Math"/>
            </w:rPr>
            <m:t>)]/[</m:t>
          </m:r>
          <m:r>
            <m:rPr>
              <m:sty m:val="p"/>
            </m:rPr>
            <w:rPr>
              <w:rFonts w:ascii="Cambria Math" w:hAnsi="Cambria Math"/>
            </w:rPr>
            <w:sym w:font="Symbol" w:char="F044"/>
          </m:r>
          <m:r>
            <m:rPr>
              <m:sty m:val="p"/>
            </m:rPr>
            <w:rPr>
              <w:rFonts w:ascii="Cambria Math" w:hAnsi="Cambria Math"/>
            </w:rPr>
            <m:t>+</m:t>
          </m:r>
          <m:r>
            <m:rPr>
              <m:sty m:val="p"/>
            </m:rPr>
            <w:rPr>
              <w:rFonts w:ascii="Cambria Math" w:hAnsi="Cambria Math"/>
            </w:rPr>
            <w:sym w:font="Symbol" w:char="F067"/>
          </m:r>
          <m:r>
            <m:rPr>
              <m:sty m:val="p"/>
            </m:rPr>
            <w:rPr>
              <w:rFonts w:ascii="Cambria Math" w:hAnsi="Cambria Math"/>
            </w:rPr>
            <m:t>(1+0.34</m:t>
          </m:r>
          <m:sSub>
            <m:sSubPr>
              <m:ctrlPr>
                <w:rPr>
                  <w:rFonts w:ascii="Cambria Math" w:hAnsi="Cambria Math"/>
                  <w:i/>
                  <w:iCs/>
                </w:rPr>
              </m:ctrlPr>
            </m:sSubPr>
            <m:e>
              <m:r>
                <w:rPr>
                  <w:rFonts w:ascii="Cambria Math" w:hAnsi="Cambria Math"/>
                </w:rPr>
                <m:t>U</m:t>
              </m:r>
            </m:e>
            <m:sub>
              <m:r>
                <w:rPr>
                  <w:rFonts w:ascii="Cambria Math" w:hAnsi="Cambria Math"/>
                </w:rPr>
                <m:t>2</m:t>
              </m:r>
            </m:sub>
          </m:sSub>
          <m:r>
            <m:rPr>
              <m:sty m:val="p"/>
            </m:rPr>
            <w:rPr>
              <w:rFonts w:ascii="Cambria Math" w:hAnsi="Cambria Math"/>
            </w:rPr>
            <m:t>)]</m:t>
          </m:r>
        </m:oMath>
      </m:oMathPara>
    </w:p>
    <w:p w:rsidR="00734D0B" w:rsidRPr="00C940F5" w:rsidRDefault="00734D0B" w:rsidP="009E77FE">
      <w:pPr>
        <w:rPr>
          <w:lang w:val="en-GB"/>
        </w:rPr>
      </w:pPr>
      <w:r w:rsidRPr="00C940F5">
        <w:rPr>
          <w:lang w:val="en-GB"/>
        </w:rPr>
        <w:t xml:space="preserve">where </w:t>
      </w:r>
      <m:oMath>
        <m:sSub>
          <m:sSubPr>
            <m:ctrlPr>
              <w:rPr>
                <w:rFonts w:ascii="Cambria Math" w:hAnsi="Cambria Math"/>
                <w:i/>
                <w:lang w:val="en-GB"/>
              </w:rPr>
            </m:ctrlPr>
          </m:sSubPr>
          <m:e>
            <m:r>
              <w:rPr>
                <w:rFonts w:ascii="Cambria Math" w:hAnsi="Cambria Math"/>
                <w:lang w:val="en-GB"/>
              </w:rPr>
              <m:t>R</m:t>
            </m:r>
          </m:e>
          <m:sub>
            <m:r>
              <m:rPr>
                <m:sty m:val="p"/>
              </m:rPr>
              <w:rPr>
                <w:rFonts w:ascii="Cambria Math" w:hAnsi="Cambria Math"/>
                <w:lang w:val="en-GB"/>
              </w:rPr>
              <m:t>n</m:t>
            </m:r>
          </m:sub>
        </m:sSub>
      </m:oMath>
      <w:r w:rsidRPr="00C940F5">
        <w:rPr>
          <w:lang w:val="en-GB"/>
        </w:rPr>
        <w:t xml:space="preserve"> is the net radiation (MJ m</w:t>
      </w:r>
      <w:r w:rsidRPr="00C940F5">
        <w:rPr>
          <w:vertAlign w:val="superscript"/>
          <w:lang w:val="en-GB"/>
        </w:rPr>
        <w:t>–2</w:t>
      </w:r>
      <w:r w:rsidRPr="00C940F5">
        <w:rPr>
          <w:lang w:val="en-GB"/>
        </w:rPr>
        <w:t xml:space="preserve">), </w:t>
      </w:r>
      <m:oMath>
        <m:r>
          <w:rPr>
            <w:rFonts w:ascii="Cambria Math" w:hAnsi="Cambria Math"/>
            <w:lang w:val="en-GB"/>
          </w:rPr>
          <m:t>G</m:t>
        </m:r>
      </m:oMath>
      <w:r w:rsidRPr="00C940F5">
        <w:rPr>
          <w:lang w:val="en-GB"/>
        </w:rPr>
        <w:t xml:space="preserve"> is the soil heat flux (MJ m</w:t>
      </w:r>
      <w:r w:rsidRPr="00C940F5">
        <w:rPr>
          <w:vertAlign w:val="superscript"/>
          <w:lang w:val="en-GB"/>
        </w:rPr>
        <w:t>–2</w:t>
      </w:r>
      <w:r w:rsidRPr="00C940F5">
        <w:rPr>
          <w:lang w:val="en-GB"/>
        </w:rPr>
        <w:t xml:space="preserve">), </w:t>
      </w:r>
      <m:oMath>
        <m:r>
          <w:rPr>
            <w:rFonts w:ascii="Cambria Math" w:hAnsi="Cambria Math"/>
            <w:lang w:val="en-GB"/>
          </w:rPr>
          <m:t>γ</m:t>
        </m:r>
      </m:oMath>
      <w:r w:rsidRPr="00C940F5">
        <w:rPr>
          <w:lang w:val="en-GB"/>
        </w:rPr>
        <w:t xml:space="preserve"> is the psychrometric constant (kPa °C</w:t>
      </w:r>
      <w:r w:rsidRPr="00C940F5">
        <w:rPr>
          <w:vertAlign w:val="superscript"/>
          <w:lang w:val="en-GB"/>
        </w:rPr>
        <w:t>–1</w:t>
      </w:r>
      <w:r w:rsidRPr="00C940F5">
        <w:rPr>
          <w:lang w:val="en-GB"/>
        </w:rPr>
        <w:t xml:space="preserve">), </w:t>
      </w:r>
      <m:oMath>
        <m:r>
          <w:rPr>
            <w:rFonts w:ascii="Cambria Math" w:hAnsi="Cambria Math"/>
            <w:lang w:val="en-GB"/>
          </w:rPr>
          <m:t>∆</m:t>
        </m:r>
      </m:oMath>
      <w:r w:rsidRPr="00C940F5">
        <w:rPr>
          <w:lang w:val="en-GB"/>
        </w:rPr>
        <w:t xml:space="preserve"> is the slope of the saturation vapor pressure curve (kPa °C</w:t>
      </w:r>
      <w:r w:rsidRPr="00C940F5">
        <w:rPr>
          <w:vertAlign w:val="superscript"/>
          <w:lang w:val="en-GB"/>
        </w:rPr>
        <w:t>–1</w:t>
      </w:r>
      <w:r w:rsidRPr="00C940F5">
        <w:rPr>
          <w:lang w:val="en-GB"/>
        </w:rPr>
        <w:t xml:space="preserve">), </w:t>
      </w:r>
      <m:oMath>
        <m:r>
          <w:rPr>
            <w:rFonts w:ascii="Cambria Math" w:hAnsi="Cambria Math"/>
            <w:lang w:val="en-GB"/>
          </w:rPr>
          <m:t>T</m:t>
        </m:r>
      </m:oMath>
      <w:r w:rsidRPr="00C940F5">
        <w:rPr>
          <w:lang w:val="en-GB"/>
        </w:rPr>
        <w:t xml:space="preserve"> is the average temperature (°C), </w:t>
      </w:r>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2</m:t>
            </m:r>
          </m:sub>
        </m:sSub>
      </m:oMath>
      <w:r w:rsidRPr="00C940F5">
        <w:rPr>
          <w:lang w:val="en-GB"/>
        </w:rPr>
        <w:t xml:space="preserve"> is the wind speed at the height of 2 m (m s</w:t>
      </w:r>
      <w:r w:rsidRPr="00C940F5">
        <w:rPr>
          <w:vertAlign w:val="superscript"/>
          <w:lang w:val="en-GB"/>
        </w:rPr>
        <w:t>–1</w:t>
      </w:r>
      <w:r w:rsidRPr="00C940F5">
        <w:rPr>
          <w:lang w:val="en-GB"/>
        </w:rPr>
        <w:t xml:space="preserve">), </w:t>
      </w:r>
      <m:oMath>
        <m:sSub>
          <m:sSubPr>
            <m:ctrlPr>
              <w:rPr>
                <w:rFonts w:ascii="Cambria Math" w:hAnsi="Cambria Math"/>
                <w:i/>
                <w:lang w:val="en-GB"/>
              </w:rPr>
            </m:ctrlPr>
          </m:sSubPr>
          <m:e>
            <m:r>
              <w:rPr>
                <w:rFonts w:ascii="Cambria Math" w:hAnsi="Cambria Math"/>
                <w:lang w:val="en-GB"/>
              </w:rPr>
              <m:t>e</m:t>
            </m:r>
          </m:e>
          <m:sub>
            <m:r>
              <m:rPr>
                <m:sty m:val="p"/>
              </m:rPr>
              <w:rPr>
                <w:rFonts w:ascii="Cambria Math" w:hAnsi="Cambria Math"/>
                <w:lang w:val="en-GB"/>
              </w:rPr>
              <m:t>s</m:t>
            </m:r>
          </m:sub>
        </m:sSub>
      </m:oMath>
      <w:r w:rsidRPr="00C940F5">
        <w:rPr>
          <w:lang w:val="en-GB"/>
        </w:rPr>
        <w:t xml:space="preserve"> is the mean saturation vapor pressure (kPa), and </w:t>
      </w:r>
      <m:oMath>
        <m:sSub>
          <m:sSubPr>
            <m:ctrlPr>
              <w:rPr>
                <w:rFonts w:ascii="Cambria Math" w:hAnsi="Cambria Math"/>
                <w:i/>
                <w:lang w:val="en-GB"/>
              </w:rPr>
            </m:ctrlPr>
          </m:sSubPr>
          <m:e>
            <m:r>
              <w:rPr>
                <w:rFonts w:ascii="Cambria Math" w:hAnsi="Cambria Math"/>
                <w:lang w:val="en-GB"/>
              </w:rPr>
              <m:t>e</m:t>
            </m:r>
          </m:e>
          <m:sub>
            <m:r>
              <m:rPr>
                <m:sty m:val="p"/>
              </m:rPr>
              <w:rPr>
                <w:rFonts w:ascii="Cambria Math" w:hAnsi="Cambria Math"/>
                <w:lang w:val="en-GB"/>
              </w:rPr>
              <m:t>a</m:t>
            </m:r>
          </m:sub>
        </m:sSub>
      </m:oMath>
      <w:r w:rsidRPr="00C940F5">
        <w:rPr>
          <w:lang w:val="en-GB"/>
        </w:rPr>
        <w:t xml:space="preserve"> is the actual vapor pressure (kPa).</w:t>
      </w:r>
      <w:r w:rsidR="0034289B" w:rsidRPr="0034289B">
        <w:t xml:space="preserve"> </w:t>
      </w:r>
      <w:r w:rsidR="0034289B">
        <w:t xml:space="preserve">We amuse </w:t>
      </w:r>
      <w:r w:rsidR="0034289B">
        <w:rPr>
          <w:lang w:val="en-GB"/>
        </w:rPr>
        <w:t>s</w:t>
      </w:r>
      <w:r w:rsidR="0034289B" w:rsidRPr="0034289B">
        <w:rPr>
          <w:lang w:val="en-GB"/>
        </w:rPr>
        <w:t>oil heat flux is approximately equal to zero over a longer time scale</w:t>
      </w:r>
      <w:r w:rsidR="0034289B">
        <w:rPr>
          <w:rFonts w:hint="eastAsia"/>
          <w:lang w:val="en-GB"/>
        </w:rPr>
        <w:t>.</w:t>
      </w:r>
    </w:p>
    <w:p w:rsidR="00734D0B" w:rsidRPr="00C940F5" w:rsidRDefault="00734D0B" w:rsidP="009E77FE">
      <w:pPr>
        <w:widowControl/>
        <w:jc w:val="left"/>
        <w:rPr>
          <w:lang w:val="en-GB"/>
        </w:rPr>
      </w:pPr>
      <w:r w:rsidRPr="00C940F5">
        <w:rPr>
          <w:lang w:val="en-GB"/>
        </w:rPr>
        <w:br w:type="page"/>
      </w:r>
    </w:p>
    <w:p w:rsidR="00734D0B" w:rsidRPr="00C940F5" w:rsidRDefault="00734D0B" w:rsidP="009E77FE">
      <w:pPr>
        <w:rPr>
          <w:lang w:val="en-GB"/>
        </w:rPr>
      </w:pPr>
      <w:r w:rsidRPr="00C940F5">
        <w:rPr>
          <w:noProof/>
        </w:rPr>
        <w:lastRenderedPageBreak/>
        <w:drawing>
          <wp:inline distT="0" distB="0" distL="0" distR="0" wp14:anchorId="269112EE" wp14:editId="268FFA39">
            <wp:extent cx="5274310" cy="2917190"/>
            <wp:effectExtent l="0" t="0" r="2540" b="0"/>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I观测模拟比较.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917190"/>
                    </a:xfrm>
                    <a:prstGeom prst="rect">
                      <a:avLst/>
                    </a:prstGeom>
                  </pic:spPr>
                </pic:pic>
              </a:graphicData>
            </a:graphic>
          </wp:inline>
        </w:drawing>
      </w:r>
    </w:p>
    <w:p w:rsidR="00734D0B" w:rsidRPr="00C940F5" w:rsidRDefault="00734D0B" w:rsidP="009E77FE">
      <w:pPr>
        <w:rPr>
          <w:lang w:val="en-GB"/>
        </w:rPr>
      </w:pPr>
      <w:r w:rsidRPr="00C940F5">
        <w:rPr>
          <w:b/>
          <w:lang w:val="en-GB"/>
        </w:rPr>
        <w:t>Figure S3</w:t>
      </w:r>
      <w:r w:rsidRPr="00C940F5">
        <w:rPr>
          <w:lang w:val="en-GB"/>
        </w:rPr>
        <w:t xml:space="preserve"> Observed (red line) and corrected-simulated (black line and shaded area are the multimodel median and interquartile range, respectively) time series of the mean AI for Asia from 1961 to 2005.</w:t>
      </w:r>
    </w:p>
    <w:p w:rsidR="00734D0B" w:rsidRPr="00C940F5" w:rsidRDefault="00734D0B" w:rsidP="009E77FE">
      <w:pPr>
        <w:rPr>
          <w:lang w:val="en-GB"/>
        </w:rPr>
      </w:pPr>
    </w:p>
    <w:p w:rsidR="00734D0B" w:rsidRPr="00C940F5" w:rsidRDefault="00734D0B" w:rsidP="009E77FE">
      <w:pPr>
        <w:rPr>
          <w:lang w:val="en-GB"/>
        </w:rPr>
      </w:pPr>
      <w:r w:rsidRPr="00C940F5">
        <w:rPr>
          <w:noProof/>
        </w:rPr>
        <w:drawing>
          <wp:inline distT="0" distB="0" distL="0" distR="0" wp14:anchorId="7C7F144D" wp14:editId="323AC5A2">
            <wp:extent cx="5274310" cy="3147060"/>
            <wp:effectExtent l="0" t="0" r="2540" b="0"/>
            <wp:docPr id="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各个分区观测模拟比较.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147060"/>
                    </a:xfrm>
                    <a:prstGeom prst="rect">
                      <a:avLst/>
                    </a:prstGeom>
                  </pic:spPr>
                </pic:pic>
              </a:graphicData>
            </a:graphic>
          </wp:inline>
        </w:drawing>
      </w:r>
    </w:p>
    <w:p w:rsidR="00734D0B" w:rsidRDefault="00734D0B">
      <w:pPr>
        <w:rPr>
          <w:lang w:val="en-GB"/>
        </w:rPr>
      </w:pPr>
      <w:r w:rsidRPr="00C940F5">
        <w:rPr>
          <w:b/>
          <w:lang w:val="en-GB"/>
        </w:rPr>
        <w:t>Figure S4</w:t>
      </w:r>
      <w:r w:rsidRPr="00C940F5">
        <w:rPr>
          <w:lang w:val="en-GB"/>
        </w:rPr>
        <w:t xml:space="preserve"> Observed (red line) and corrected-simulated (black line and shaded area are the multimodel median and interquartile range, respectively) time series of the areal proportion of (a) humid, (b) sub-humid, (c) semi-arid, and (d) arid regions from 1961 to 2005.</w:t>
      </w:r>
    </w:p>
    <w:p w:rsidR="00C4608B" w:rsidRDefault="00C4608B" w:rsidP="00C4608B">
      <w:pPr>
        <w:rPr>
          <w:kern w:val="0"/>
          <w:lang w:val="en-GB"/>
        </w:rPr>
      </w:pPr>
      <w:r>
        <w:rPr>
          <w:noProof/>
          <w:kern w:val="0"/>
        </w:rPr>
        <w:lastRenderedPageBreak/>
        <w:drawing>
          <wp:inline distT="0" distB="0" distL="0" distR="0">
            <wp:extent cx="5274310" cy="6947535"/>
            <wp:effectExtent l="0" t="0" r="2540"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DC情景-humid变化-联合国标准-低分.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6947535"/>
                    </a:xfrm>
                    <a:prstGeom prst="rect">
                      <a:avLst/>
                    </a:prstGeom>
                  </pic:spPr>
                </pic:pic>
              </a:graphicData>
            </a:graphic>
          </wp:inline>
        </w:drawing>
      </w:r>
    </w:p>
    <w:p w:rsidR="00C4608B" w:rsidRDefault="00C4608B" w:rsidP="00C4608B">
      <w:pPr>
        <w:rPr>
          <w:lang w:val="en-GB"/>
        </w:rPr>
      </w:pPr>
      <w:r>
        <w:rPr>
          <w:b/>
          <w:lang w:val="en-GB"/>
        </w:rPr>
        <w:t xml:space="preserve">Figure </w:t>
      </w:r>
      <w:r w:rsidR="002064A0">
        <w:rPr>
          <w:b/>
          <w:lang w:val="en-GB"/>
        </w:rPr>
        <w:t>S5</w:t>
      </w:r>
      <w:r>
        <w:rPr>
          <w:b/>
          <w:lang w:val="en-GB"/>
        </w:rPr>
        <w:t xml:space="preserve">. </w:t>
      </w:r>
      <w:r w:rsidRPr="004B7001">
        <w:rPr>
          <w:b/>
          <w:lang w:val="en-GB"/>
        </w:rPr>
        <w:t>Spatial distribution of humid regions over Asia for the INDC-pledge scenario</w:t>
      </w:r>
      <w:r>
        <w:rPr>
          <w:b/>
          <w:lang w:val="en-GB"/>
        </w:rPr>
        <w:t xml:space="preserve">. </w:t>
      </w:r>
      <w:r>
        <w:rPr>
          <w:lang w:val="en-GB"/>
        </w:rPr>
        <w:t xml:space="preserve">Spatial distribution of humid regions over Asia for the INDC-pledge scenario, </w:t>
      </w:r>
      <w:r w:rsidR="00C44ED2">
        <w:rPr>
          <w:kern w:val="0"/>
          <w:lang w:val="en-GB"/>
        </w:rPr>
        <w:t>based on simulated AI by separate models</w:t>
      </w:r>
      <w:r>
        <w:rPr>
          <w:lang w:val="en-GB"/>
        </w:rPr>
        <w:t>. The different colours indicate changed and unchanged areas relative to the present period.</w:t>
      </w:r>
    </w:p>
    <w:p w:rsidR="002064A0" w:rsidRPr="004B7001" w:rsidRDefault="002064A0" w:rsidP="002064A0">
      <w:pPr>
        <w:rPr>
          <w:b/>
          <w:lang w:val="en-GB"/>
        </w:rPr>
      </w:pPr>
      <w:r>
        <w:rPr>
          <w:b/>
          <w:noProof/>
        </w:rPr>
        <w:lastRenderedPageBreak/>
        <w:drawing>
          <wp:inline distT="0" distB="0" distL="0" distR="0" wp14:anchorId="40277A28" wp14:editId="45863143">
            <wp:extent cx="5274310" cy="6947535"/>
            <wp:effectExtent l="0" t="0" r="254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DC情景-subhumid变化-联合国标准-低分.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6947535"/>
                    </a:xfrm>
                    <a:prstGeom prst="rect">
                      <a:avLst/>
                    </a:prstGeom>
                  </pic:spPr>
                </pic:pic>
              </a:graphicData>
            </a:graphic>
          </wp:inline>
        </w:drawing>
      </w:r>
    </w:p>
    <w:p w:rsidR="002064A0" w:rsidRDefault="002064A0" w:rsidP="002064A0">
      <w:pPr>
        <w:rPr>
          <w:kern w:val="0"/>
          <w:lang w:val="en-GB"/>
        </w:rPr>
      </w:pPr>
      <w:r>
        <w:rPr>
          <w:b/>
          <w:kern w:val="0"/>
          <w:lang w:val="en-GB"/>
        </w:rPr>
        <w:t xml:space="preserve">Figure S6. </w:t>
      </w:r>
      <w:r w:rsidRPr="004B7001">
        <w:rPr>
          <w:b/>
          <w:kern w:val="0"/>
          <w:lang w:val="en-GB"/>
        </w:rPr>
        <w:t>Spatial distribution of sub-humid regions over Asia for the INDC-pledge scenario</w:t>
      </w:r>
      <w:r>
        <w:rPr>
          <w:b/>
          <w:kern w:val="0"/>
          <w:lang w:val="en-GB"/>
        </w:rPr>
        <w:t xml:space="preserve">. </w:t>
      </w:r>
      <w:r>
        <w:rPr>
          <w:kern w:val="0"/>
          <w:lang w:val="en-GB"/>
        </w:rPr>
        <w:t>Spatial distribution of sub-humid regions over Asi</w:t>
      </w:r>
      <w:r w:rsidR="00C44ED2">
        <w:rPr>
          <w:kern w:val="0"/>
          <w:lang w:val="en-GB"/>
        </w:rPr>
        <w:t xml:space="preserve">a for the INDC-pledge scenario, based on </w:t>
      </w:r>
      <w:r>
        <w:rPr>
          <w:kern w:val="0"/>
          <w:lang w:val="en-GB"/>
        </w:rPr>
        <w:t xml:space="preserve">simulated </w:t>
      </w:r>
      <w:r w:rsidR="00C44ED2">
        <w:rPr>
          <w:kern w:val="0"/>
          <w:lang w:val="en-GB"/>
        </w:rPr>
        <w:t>AI by</w:t>
      </w:r>
      <w:r>
        <w:rPr>
          <w:kern w:val="0"/>
          <w:lang w:val="en-GB"/>
        </w:rPr>
        <w:t xml:space="preserve"> </w:t>
      </w:r>
      <w:r w:rsidR="00C44ED2">
        <w:rPr>
          <w:kern w:val="0"/>
          <w:lang w:val="en-GB"/>
        </w:rPr>
        <w:t>separate</w:t>
      </w:r>
      <w:r>
        <w:rPr>
          <w:kern w:val="0"/>
          <w:lang w:val="en-GB"/>
        </w:rPr>
        <w:t xml:space="preserve"> models. The different colours indicate changed and unchanged areas relative to the present period.</w:t>
      </w:r>
    </w:p>
    <w:p w:rsidR="002064A0" w:rsidRPr="002064A0" w:rsidRDefault="002064A0" w:rsidP="00C4608B">
      <w:pPr>
        <w:rPr>
          <w:lang w:val="en-GB"/>
        </w:rPr>
      </w:pPr>
    </w:p>
    <w:p w:rsidR="002064A0" w:rsidRDefault="002064A0" w:rsidP="002064A0">
      <w:pPr>
        <w:rPr>
          <w:color w:val="FF0000"/>
          <w:lang w:val="en-GB"/>
        </w:rPr>
      </w:pPr>
      <w:r>
        <w:rPr>
          <w:noProof/>
          <w:color w:val="FF0000"/>
        </w:rPr>
        <w:lastRenderedPageBreak/>
        <w:drawing>
          <wp:inline distT="0" distB="0" distL="0" distR="0" wp14:anchorId="1B38205A" wp14:editId="533DCF93">
            <wp:extent cx="5274310" cy="6947535"/>
            <wp:effectExtent l="0" t="0" r="254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DC情景-semiarid变化-联合国标准-低分.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6947535"/>
                    </a:xfrm>
                    <a:prstGeom prst="rect">
                      <a:avLst/>
                    </a:prstGeom>
                  </pic:spPr>
                </pic:pic>
              </a:graphicData>
            </a:graphic>
          </wp:inline>
        </w:drawing>
      </w:r>
    </w:p>
    <w:p w:rsidR="002064A0" w:rsidRDefault="002064A0" w:rsidP="002064A0">
      <w:pPr>
        <w:rPr>
          <w:kern w:val="0"/>
          <w:lang w:val="en-GB"/>
        </w:rPr>
      </w:pPr>
      <w:r>
        <w:rPr>
          <w:b/>
          <w:kern w:val="0"/>
          <w:lang w:val="en-GB"/>
        </w:rPr>
        <w:t xml:space="preserve">Figure S7. </w:t>
      </w:r>
      <w:r w:rsidRPr="004B7001">
        <w:rPr>
          <w:b/>
          <w:kern w:val="0"/>
          <w:lang w:val="en-GB"/>
        </w:rPr>
        <w:t>Spatial distribution of semi-arid regions over Asia for the INDC-pledge scenario</w:t>
      </w:r>
      <w:r>
        <w:rPr>
          <w:b/>
          <w:kern w:val="0"/>
          <w:lang w:val="en-GB"/>
        </w:rPr>
        <w:t xml:space="preserve">. </w:t>
      </w:r>
      <w:r>
        <w:rPr>
          <w:kern w:val="0"/>
          <w:lang w:val="en-GB"/>
        </w:rPr>
        <w:t>Spatial distribution of semi-arid regions over Asia for the INDC-pledge scenario</w:t>
      </w:r>
      <w:r w:rsidR="00CE5E7F">
        <w:rPr>
          <w:kern w:val="0"/>
          <w:lang w:val="en-GB"/>
        </w:rPr>
        <w:t>, based on simulated AI by separate models.</w:t>
      </w:r>
      <w:r>
        <w:rPr>
          <w:kern w:val="0"/>
          <w:lang w:val="en-GB"/>
        </w:rPr>
        <w:t xml:space="preserve"> The different colours indicate changed and unchanged areas relative to the present period.</w:t>
      </w:r>
    </w:p>
    <w:p w:rsidR="002064A0" w:rsidRPr="002064A0" w:rsidRDefault="002064A0" w:rsidP="00C4608B">
      <w:pPr>
        <w:rPr>
          <w:lang w:val="en-GB"/>
        </w:rPr>
      </w:pPr>
    </w:p>
    <w:p w:rsidR="002064A0" w:rsidRDefault="002064A0" w:rsidP="002064A0">
      <w:pPr>
        <w:rPr>
          <w:lang w:val="en-GB"/>
        </w:rPr>
      </w:pPr>
      <w:r>
        <w:rPr>
          <w:noProof/>
        </w:rPr>
        <w:lastRenderedPageBreak/>
        <w:drawing>
          <wp:inline distT="0" distB="0" distL="0" distR="0" wp14:anchorId="2F4D785B" wp14:editId="4A0EF547">
            <wp:extent cx="5274310" cy="6947535"/>
            <wp:effectExtent l="0" t="0" r="254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DC情景-arid变化-联合国标准-低分.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6947535"/>
                    </a:xfrm>
                    <a:prstGeom prst="rect">
                      <a:avLst/>
                    </a:prstGeom>
                  </pic:spPr>
                </pic:pic>
              </a:graphicData>
            </a:graphic>
          </wp:inline>
        </w:drawing>
      </w:r>
    </w:p>
    <w:p w:rsidR="002064A0" w:rsidRDefault="002064A0" w:rsidP="002064A0">
      <w:pPr>
        <w:rPr>
          <w:lang w:val="en-GB"/>
        </w:rPr>
      </w:pPr>
      <w:r>
        <w:rPr>
          <w:b/>
          <w:lang w:val="en-GB"/>
        </w:rPr>
        <w:t xml:space="preserve">Figure S8. </w:t>
      </w:r>
      <w:r w:rsidRPr="004B7001">
        <w:rPr>
          <w:b/>
          <w:lang w:val="en-GB"/>
        </w:rPr>
        <w:t>Spatial distribution of arid regions over Asia for the INDC-pledge scenari</w:t>
      </w:r>
      <w:r>
        <w:rPr>
          <w:b/>
          <w:lang w:val="en-GB"/>
        </w:rPr>
        <w:t xml:space="preserve">o. </w:t>
      </w:r>
      <w:r>
        <w:rPr>
          <w:lang w:val="en-GB"/>
        </w:rPr>
        <w:t>Spatial distribution of arid regions over Asia for the INDC-pledge scenario</w:t>
      </w:r>
      <w:r w:rsidR="00CE5E7F">
        <w:rPr>
          <w:kern w:val="0"/>
          <w:lang w:val="en-GB"/>
        </w:rPr>
        <w:t>, based on simulated AI by separate models.</w:t>
      </w:r>
      <w:r>
        <w:rPr>
          <w:lang w:val="en-GB"/>
        </w:rPr>
        <w:t xml:space="preserve"> The different colours indicate changed and unchanged areas relative to the present period.</w:t>
      </w:r>
    </w:p>
    <w:p w:rsidR="002064A0" w:rsidRPr="002064A0" w:rsidRDefault="002064A0" w:rsidP="00C4608B">
      <w:pPr>
        <w:rPr>
          <w:lang w:val="en-GB"/>
        </w:rPr>
      </w:pPr>
    </w:p>
    <w:p w:rsidR="00734D0B" w:rsidRDefault="00734D0B" w:rsidP="00E705F3">
      <w:pPr>
        <w:pStyle w:val="1"/>
        <w:rPr>
          <w:lang w:val="en-GB"/>
        </w:rPr>
      </w:pPr>
      <w:r>
        <w:rPr>
          <w:rFonts w:hint="eastAsia"/>
          <w:lang w:val="en-GB"/>
        </w:rPr>
        <w:lastRenderedPageBreak/>
        <w:t>References</w:t>
      </w:r>
    </w:p>
    <w:p w:rsidR="00734D0B" w:rsidRPr="00E705F3" w:rsidRDefault="00734D0B" w:rsidP="00E705F3">
      <w:pPr>
        <w:pStyle w:val="EndNoteBibliography"/>
        <w:ind w:left="720" w:hanging="720"/>
      </w:pPr>
      <w:r w:rsidRPr="00E705F3">
        <w:t xml:space="preserve">Allen, Myles R., David J. Frame, Chris Huntingford, Chris D. Jones, Jason A. Lowe, Malte Meinshausen, and Nicolai Meinshausen. </w:t>
      </w:r>
      <w:r w:rsidR="00473BBA">
        <w:t>(</w:t>
      </w:r>
      <w:r w:rsidRPr="00E705F3">
        <w:t>2009</w:t>
      </w:r>
      <w:r w:rsidR="00473BBA">
        <w:t>)</w:t>
      </w:r>
      <w:r w:rsidRPr="00E705F3">
        <w:t xml:space="preserve">. "Warming caused by cumulative carbon emissions towards the trillionth tonne."  </w:t>
      </w:r>
      <w:r w:rsidRPr="00E705F3">
        <w:rPr>
          <w:i/>
        </w:rPr>
        <w:t>Nature</w:t>
      </w:r>
      <w:r w:rsidRPr="00E705F3">
        <w:t xml:space="preserve"> 458:1163. doi: 10.1038/nature08019</w:t>
      </w:r>
    </w:p>
    <w:p w:rsidR="00734D0B" w:rsidRPr="00E705F3" w:rsidRDefault="00734D0B" w:rsidP="00E705F3">
      <w:pPr>
        <w:pStyle w:val="EndNoteBibliography"/>
        <w:ind w:left="720" w:hanging="720"/>
      </w:pPr>
      <w:r w:rsidRPr="00E705F3">
        <w:t xml:space="preserve">Allen, Myles R., and William J. Ingram. </w:t>
      </w:r>
      <w:r w:rsidR="00473BBA">
        <w:t>(</w:t>
      </w:r>
      <w:r w:rsidRPr="00E705F3">
        <w:t>2002</w:t>
      </w:r>
      <w:r w:rsidR="00473BBA">
        <w:t>)</w:t>
      </w:r>
      <w:r w:rsidRPr="00E705F3">
        <w:t xml:space="preserve">. "Constraints on future changes in climate and the hydrologic cycle."  </w:t>
      </w:r>
      <w:r w:rsidRPr="00E705F3">
        <w:rPr>
          <w:i/>
        </w:rPr>
        <w:t>Nature</w:t>
      </w:r>
      <w:r w:rsidRPr="00E705F3">
        <w:t xml:space="preserve"> 419:224. doi: 10.1038/nature01092.</w:t>
      </w:r>
    </w:p>
    <w:p w:rsidR="00734D0B" w:rsidRPr="00E705F3" w:rsidRDefault="00734D0B" w:rsidP="00E705F3">
      <w:pPr>
        <w:pStyle w:val="EndNoteBibliography"/>
        <w:ind w:left="720" w:hanging="720"/>
      </w:pPr>
      <w:r w:rsidRPr="00E705F3">
        <w:t xml:space="preserve">CAT. </w:t>
      </w:r>
      <w:r w:rsidR="00473BBA">
        <w:t>(</w:t>
      </w:r>
      <w:r w:rsidRPr="00E705F3">
        <w:t>2017</w:t>
      </w:r>
      <w:r w:rsidR="00473BBA">
        <w:t>)</w:t>
      </w:r>
      <w:r w:rsidRPr="00E705F3">
        <w:t xml:space="preserve">. "Addressing global warming." </w:t>
      </w:r>
      <w:r w:rsidRPr="00473BBA">
        <w:t>https://climateactiontracker.org/global/temperatures/</w:t>
      </w:r>
      <w:r w:rsidRPr="00E705F3">
        <w:t>.</w:t>
      </w:r>
    </w:p>
    <w:p w:rsidR="00734D0B" w:rsidRPr="00E705F3" w:rsidRDefault="00734D0B" w:rsidP="00E705F3">
      <w:pPr>
        <w:pStyle w:val="EndNoteBibliography"/>
        <w:ind w:left="720" w:hanging="720"/>
      </w:pPr>
      <w:r w:rsidRPr="00E705F3">
        <w:t xml:space="preserve">CI. </w:t>
      </w:r>
      <w:r w:rsidR="00473BBA">
        <w:t>(</w:t>
      </w:r>
      <w:r w:rsidRPr="00E705F3">
        <w:t>2016</w:t>
      </w:r>
      <w:r w:rsidR="00473BBA">
        <w:t>)</w:t>
      </w:r>
      <w:r w:rsidRPr="00E705F3">
        <w:t>.</w:t>
      </w:r>
      <w:r w:rsidR="00473BBA">
        <w:t xml:space="preserve"> </w:t>
      </w:r>
      <w:r w:rsidR="00473BBA" w:rsidRPr="00473BBA">
        <w:t>Climate scoreboard.</w:t>
      </w:r>
      <w:r w:rsidR="00473BBA">
        <w:t xml:space="preserve"> </w:t>
      </w:r>
      <w:r w:rsidR="00473BBA" w:rsidRPr="00473BBA">
        <w:t>https://www.climateinteractive.org/</w:t>
      </w:r>
    </w:p>
    <w:p w:rsidR="00734D0B" w:rsidRPr="00E705F3" w:rsidRDefault="00734D0B" w:rsidP="00E705F3">
      <w:pPr>
        <w:pStyle w:val="EndNoteBibliography"/>
        <w:ind w:left="720" w:hanging="720"/>
      </w:pPr>
      <w:r w:rsidRPr="00E705F3">
        <w:t xml:space="preserve">Collins, M., R. Knutti, J. Arblaster, J.-L. Dufresne, T. Fichefet, P. Friedlingstein, X. Gao, W.J. Gutowski, T. Johns, G. Krinner, M. Shongwe, C. Tebaldi, A.J. Weaver, and M. Wehner. </w:t>
      </w:r>
      <w:r w:rsidR="00473BBA">
        <w:t>(</w:t>
      </w:r>
      <w:r w:rsidRPr="00E705F3">
        <w:t>2013</w:t>
      </w:r>
      <w:r w:rsidR="00473BBA">
        <w:t>)</w:t>
      </w:r>
      <w:r w:rsidRPr="00E705F3">
        <w:t xml:space="preserve">. "Long-term Climate Change: Projections, Commitments and Irreversibility." In </w:t>
      </w:r>
      <w:r w:rsidRPr="00E705F3">
        <w:rPr>
          <w:i/>
        </w:rPr>
        <w:t>Climate Change 2013: The Physical Science Basis. Contribution of Working Group I to the Fifth Assessment Report of the Intergovernmental Panel on Climate Change</w:t>
      </w:r>
      <w:r w:rsidRPr="00E705F3">
        <w:t>, edited by T.F. Stocker, D. Qin, G.-K. Plattner, M. Tignor, S.K. Allen, J. Boschung, A. Nauels, Y. Xia, V. Bex and P.M. Midgley. Cambridge, UK, and New York, NY, USA: Cambridge University Press.</w:t>
      </w:r>
    </w:p>
    <w:p w:rsidR="00734D0B" w:rsidRPr="00E705F3" w:rsidRDefault="00734D0B" w:rsidP="00E705F3">
      <w:pPr>
        <w:pStyle w:val="EndNoteBibliography"/>
        <w:ind w:left="720" w:hanging="720"/>
      </w:pPr>
      <w:r w:rsidRPr="00E705F3">
        <w:t xml:space="preserve">Durman, C. F., J. M. Gregory, D. C. Hassell, R. G. Jones, and J. M. Murphy. </w:t>
      </w:r>
      <w:r w:rsidR="00473BBA">
        <w:t>(</w:t>
      </w:r>
      <w:r w:rsidRPr="00E705F3">
        <w:t>2001</w:t>
      </w:r>
      <w:r w:rsidR="00473BBA">
        <w:t>)</w:t>
      </w:r>
      <w:r w:rsidRPr="00E705F3">
        <w:t xml:space="preserve">. "A comparison of extreme European daily precipitation simulated by a global and a regional climate model for present and future climates."  </w:t>
      </w:r>
      <w:r w:rsidRPr="00E705F3">
        <w:rPr>
          <w:i/>
        </w:rPr>
        <w:t>Quarterly Journal of the Royal Meteorological Society</w:t>
      </w:r>
      <w:r w:rsidRPr="00E705F3">
        <w:t xml:space="preserve"> 127 (573):1005-1015. doi: 10.1002/qj.49712757316.</w:t>
      </w:r>
    </w:p>
    <w:p w:rsidR="00734D0B" w:rsidRPr="00E705F3" w:rsidRDefault="00734D0B" w:rsidP="00E705F3">
      <w:pPr>
        <w:pStyle w:val="EndNoteBibliography"/>
        <w:ind w:left="720" w:hanging="720"/>
      </w:pPr>
      <w:r w:rsidRPr="00E705F3">
        <w:t xml:space="preserve">Gillett, Nathan P., Vivek K. Arora, Damon Matthews, and Myles R. Allen. </w:t>
      </w:r>
      <w:r w:rsidR="00473BBA">
        <w:t>(</w:t>
      </w:r>
      <w:r w:rsidRPr="00E705F3">
        <w:t>2013</w:t>
      </w:r>
      <w:r w:rsidR="00473BBA">
        <w:t>)</w:t>
      </w:r>
      <w:r w:rsidRPr="00E705F3">
        <w:t xml:space="preserve">. "Constraining the Ratio of Global Warming to Cumulative CO 2 Emissions Using CMIP5 Simulations."  </w:t>
      </w:r>
      <w:r w:rsidRPr="00E705F3">
        <w:rPr>
          <w:i/>
        </w:rPr>
        <w:t>Journal of Climate</w:t>
      </w:r>
      <w:r w:rsidRPr="00E705F3">
        <w:t xml:space="preserve"> 26 (18):6844-6858. doi: 10.1175/JCLI-D-12-00476.1.</w:t>
      </w:r>
    </w:p>
    <w:p w:rsidR="00734D0B" w:rsidRPr="00E705F3" w:rsidRDefault="00734D0B" w:rsidP="00E705F3">
      <w:pPr>
        <w:pStyle w:val="EndNoteBibliography"/>
        <w:ind w:left="720" w:hanging="720"/>
      </w:pPr>
      <w:r w:rsidRPr="00E705F3">
        <w:t xml:space="preserve">Huang, Jianping, Haipeng Yu, Aiguo Dai, Yun Wei, and Litai Kang. </w:t>
      </w:r>
      <w:r w:rsidR="00473BBA">
        <w:t>(</w:t>
      </w:r>
      <w:r w:rsidRPr="00E705F3">
        <w:t>2017</w:t>
      </w:r>
      <w:r w:rsidR="00473BBA">
        <w:t>)</w:t>
      </w:r>
      <w:r w:rsidRPr="00E705F3">
        <w:t xml:space="preserve">. "Drylands face potential threat under 2 °C global warming target."  </w:t>
      </w:r>
      <w:r w:rsidRPr="00E705F3">
        <w:rPr>
          <w:i/>
        </w:rPr>
        <w:t>Nature Climate Change</w:t>
      </w:r>
      <w:r w:rsidRPr="00E705F3">
        <w:t xml:space="preserve"> 7:417. doi: 10.1038/nclimate3275</w:t>
      </w:r>
    </w:p>
    <w:p w:rsidR="00734D0B" w:rsidRPr="00E705F3" w:rsidRDefault="00734D0B" w:rsidP="00E705F3">
      <w:pPr>
        <w:pStyle w:val="EndNoteBibliography"/>
        <w:ind w:left="720" w:hanging="720"/>
      </w:pPr>
      <w:r w:rsidRPr="00E705F3">
        <w:t xml:space="preserve">Matthews, H. Damon, Nathan P. Gillett, Peter A. Stott, and Kirsten Zickfeld. </w:t>
      </w:r>
      <w:r w:rsidR="00473BBA">
        <w:t>(</w:t>
      </w:r>
      <w:r w:rsidRPr="00E705F3">
        <w:t>2009</w:t>
      </w:r>
      <w:r w:rsidR="00473BBA">
        <w:t>)</w:t>
      </w:r>
      <w:r w:rsidRPr="00E705F3">
        <w:t xml:space="preserve">. "The proportionality of global warming to cumulative carbon emissions."  </w:t>
      </w:r>
      <w:r w:rsidRPr="00E705F3">
        <w:rPr>
          <w:i/>
        </w:rPr>
        <w:t>Nature</w:t>
      </w:r>
      <w:r w:rsidRPr="00E705F3">
        <w:t xml:space="preserve"> 459:829. doi: 10.1038/nature08047</w:t>
      </w:r>
    </w:p>
    <w:p w:rsidR="00734D0B" w:rsidRPr="00E705F3" w:rsidRDefault="00734D0B" w:rsidP="00E705F3">
      <w:pPr>
        <w:pStyle w:val="EndNoteBibliography"/>
        <w:ind w:left="720" w:hanging="720"/>
      </w:pPr>
      <w:r w:rsidRPr="00E705F3">
        <w:t xml:space="preserve">Rogelj, Joeri, Michel den Elzen, Niklas Höhne, Taryn Fransen, Hanna Fekete, Harald Winkler, Roberto Schaeffer, Fu Sha, Keywan Riahi, and Malte Meinshausen. </w:t>
      </w:r>
      <w:r w:rsidR="00473BBA">
        <w:t>(</w:t>
      </w:r>
      <w:r w:rsidRPr="00E705F3">
        <w:t>2016</w:t>
      </w:r>
      <w:r w:rsidR="00473BBA">
        <w:t>)</w:t>
      </w:r>
      <w:r w:rsidRPr="00E705F3">
        <w:t xml:space="preserve">. "Paris Agreement climate proposals need a boost to keep warming well below 2 °C."  </w:t>
      </w:r>
      <w:r w:rsidRPr="00E705F3">
        <w:rPr>
          <w:i/>
        </w:rPr>
        <w:t>Nature</w:t>
      </w:r>
      <w:r w:rsidRPr="00E705F3">
        <w:t xml:space="preserve"> 534:631. doi: 10.1038/nature18307</w:t>
      </w:r>
    </w:p>
    <w:p w:rsidR="00734D0B" w:rsidRPr="00E705F3" w:rsidRDefault="00734D0B" w:rsidP="00E705F3">
      <w:pPr>
        <w:pStyle w:val="EndNoteBibliography"/>
        <w:ind w:left="720" w:hanging="720"/>
      </w:pPr>
      <w:r w:rsidRPr="00E705F3">
        <w:t xml:space="preserve">Rogelj, Joeri, Malte Meinshausen, and Reto Knutti. </w:t>
      </w:r>
      <w:r w:rsidR="00473BBA">
        <w:t>(</w:t>
      </w:r>
      <w:r w:rsidRPr="00E705F3">
        <w:t>2012</w:t>
      </w:r>
      <w:r w:rsidR="00473BBA">
        <w:t>)</w:t>
      </w:r>
      <w:r w:rsidRPr="00E705F3">
        <w:t xml:space="preserve">. "Global warming under old and new scenarios using IPCC climate sensitivity range estimates."  </w:t>
      </w:r>
      <w:r w:rsidRPr="00E705F3">
        <w:rPr>
          <w:i/>
        </w:rPr>
        <w:t>Nature Climate Change</w:t>
      </w:r>
      <w:r w:rsidRPr="00E705F3">
        <w:t xml:space="preserve"> 2:248. doi: 10.1038/nclimate1385</w:t>
      </w:r>
    </w:p>
    <w:p w:rsidR="00734D0B" w:rsidRPr="00E705F3" w:rsidRDefault="00734D0B" w:rsidP="00E705F3">
      <w:pPr>
        <w:pStyle w:val="EndNoteBibliography"/>
        <w:ind w:left="720" w:hanging="720"/>
      </w:pPr>
      <w:r w:rsidRPr="00E705F3">
        <w:t xml:space="preserve">Sherwood, Steven, and Qiang Fu. </w:t>
      </w:r>
      <w:r w:rsidR="00473BBA">
        <w:t>(</w:t>
      </w:r>
      <w:r w:rsidRPr="00E705F3">
        <w:t>2014</w:t>
      </w:r>
      <w:r w:rsidR="00473BBA">
        <w:t>)</w:t>
      </w:r>
      <w:r w:rsidRPr="00E705F3">
        <w:t xml:space="preserve">. "A Drier Future?"  </w:t>
      </w:r>
      <w:r w:rsidRPr="00E705F3">
        <w:rPr>
          <w:i/>
        </w:rPr>
        <w:t>Science (New York, N.Y.)</w:t>
      </w:r>
      <w:r w:rsidRPr="00E705F3">
        <w:t xml:space="preserve"> 343:737-9. doi: 10.1126/science.1247620.</w:t>
      </w:r>
    </w:p>
    <w:p w:rsidR="00734D0B" w:rsidRPr="00E705F3" w:rsidRDefault="00734D0B" w:rsidP="00E705F3">
      <w:pPr>
        <w:pStyle w:val="EndNoteBibliography"/>
        <w:ind w:left="720" w:hanging="720"/>
      </w:pPr>
      <w:r w:rsidRPr="00E705F3">
        <w:lastRenderedPageBreak/>
        <w:t xml:space="preserve">Taylor, Karl E., Ronald J. Stouffer, and Gerald A. Meehl. </w:t>
      </w:r>
      <w:r w:rsidR="00473BBA">
        <w:t>(</w:t>
      </w:r>
      <w:r w:rsidRPr="00E705F3">
        <w:t>2011</w:t>
      </w:r>
      <w:r w:rsidR="00473BBA">
        <w:t>)</w:t>
      </w:r>
      <w:r w:rsidRPr="00E705F3">
        <w:t xml:space="preserve">. "An Overview of CMIP5 and the Experiment Design."  </w:t>
      </w:r>
      <w:r w:rsidRPr="00E705F3">
        <w:rPr>
          <w:i/>
        </w:rPr>
        <w:t>Bulletin of the American Meteorological Society</w:t>
      </w:r>
      <w:r w:rsidRPr="00E705F3">
        <w:t xml:space="preserve"> 93 (4):485-498. doi: 10.1175/BAMS-D-11-00094.1.</w:t>
      </w:r>
    </w:p>
    <w:p w:rsidR="00734D0B" w:rsidRPr="00E705F3" w:rsidRDefault="00734D0B" w:rsidP="00E705F3">
      <w:pPr>
        <w:pStyle w:val="EndNoteBibliography"/>
        <w:ind w:left="720" w:hanging="720"/>
      </w:pPr>
      <w:r w:rsidRPr="00E705F3">
        <w:t xml:space="preserve">Tokarska, K. B., N. P. Gillett, A. J. Weaver, V. K. Arora, and M. Eby. </w:t>
      </w:r>
      <w:r w:rsidR="00473BBA">
        <w:t>(</w:t>
      </w:r>
      <w:r w:rsidRPr="00E705F3">
        <w:t>2016</w:t>
      </w:r>
      <w:r w:rsidR="00473BBA">
        <w:t>)</w:t>
      </w:r>
      <w:r w:rsidRPr="00E705F3">
        <w:t xml:space="preserve">. "The climate response to five trillion tonnes of carbon."  </w:t>
      </w:r>
      <w:r w:rsidRPr="00E705F3">
        <w:rPr>
          <w:i/>
        </w:rPr>
        <w:t>Nature Climate Change</w:t>
      </w:r>
      <w:r w:rsidRPr="00E705F3">
        <w:t xml:space="preserve"> 6 (9):851-855. doi: 10.1038/nclimate3036.</w:t>
      </w:r>
    </w:p>
    <w:p w:rsidR="00734D0B" w:rsidRPr="00E705F3" w:rsidRDefault="00734D0B" w:rsidP="00E705F3">
      <w:pPr>
        <w:pStyle w:val="EndNoteBibliography"/>
        <w:ind w:left="720" w:hanging="720"/>
      </w:pPr>
      <w:r w:rsidRPr="00E705F3">
        <w:t xml:space="preserve">UNEP. </w:t>
      </w:r>
      <w:r w:rsidR="00473BBA">
        <w:t>(</w:t>
      </w:r>
      <w:r w:rsidRPr="00E705F3">
        <w:t>2017</w:t>
      </w:r>
      <w:r w:rsidR="00473BBA">
        <w:t>)</w:t>
      </w:r>
      <w:r w:rsidRPr="00E705F3">
        <w:t>. The Emissions Gap Report. Nairobi.</w:t>
      </w:r>
    </w:p>
    <w:p w:rsidR="00734D0B" w:rsidRPr="00E705F3" w:rsidRDefault="00734D0B" w:rsidP="00E705F3">
      <w:pPr>
        <w:pStyle w:val="EndNoteBibliography"/>
        <w:ind w:left="720" w:hanging="720"/>
      </w:pPr>
      <w:r w:rsidRPr="00E705F3">
        <w:t xml:space="preserve">UNFCCC. </w:t>
      </w:r>
      <w:r w:rsidR="00473BBA">
        <w:t>(</w:t>
      </w:r>
      <w:r w:rsidRPr="00E705F3">
        <w:t>2019</w:t>
      </w:r>
      <w:r w:rsidR="00473BBA">
        <w:t>)</w:t>
      </w:r>
      <w:r w:rsidRPr="00E705F3">
        <w:t>. National Inventory Submissions.</w:t>
      </w:r>
    </w:p>
    <w:p w:rsidR="00734D0B" w:rsidRPr="00E705F3" w:rsidRDefault="00734D0B" w:rsidP="00E705F3">
      <w:pPr>
        <w:pStyle w:val="EndNoteBibliography"/>
        <w:ind w:left="720" w:hanging="720"/>
      </w:pPr>
      <w:r w:rsidRPr="00E705F3">
        <w:t xml:space="preserve">Wang, Fang, Katarzyna B. Tokarska, Jintao Zhang, Quansheng Ge, Zhixin Hao, Xuezhen Zhang, and Maowei Wu. </w:t>
      </w:r>
      <w:r w:rsidR="00473BBA">
        <w:t>(</w:t>
      </w:r>
      <w:r w:rsidRPr="00E705F3">
        <w:t>2018</w:t>
      </w:r>
      <w:r w:rsidR="00473BBA">
        <w:t>)</w:t>
      </w:r>
      <w:r w:rsidRPr="00E705F3">
        <w:t xml:space="preserve">. "Climate Warming in Response to Emission Reductions Consistent with the Paris Agreement."  </w:t>
      </w:r>
      <w:r w:rsidRPr="00E705F3">
        <w:rPr>
          <w:i/>
        </w:rPr>
        <w:t>Advances in Meteorology</w:t>
      </w:r>
      <w:r w:rsidRPr="00E705F3">
        <w:t xml:space="preserve"> 2018:1-9. doi: 10.1155/2018/2487962.</w:t>
      </w:r>
    </w:p>
    <w:p w:rsidR="00AC0E81" w:rsidRDefault="00734D0B" w:rsidP="00473BBA">
      <w:pPr>
        <w:pStyle w:val="EndNoteBibliography"/>
        <w:ind w:left="720" w:hanging="720"/>
      </w:pPr>
      <w:r w:rsidRPr="00E705F3">
        <w:t xml:space="preserve">Zickfeld, Kirsten, Michael Eby, H. Damon Matthews, and Andrew J. Weaver. </w:t>
      </w:r>
      <w:r w:rsidR="00473BBA">
        <w:t>(</w:t>
      </w:r>
      <w:r w:rsidRPr="00E705F3">
        <w:t>2009</w:t>
      </w:r>
      <w:r w:rsidR="00473BBA">
        <w:t>)</w:t>
      </w:r>
      <w:r w:rsidRPr="00E705F3">
        <w:t xml:space="preserve">. "Setting cumulative emissions targets to reduce the risk of dangerous climate change."  </w:t>
      </w:r>
      <w:r w:rsidRPr="00E705F3">
        <w:rPr>
          <w:i/>
        </w:rPr>
        <w:t>Proceedings of the National Academy of Sciences</w:t>
      </w:r>
      <w:r w:rsidRPr="00E705F3">
        <w:t xml:space="preserve"> 106 (38):16129-16134. doi: </w:t>
      </w:r>
      <w:r w:rsidR="00473BBA">
        <w:t>10.1073/pnas.0805800106.</w:t>
      </w:r>
    </w:p>
    <w:sectPr w:rsidR="00AC0E81" w:rsidSect="00D41FA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5F8" w:rsidRDefault="009425F8" w:rsidP="00C4608B">
      <w:pPr>
        <w:spacing w:line="240" w:lineRule="auto"/>
      </w:pPr>
      <w:r>
        <w:separator/>
      </w:r>
    </w:p>
  </w:endnote>
  <w:endnote w:type="continuationSeparator" w:id="0">
    <w:p w:rsidR="009425F8" w:rsidRDefault="009425F8" w:rsidP="00C460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0000000000000000000"/>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5F8" w:rsidRDefault="009425F8" w:rsidP="00C4608B">
      <w:pPr>
        <w:spacing w:line="240" w:lineRule="auto"/>
      </w:pPr>
      <w:r>
        <w:separator/>
      </w:r>
    </w:p>
  </w:footnote>
  <w:footnote w:type="continuationSeparator" w:id="0">
    <w:p w:rsidR="009425F8" w:rsidRDefault="009425F8" w:rsidP="00C4608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734D0B"/>
    <w:rsid w:val="002064A0"/>
    <w:rsid w:val="002C3CBF"/>
    <w:rsid w:val="0034289B"/>
    <w:rsid w:val="003F389D"/>
    <w:rsid w:val="00473BBA"/>
    <w:rsid w:val="00501EB4"/>
    <w:rsid w:val="006018E3"/>
    <w:rsid w:val="00734D0B"/>
    <w:rsid w:val="009425F8"/>
    <w:rsid w:val="00963707"/>
    <w:rsid w:val="00AC0E81"/>
    <w:rsid w:val="00C06009"/>
    <w:rsid w:val="00C44ED2"/>
    <w:rsid w:val="00C4608B"/>
    <w:rsid w:val="00CE5E7F"/>
    <w:rsid w:val="00D90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A44586-5A29-40C1-8129-A1B313D73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4D0B"/>
    <w:pPr>
      <w:widowControl w:val="0"/>
      <w:spacing w:line="360" w:lineRule="auto"/>
      <w:jc w:val="both"/>
    </w:pPr>
    <w:rPr>
      <w:rFonts w:ascii="Times New Roman" w:hAnsi="Times New Roman"/>
      <w:sz w:val="24"/>
    </w:rPr>
  </w:style>
  <w:style w:type="paragraph" w:styleId="1">
    <w:name w:val="heading 1"/>
    <w:basedOn w:val="a"/>
    <w:next w:val="a"/>
    <w:link w:val="10"/>
    <w:uiPriority w:val="9"/>
    <w:qFormat/>
    <w:rsid w:val="00734D0B"/>
    <w:pPr>
      <w:keepNext/>
      <w:keepLines/>
      <w:spacing w:before="120" w:after="120" w:line="578" w:lineRule="auto"/>
      <w:outlineLvl w:val="0"/>
    </w:pPr>
    <w:rPr>
      <w:b/>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34D0B"/>
    <w:rPr>
      <w:rFonts w:ascii="Times New Roman" w:hAnsi="Times New Roman"/>
      <w:b/>
      <w:bCs/>
      <w:kern w:val="44"/>
      <w:sz w:val="28"/>
      <w:szCs w:val="44"/>
    </w:rPr>
  </w:style>
  <w:style w:type="paragraph" w:styleId="a3">
    <w:name w:val="header"/>
    <w:basedOn w:val="a"/>
    <w:link w:val="a4"/>
    <w:uiPriority w:val="99"/>
    <w:unhideWhenUsed/>
    <w:rsid w:val="00734D0B"/>
    <w:pPr>
      <w:pBdr>
        <w:bottom w:val="single" w:sz="6" w:space="1" w:color="auto"/>
      </w:pBdr>
      <w:tabs>
        <w:tab w:val="center" w:pos="4153"/>
        <w:tab w:val="right" w:pos="8306"/>
      </w:tabs>
      <w:snapToGrid w:val="0"/>
      <w:spacing w:line="240" w:lineRule="auto"/>
      <w:jc w:val="center"/>
    </w:pPr>
    <w:rPr>
      <w:rFonts w:asciiTheme="minorHAnsi" w:hAnsiTheme="minorHAnsi"/>
      <w:sz w:val="18"/>
      <w:szCs w:val="18"/>
    </w:rPr>
  </w:style>
  <w:style w:type="character" w:customStyle="1" w:styleId="a4">
    <w:name w:val="页眉 字符"/>
    <w:basedOn w:val="a0"/>
    <w:link w:val="a3"/>
    <w:uiPriority w:val="99"/>
    <w:rsid w:val="00734D0B"/>
    <w:rPr>
      <w:sz w:val="18"/>
      <w:szCs w:val="18"/>
    </w:rPr>
  </w:style>
  <w:style w:type="paragraph" w:styleId="a5">
    <w:name w:val="footer"/>
    <w:basedOn w:val="a"/>
    <w:link w:val="a6"/>
    <w:uiPriority w:val="99"/>
    <w:unhideWhenUsed/>
    <w:rsid w:val="00734D0B"/>
    <w:pPr>
      <w:tabs>
        <w:tab w:val="center" w:pos="4153"/>
        <w:tab w:val="right" w:pos="8306"/>
      </w:tabs>
      <w:snapToGrid w:val="0"/>
      <w:spacing w:line="240" w:lineRule="auto"/>
      <w:jc w:val="left"/>
    </w:pPr>
    <w:rPr>
      <w:rFonts w:asciiTheme="minorHAnsi" w:hAnsiTheme="minorHAnsi"/>
      <w:sz w:val="18"/>
      <w:szCs w:val="18"/>
    </w:rPr>
  </w:style>
  <w:style w:type="character" w:customStyle="1" w:styleId="a6">
    <w:name w:val="页脚 字符"/>
    <w:basedOn w:val="a0"/>
    <w:link w:val="a5"/>
    <w:uiPriority w:val="99"/>
    <w:rsid w:val="00734D0B"/>
    <w:rPr>
      <w:sz w:val="18"/>
      <w:szCs w:val="18"/>
    </w:rPr>
  </w:style>
  <w:style w:type="table" w:styleId="a7">
    <w:name w:val="Table Grid"/>
    <w:basedOn w:val="a1"/>
    <w:uiPriority w:val="39"/>
    <w:rsid w:val="00734D0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a"/>
    <w:next w:val="a"/>
    <w:link w:val="MTDisplayEquationChar"/>
    <w:rsid w:val="00734D0B"/>
    <w:pPr>
      <w:tabs>
        <w:tab w:val="center" w:pos="4160"/>
        <w:tab w:val="right" w:pos="8300"/>
      </w:tabs>
    </w:pPr>
    <w:rPr>
      <w:lang w:val="en-GB"/>
    </w:rPr>
  </w:style>
  <w:style w:type="character" w:customStyle="1" w:styleId="MTDisplayEquationChar">
    <w:name w:val="MTDisplayEquation Char"/>
    <w:basedOn w:val="a0"/>
    <w:link w:val="MTDisplayEquation"/>
    <w:rsid w:val="00734D0B"/>
    <w:rPr>
      <w:rFonts w:ascii="Times New Roman" w:hAnsi="Times New Roman"/>
      <w:sz w:val="24"/>
      <w:lang w:val="en-GB"/>
    </w:rPr>
  </w:style>
  <w:style w:type="paragraph" w:customStyle="1" w:styleId="EndNoteBibliographyTitle">
    <w:name w:val="EndNote Bibliography Title"/>
    <w:basedOn w:val="a"/>
    <w:link w:val="EndNoteBibliographyTitle0"/>
    <w:rsid w:val="00734D0B"/>
    <w:pPr>
      <w:jc w:val="center"/>
    </w:pPr>
    <w:rPr>
      <w:rFonts w:cs="Times New Roman"/>
      <w:noProof/>
    </w:rPr>
  </w:style>
  <w:style w:type="character" w:customStyle="1" w:styleId="EndNoteBibliographyTitle0">
    <w:name w:val="EndNote Bibliography Title 字符"/>
    <w:basedOn w:val="a0"/>
    <w:link w:val="EndNoteBibliographyTitle"/>
    <w:rsid w:val="00734D0B"/>
    <w:rPr>
      <w:rFonts w:ascii="Times New Roman" w:hAnsi="Times New Roman" w:cs="Times New Roman"/>
      <w:noProof/>
      <w:sz w:val="24"/>
    </w:rPr>
  </w:style>
  <w:style w:type="paragraph" w:customStyle="1" w:styleId="EndNoteBibliography">
    <w:name w:val="EndNote Bibliography"/>
    <w:basedOn w:val="a"/>
    <w:link w:val="EndNoteBibliography0"/>
    <w:rsid w:val="00734D0B"/>
    <w:pPr>
      <w:spacing w:line="240" w:lineRule="auto"/>
    </w:pPr>
    <w:rPr>
      <w:rFonts w:cs="Times New Roman"/>
      <w:noProof/>
    </w:rPr>
  </w:style>
  <w:style w:type="character" w:customStyle="1" w:styleId="EndNoteBibliography0">
    <w:name w:val="EndNote Bibliography 字符"/>
    <w:basedOn w:val="a0"/>
    <w:link w:val="EndNoteBibliography"/>
    <w:rsid w:val="00734D0B"/>
    <w:rPr>
      <w:rFonts w:ascii="Times New Roman" w:hAnsi="Times New Roman" w:cs="Times New Roman"/>
      <w:noProof/>
      <w:sz w:val="24"/>
    </w:rPr>
  </w:style>
  <w:style w:type="character" w:styleId="a8">
    <w:name w:val="Hyperlink"/>
    <w:basedOn w:val="a0"/>
    <w:uiPriority w:val="99"/>
    <w:unhideWhenUsed/>
    <w:rsid w:val="00734D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17</Pages>
  <Words>2569</Words>
  <Characters>14648</Characters>
  <Application>Microsoft Office Word</Application>
  <DocSecurity>0</DocSecurity>
  <Lines>122</Lines>
  <Paragraphs>34</Paragraphs>
  <ScaleCrop>false</ScaleCrop>
  <Company/>
  <LinksUpToDate>false</LinksUpToDate>
  <CharactersWithSpaces>17183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13</cp:revision>
  <dcterms:created xsi:type="dcterms:W3CDTF">2019-09-20T13:33:00Z</dcterms:created>
  <dcterms:modified xsi:type="dcterms:W3CDTF">2019-11-19T14:02:00Z</dcterms:modified>
</cp:coreProperties>
</file>