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87E3" w14:textId="76F5CE03" w:rsidR="002F1E1D" w:rsidRPr="002F1E1D" w:rsidRDefault="001A5029">
      <w:pPr>
        <w:rPr>
          <w:lang w:val="en-US"/>
        </w:rPr>
      </w:pPr>
      <w:r>
        <w:t xml:space="preserve">Appendix </w:t>
      </w:r>
      <w:r>
        <w:rPr>
          <w:lang w:val="en-US"/>
        </w:rPr>
        <w:t xml:space="preserve">II: </w:t>
      </w:r>
      <w:r w:rsidR="004E3060">
        <w:rPr>
          <w:lang w:val="en-US"/>
        </w:rPr>
        <w:t xml:space="preserve">Methods, </w:t>
      </w:r>
      <w:r w:rsidR="002F1E1D">
        <w:rPr>
          <w:lang w:val="en-US"/>
        </w:rPr>
        <w:t>Fluid Inclusion Micorthermometry</w:t>
      </w:r>
    </w:p>
    <w:p w14:paraId="1DB7E2CD" w14:textId="77777777" w:rsidR="002F1E1D" w:rsidRDefault="002F1E1D" w:rsidP="002F1E1D">
      <w:pPr>
        <w:pStyle w:val="Body"/>
      </w:pPr>
      <w:r w:rsidRPr="00A979B4">
        <w:t>Conventional heating and cooling microthermometric analyses were performed at Central Connecticut State University using a modified U.S. Geological Survey-type heating-freezing stage manufactured by FLUID, Inc. (Evans and Bartholomew, 2010). The stage was calibrated at 0°C (ice bath), 374.1 (H2O critical point), and -56.6 (CO</w:t>
      </w:r>
      <w:r w:rsidRPr="00A979B4">
        <w:rPr>
          <w:vertAlign w:val="subscript"/>
        </w:rPr>
        <w:t>2</w:t>
      </w:r>
      <w:r w:rsidRPr="00A979B4">
        <w:t xml:space="preserve"> triple point) using standards provided by SYNFLINC, Inc. (Evans and Bartholomew, 2010).</w:t>
      </w:r>
    </w:p>
    <w:p w14:paraId="32848726" w14:textId="77777777" w:rsidR="002F1E1D" w:rsidRPr="00A979B4" w:rsidRDefault="002F1E1D" w:rsidP="002F1E1D">
      <w:pPr>
        <w:pStyle w:val="Body"/>
      </w:pPr>
    </w:p>
    <w:p w14:paraId="21418AE2" w14:textId="77777777" w:rsidR="002F1E1D" w:rsidRDefault="002F1E1D" w:rsidP="002F1E1D">
      <w:pPr>
        <w:pStyle w:val="Body"/>
      </w:pPr>
      <w:r w:rsidRPr="00A979B4">
        <w:t>Beginning at 20°C, inclusions within quartz and adularia were warmed until the CO</w:t>
      </w:r>
      <w:r w:rsidRPr="00A979B4">
        <w:rPr>
          <w:vertAlign w:val="subscript"/>
        </w:rPr>
        <w:t>2</w:t>
      </w:r>
      <w:r w:rsidRPr="00A979B4">
        <w:t xml:space="preserve"> liquid phase (if present) homogenizes with the vapor phase. The temperature was recorded as the CO</w:t>
      </w:r>
      <w:r w:rsidRPr="00A979B4">
        <w:rPr>
          <w:vertAlign w:val="subscript"/>
        </w:rPr>
        <w:t>2</w:t>
      </w:r>
      <w:r w:rsidRPr="00A979B4">
        <w:t xml:space="preserve"> homogenization temperature (ThCO</w:t>
      </w:r>
      <w:r w:rsidRPr="00A979B4">
        <w:rPr>
          <w:vertAlign w:val="subscript"/>
        </w:rPr>
        <w:t>2</w:t>
      </w:r>
      <w:r w:rsidRPr="00A979B4">
        <w:t>). Heating continued until all phases within a single inclusion were homogenized. The bulk homogenization temperature (</w:t>
      </w:r>
      <w:proofErr w:type="spellStart"/>
      <w:r w:rsidRPr="00A979B4">
        <w:t>ThTot</w:t>
      </w:r>
      <w:proofErr w:type="spellEnd"/>
      <w:r w:rsidRPr="00A979B4">
        <w:t>) is recorded for each inclusion. The maximum temperature utilized in heating experiments was 350°C. The specimen chip is then cooled to -110°C and only solid phases are stable. It is then subsequently warmed until the first appearance of liquid to obtain the ice melting temperature (</w:t>
      </w:r>
      <w:proofErr w:type="spellStart"/>
      <w:r w:rsidRPr="00A979B4">
        <w:t>TmIce</w:t>
      </w:r>
      <w:proofErr w:type="spellEnd"/>
      <w:r w:rsidRPr="00A979B4">
        <w:t>). With enough carbon dioxide, a clathrate solid develops which remains stable during the common ice melting temperature range, making it difficult to determine the ice melting temperature. In this case, the CO</w:t>
      </w:r>
      <w:r w:rsidRPr="00A979B4">
        <w:rPr>
          <w:vertAlign w:val="subscript"/>
        </w:rPr>
        <w:t>2</w:t>
      </w:r>
      <w:r w:rsidRPr="00A979B4">
        <w:t>-clathrate melting temperature (</w:t>
      </w:r>
      <w:proofErr w:type="spellStart"/>
      <w:r w:rsidRPr="00A979B4">
        <w:t>TmCL</w:t>
      </w:r>
      <w:proofErr w:type="spellEnd"/>
      <w:r w:rsidRPr="00A979B4">
        <w:t xml:space="preserve">) was recorded. The behavior of each homogenization was recorded as mechanizing to a liquid, a vapor, or a critical fluid. Once the </w:t>
      </w:r>
      <w:proofErr w:type="spellStart"/>
      <w:r w:rsidRPr="00A979B4">
        <w:t>thermometrics</w:t>
      </w:r>
      <w:proofErr w:type="spellEnd"/>
      <w:r w:rsidRPr="00A979B4">
        <w:t xml:space="preserve"> were completed, the sample was reconstructed and mounted on a flat, adhesive surface.</w:t>
      </w:r>
    </w:p>
    <w:p w14:paraId="6A79BDEA" w14:textId="77777777" w:rsidR="002F1E1D" w:rsidRPr="00A979B4" w:rsidRDefault="002F1E1D" w:rsidP="002F1E1D">
      <w:pPr>
        <w:pStyle w:val="Body"/>
      </w:pPr>
    </w:p>
    <w:p w14:paraId="5B77B497" w14:textId="77777777" w:rsidR="002F1E1D" w:rsidRDefault="002F1E1D" w:rsidP="002F1E1D">
      <w:pPr>
        <w:pStyle w:val="Body"/>
      </w:pPr>
      <w:r w:rsidRPr="00A979B4">
        <w:t xml:space="preserve">SEM-Cl and -BSE image mosaics of each sample were taken in order to classify individual fluid inclusions as primary, secondary, or </w:t>
      </w:r>
      <w:proofErr w:type="spellStart"/>
      <w:r w:rsidRPr="00A979B4">
        <w:t>pseudosecondary</w:t>
      </w:r>
      <w:proofErr w:type="spellEnd"/>
      <w:r w:rsidRPr="00A979B4">
        <w:t xml:space="preserve">, and to assess if inclusions were associated with a larger fluid inclusion assemblage. This was performed after the collection of the microthermometry data in order to limit the potential of post-formational, thermal disruptions. Highly polished samples were first carbon coated with a graphite coat to a thickness of 5.0 to 10.0 nm and grounded with copper tape to reduce charging. Then the samples were analyzed using a Vega3 scanning electron microscope with a </w:t>
      </w:r>
      <w:proofErr w:type="spellStart"/>
      <w:r w:rsidRPr="00A979B4">
        <w:t>Tescan</w:t>
      </w:r>
      <w:proofErr w:type="spellEnd"/>
      <w:r w:rsidRPr="00A979B4">
        <w:t xml:space="preserve"> panchromatic cathodoluminescent detector at Bowdoin College in Brunswick, Maine. Black and white-CL images and backscattered-electron (BSE) images were collected from the same field of view to assist in phase identification. CL images were collected using a working distance of 16 to 17 mm and a beam intensity of 18 (~ 250 </w:t>
      </w:r>
      <w:proofErr w:type="spellStart"/>
      <w:r w:rsidRPr="00A979B4">
        <w:t>nA</w:t>
      </w:r>
      <w:proofErr w:type="spellEnd"/>
      <w:r w:rsidRPr="00A979B4">
        <w:t>) in high chamber pressure. Scan speeds for cathodoluminescence images ranged from 7 to 8 (100 to 320 µs/pixel) and the scan speed for backscattered-electron images was 4 (3.2 µs/pixel). Contrast and brightness settings were optimized to best highlight variation in CL intensity for each sample/field of view. This resulted in inconsistent intensity scales for each image and thus, they cannot be directly compared with each other.</w:t>
      </w:r>
    </w:p>
    <w:p w14:paraId="1A57E4FE" w14:textId="77777777" w:rsidR="002F1E1D" w:rsidRPr="00A979B4" w:rsidRDefault="002F1E1D" w:rsidP="002F1E1D">
      <w:pPr>
        <w:pStyle w:val="Body"/>
      </w:pPr>
    </w:p>
    <w:p w14:paraId="38F89979" w14:textId="77777777" w:rsidR="002F1E1D" w:rsidRPr="00A979B4" w:rsidRDefault="002F1E1D" w:rsidP="002F1E1D">
      <w:pPr>
        <w:pStyle w:val="Body"/>
      </w:pPr>
      <w:r w:rsidRPr="00A979B4">
        <w:t xml:space="preserve">Approximation of bulk fluid compositions and densities were made using the software package Fluids (Bakker, 2003). Individual software utilized included Q2 for calculating salinity using clathrate melting temperatures, BULK for estimating the bulk composition and density/molar volume, and ISOC for constructing isochores based on the </w:t>
      </w:r>
      <w:r w:rsidRPr="00A979B4">
        <w:lastRenderedPageBreak/>
        <w:t>determination from Q2 and BULK to estimate the conditions during trapping. Equations of state for clathrate equilibrium were provided by Duan et al. (1992a,b). The ion-interaction model used to derive salinity of pure-NaCl saline solutions from ice melting temperature was calculated using equations by Archer (1992). Equations of state to determine bulk composition in H</w:t>
      </w:r>
      <w:r w:rsidRPr="00A979B4">
        <w:rPr>
          <w:vertAlign w:val="subscript"/>
        </w:rPr>
        <w:t>2</w:t>
      </w:r>
      <w:r w:rsidRPr="00A979B4">
        <w:t>O-NaCl systems were provided by Archer (1992). Equations of state to determine bulk composition in H</w:t>
      </w:r>
      <w:r w:rsidRPr="00A979B4">
        <w:rPr>
          <w:vertAlign w:val="subscript"/>
        </w:rPr>
        <w:t>2</w:t>
      </w:r>
      <w:r w:rsidRPr="00A979B4">
        <w:t>O-CO</w:t>
      </w:r>
      <w:r w:rsidRPr="00A979B4">
        <w:rPr>
          <w:vertAlign w:val="subscript"/>
        </w:rPr>
        <w:t>2</w:t>
      </w:r>
      <w:r w:rsidRPr="00A979B4">
        <w:t xml:space="preserve">-NaCl systems were provided by </w:t>
      </w:r>
      <w:proofErr w:type="spellStart"/>
      <w:r w:rsidRPr="00A979B4">
        <w:t>Duschek</w:t>
      </w:r>
      <w:proofErr w:type="spellEnd"/>
      <w:r w:rsidRPr="00A979B4">
        <w:t xml:space="preserve"> et al. (1990). Isochore calculations for both quartz and potassium feldspar-hosted inclusions were determined using equations from Zhang and Frantz (1987).</w:t>
      </w:r>
    </w:p>
    <w:p w14:paraId="4F50C5CD" w14:textId="77777777" w:rsidR="002C73D8" w:rsidRDefault="002C73D8"/>
    <w:p w14:paraId="654825DE" w14:textId="6E780C6B" w:rsidR="008B424C" w:rsidRDefault="006D15E0">
      <w:r w:rsidRPr="006D15E0">
        <w:t>Table 1. Collection of fluid inclusion petrographic and microthermometric observations</w:t>
      </w:r>
    </w:p>
    <w:p w14:paraId="130CD2BA" w14:textId="77777777" w:rsidR="006D15E0" w:rsidRDefault="006D15E0"/>
    <w:p w14:paraId="19F7F8AE" w14:textId="4D1C4CAF" w:rsidR="006D15E0" w:rsidRDefault="00FA2E16">
      <w:r w:rsidRPr="00FA2E16">
        <w:t>Table 2. Collection of FIM results as calculated in Fluids (Bakker, 2003)</w:t>
      </w:r>
    </w:p>
    <w:sectPr w:rsidR="006D15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0000500000000020000"/>
    <w:charset w:val="00"/>
    <w:family w:val="roman"/>
    <w:pitch w:val="variable"/>
    <w:sig w:usb0="E0002EFF" w:usb1="C000785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3D8"/>
    <w:rsid w:val="00035DD5"/>
    <w:rsid w:val="0003642D"/>
    <w:rsid w:val="000456F0"/>
    <w:rsid w:val="0006145E"/>
    <w:rsid w:val="0009637A"/>
    <w:rsid w:val="000B6AB9"/>
    <w:rsid w:val="00121A51"/>
    <w:rsid w:val="00151AD3"/>
    <w:rsid w:val="001A5029"/>
    <w:rsid w:val="001C0D92"/>
    <w:rsid w:val="001C5F0E"/>
    <w:rsid w:val="002062E8"/>
    <w:rsid w:val="00284AAF"/>
    <w:rsid w:val="002C73D8"/>
    <w:rsid w:val="002D1D89"/>
    <w:rsid w:val="002D3DDD"/>
    <w:rsid w:val="002F1E1D"/>
    <w:rsid w:val="00305306"/>
    <w:rsid w:val="00317BE2"/>
    <w:rsid w:val="00323061"/>
    <w:rsid w:val="003246A6"/>
    <w:rsid w:val="00334E98"/>
    <w:rsid w:val="003676CF"/>
    <w:rsid w:val="003E7629"/>
    <w:rsid w:val="00405E45"/>
    <w:rsid w:val="00410869"/>
    <w:rsid w:val="00455403"/>
    <w:rsid w:val="0047597B"/>
    <w:rsid w:val="0049478A"/>
    <w:rsid w:val="004B3A73"/>
    <w:rsid w:val="004E3060"/>
    <w:rsid w:val="004F1AC1"/>
    <w:rsid w:val="0051116E"/>
    <w:rsid w:val="00560228"/>
    <w:rsid w:val="0056288A"/>
    <w:rsid w:val="00567689"/>
    <w:rsid w:val="0057092B"/>
    <w:rsid w:val="00585EAF"/>
    <w:rsid w:val="0059179E"/>
    <w:rsid w:val="0059471E"/>
    <w:rsid w:val="0059699D"/>
    <w:rsid w:val="005A1AE5"/>
    <w:rsid w:val="005A3754"/>
    <w:rsid w:val="005B65B0"/>
    <w:rsid w:val="005C09E8"/>
    <w:rsid w:val="005D463E"/>
    <w:rsid w:val="005E3EEB"/>
    <w:rsid w:val="005F1A50"/>
    <w:rsid w:val="0060380C"/>
    <w:rsid w:val="00622A89"/>
    <w:rsid w:val="006363F7"/>
    <w:rsid w:val="006D15E0"/>
    <w:rsid w:val="00705AD6"/>
    <w:rsid w:val="00722821"/>
    <w:rsid w:val="00743B08"/>
    <w:rsid w:val="0076157B"/>
    <w:rsid w:val="007A0A88"/>
    <w:rsid w:val="007A5CEC"/>
    <w:rsid w:val="00824624"/>
    <w:rsid w:val="008442B4"/>
    <w:rsid w:val="008A40ED"/>
    <w:rsid w:val="008B424C"/>
    <w:rsid w:val="008C6C9F"/>
    <w:rsid w:val="008E2575"/>
    <w:rsid w:val="008E2B34"/>
    <w:rsid w:val="008E722D"/>
    <w:rsid w:val="008F50E2"/>
    <w:rsid w:val="0093376F"/>
    <w:rsid w:val="00942225"/>
    <w:rsid w:val="0095550E"/>
    <w:rsid w:val="00997FF7"/>
    <w:rsid w:val="009C0922"/>
    <w:rsid w:val="009C2B0C"/>
    <w:rsid w:val="009C7F7E"/>
    <w:rsid w:val="009E04A5"/>
    <w:rsid w:val="009E2730"/>
    <w:rsid w:val="00A31952"/>
    <w:rsid w:val="00A35C9B"/>
    <w:rsid w:val="00A62ADF"/>
    <w:rsid w:val="00A81FBC"/>
    <w:rsid w:val="00AB24BB"/>
    <w:rsid w:val="00B47084"/>
    <w:rsid w:val="00B47763"/>
    <w:rsid w:val="00B56664"/>
    <w:rsid w:val="00B81225"/>
    <w:rsid w:val="00B87E19"/>
    <w:rsid w:val="00BB2920"/>
    <w:rsid w:val="00BB6AFF"/>
    <w:rsid w:val="00BE1F30"/>
    <w:rsid w:val="00BF2AF6"/>
    <w:rsid w:val="00C002F5"/>
    <w:rsid w:val="00C1286B"/>
    <w:rsid w:val="00C12D32"/>
    <w:rsid w:val="00C34B38"/>
    <w:rsid w:val="00C65A9E"/>
    <w:rsid w:val="00CA26DD"/>
    <w:rsid w:val="00CD14E6"/>
    <w:rsid w:val="00D20FF4"/>
    <w:rsid w:val="00D45569"/>
    <w:rsid w:val="00DB3ABA"/>
    <w:rsid w:val="00DD2098"/>
    <w:rsid w:val="00E046BF"/>
    <w:rsid w:val="00E0535D"/>
    <w:rsid w:val="00E13BF9"/>
    <w:rsid w:val="00E14664"/>
    <w:rsid w:val="00E2132C"/>
    <w:rsid w:val="00E635CE"/>
    <w:rsid w:val="00EA0EDE"/>
    <w:rsid w:val="00EB08B4"/>
    <w:rsid w:val="00ED2E15"/>
    <w:rsid w:val="00F032C6"/>
    <w:rsid w:val="00F179A4"/>
    <w:rsid w:val="00F264F5"/>
    <w:rsid w:val="00F5608D"/>
    <w:rsid w:val="00F6477D"/>
    <w:rsid w:val="00F73AC2"/>
    <w:rsid w:val="00F82DD9"/>
    <w:rsid w:val="00FA2E16"/>
    <w:rsid w:val="00FA6DE5"/>
    <w:rsid w:val="00FC0193"/>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03632CA2"/>
  <w15:chartTrackingRefBased/>
  <w15:docId w15:val="{07A5BCCF-DF1E-5243-8AE2-2E103F16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TW"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rsid w:val="002C73D8"/>
    <w:pPr>
      <w:pBdr>
        <w:top w:val="nil"/>
        <w:left w:val="nil"/>
        <w:bottom w:val="nil"/>
        <w:right w:val="nil"/>
        <w:between w:val="nil"/>
        <w:bar w:val="nil"/>
      </w:pBdr>
    </w:pPr>
    <w:rPr>
      <w:rFonts w:ascii="Helvetica Neue" w:eastAsia="Arial Unicode MS" w:hAnsi="Helvetica Neue" w:cs="Arial Unicode MS"/>
      <w:color w:val="000000"/>
      <w:kern w:val="0"/>
      <w:bdr w:val="nil"/>
      <w:lang w:val="en-US" w:eastAsia="en-US"/>
      <w14:textOutline w14:w="0" w14:cap="flat" w14:cmpd="sng" w14:algn="ctr">
        <w14:noFill/>
        <w14:prstDash w14:val="solid"/>
        <w14:bevel/>
      </w14:textOutline>
      <w14:ligatures w14:val="none"/>
    </w:rPr>
  </w:style>
  <w:style w:type="character" w:styleId="CommentReference">
    <w:name w:val="annotation reference"/>
    <w:basedOn w:val="DefaultParagraphFont"/>
    <w:uiPriority w:val="99"/>
    <w:semiHidden/>
    <w:unhideWhenUsed/>
    <w:rsid w:val="0003642D"/>
    <w:rPr>
      <w:sz w:val="16"/>
      <w:szCs w:val="16"/>
    </w:rPr>
  </w:style>
  <w:style w:type="paragraph" w:styleId="CommentText">
    <w:name w:val="annotation text"/>
    <w:basedOn w:val="Normal"/>
    <w:link w:val="CommentTextChar"/>
    <w:uiPriority w:val="99"/>
    <w:semiHidden/>
    <w:unhideWhenUsed/>
    <w:rsid w:val="0003642D"/>
    <w:pPr>
      <w:spacing w:after="160"/>
    </w:pPr>
    <w:rPr>
      <w:rFonts w:ascii="Calibri" w:eastAsia="Calibri" w:hAnsi="Calibri" w:cs="Times New Roman"/>
      <w:kern w:val="0"/>
      <w:sz w:val="20"/>
      <w:szCs w:val="20"/>
      <w:lang w:val="en-US" w:eastAsia="en-US"/>
      <w14:ligatures w14:val="none"/>
    </w:rPr>
  </w:style>
  <w:style w:type="character" w:customStyle="1" w:styleId="CommentTextChar">
    <w:name w:val="Comment Text Char"/>
    <w:basedOn w:val="DefaultParagraphFont"/>
    <w:link w:val="CommentText"/>
    <w:uiPriority w:val="99"/>
    <w:semiHidden/>
    <w:rsid w:val="0003642D"/>
    <w:rPr>
      <w:rFonts w:ascii="Calibri" w:eastAsia="Calibri" w:hAnsi="Calibri" w:cs="Times New Roman"/>
      <w:kern w:val="0"/>
      <w:sz w:val="20"/>
      <w:szCs w:val="20"/>
      <w:lang w:val="en-US" w:eastAsia="en-US"/>
      <w14:ligatures w14:val="none"/>
    </w:rPr>
  </w:style>
  <w:style w:type="character" w:customStyle="1" w:styleId="BodyChar">
    <w:name w:val="Body Char"/>
    <w:basedOn w:val="DefaultParagraphFont"/>
    <w:link w:val="Body"/>
    <w:rsid w:val="0003642D"/>
    <w:rPr>
      <w:rFonts w:ascii="Helvetica Neue" w:eastAsia="Arial Unicode MS" w:hAnsi="Helvetica Neue" w:cs="Arial Unicode MS"/>
      <w:color w:val="000000"/>
      <w:kern w:val="0"/>
      <w:bdr w:val="nil"/>
      <w:lang w:val="en-US" w:eastAsia="en-US"/>
      <w14:textOutline w14:w="0" w14:cap="flat" w14:cmpd="sng" w14:algn="ctr">
        <w14:noFill/>
        <w14:prstDash w14:val="solid"/>
        <w14:bevel/>
      </w14:textOutline>
      <w14:ligatures w14:val="none"/>
    </w:rPr>
  </w:style>
  <w:style w:type="paragraph" w:styleId="Title">
    <w:name w:val="Title"/>
    <w:basedOn w:val="Normal"/>
    <w:next w:val="Normal"/>
    <w:link w:val="TitleChar"/>
    <w:uiPriority w:val="10"/>
    <w:qFormat/>
    <w:rsid w:val="0003642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42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616</Words>
  <Characters>3515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UConn</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Byrne, Timothy</dc:creator>
  <cp:keywords/>
  <dc:description/>
  <cp:lastModifiedBy>Byrne, Timothy</cp:lastModifiedBy>
  <cp:revision>6</cp:revision>
  <cp:lastPrinted>2023-09-03T21:31:00Z</cp:lastPrinted>
  <dcterms:created xsi:type="dcterms:W3CDTF">2023-09-03T19:37:00Z</dcterms:created>
  <dcterms:modified xsi:type="dcterms:W3CDTF">2023-09-03T23:27:00Z</dcterms:modified>
</cp:coreProperties>
</file>