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1F" w:rsidRPr="006431E0" w:rsidRDefault="006431E0">
      <w:pPr>
        <w:rPr>
          <w:rFonts w:ascii="Times New Roman" w:hAnsi="Times New Roman" w:cs="Times New Roman"/>
        </w:rPr>
      </w:pPr>
      <w:r w:rsidRPr="006431E0">
        <w:rPr>
          <w:rFonts w:ascii="Times New Roman" w:hAnsi="Times New Roman" w:cs="Times New Roman"/>
        </w:rPr>
        <w:drawing>
          <wp:inline distT="0" distB="0" distL="0" distR="0" wp14:anchorId="20C4A369" wp14:editId="5F1AE49D">
            <wp:extent cx="5274310" cy="356743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1E0" w:rsidRPr="006431E0" w:rsidRDefault="006431E0">
      <w:pPr>
        <w:rPr>
          <w:rFonts w:ascii="Times New Roman" w:hAnsi="Times New Roman" w:cs="Times New Roman"/>
        </w:rPr>
      </w:pPr>
      <w:r w:rsidRPr="006431E0">
        <w:rPr>
          <w:rFonts w:ascii="Times New Roman" w:hAnsi="Times New Roman" w:cs="Times New Roman"/>
        </w:rPr>
        <w:t>Figure S2.  Relationship between the mean annual precipitation and the MLS values for e</w:t>
      </w:r>
      <w:bookmarkStart w:id="0" w:name="_GoBack"/>
      <w:bookmarkEnd w:id="0"/>
      <w:r w:rsidRPr="006431E0">
        <w:rPr>
          <w:rFonts w:ascii="Times New Roman" w:hAnsi="Times New Roman" w:cs="Times New Roman"/>
        </w:rPr>
        <w:t>ach river basin analyzed in this study.  The result shows that there seems to be a weak positive relationship between these two values.</w:t>
      </w:r>
    </w:p>
    <w:sectPr w:rsidR="006431E0" w:rsidRPr="006431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E0"/>
    <w:rsid w:val="006431E0"/>
    <w:rsid w:val="006E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13D0B"/>
  <w15:chartTrackingRefBased/>
  <w15:docId w15:val="{1077AF1E-7466-4A5B-8961-54EE61A6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JBHS</dc:creator>
  <cp:keywords/>
  <dc:description/>
  <cp:lastModifiedBy>JBHS</cp:lastModifiedBy>
  <cp:revision>1</cp:revision>
  <dcterms:created xsi:type="dcterms:W3CDTF">2024-05-23T09:07:00Z</dcterms:created>
  <dcterms:modified xsi:type="dcterms:W3CDTF">2024-05-23T09:11:00Z</dcterms:modified>
</cp:coreProperties>
</file>