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F8E" w:rsidRPr="00B35FD1" w:rsidRDefault="003B7F8E" w:rsidP="003B7F8E">
      <w:pPr>
        <w:autoSpaceDE w:val="0"/>
        <w:autoSpaceDN w:val="0"/>
        <w:bidi w:val="0"/>
        <w:adjustRightInd w:val="0"/>
        <w:spacing w:after="0" w:line="360" w:lineRule="auto"/>
        <w:ind w:left="142" w:hanging="142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B35FD1">
        <w:rPr>
          <w:rFonts w:asciiTheme="majorBidi" w:hAnsiTheme="majorBidi" w:cstheme="majorBidi"/>
          <w:b/>
          <w:bCs/>
          <w:sz w:val="28"/>
          <w:szCs w:val="28"/>
        </w:rPr>
        <w:t>Additional file 1: Tables</w:t>
      </w:r>
    </w:p>
    <w:p w:rsidR="003B7F8E" w:rsidRPr="00B35FD1" w:rsidRDefault="003B7F8E" w:rsidP="003B7F8E">
      <w:pPr>
        <w:bidi w:val="0"/>
        <w:spacing w:line="480" w:lineRule="auto"/>
        <w:jc w:val="both"/>
        <w:rPr>
          <w:rFonts w:asciiTheme="majorBidi" w:hAnsiTheme="majorBidi" w:cstheme="majorBidi"/>
        </w:rPr>
      </w:pPr>
    </w:p>
    <w:p w:rsidR="003B7F8E" w:rsidRPr="00B35FD1" w:rsidRDefault="003B7F8E" w:rsidP="001A3B52">
      <w:pPr>
        <w:pStyle w:val="Caption"/>
        <w:keepNext/>
        <w:bidi w:val="0"/>
        <w:jc w:val="center"/>
        <w:rPr>
          <w:rFonts w:asciiTheme="majorBidi" w:hAnsiTheme="majorBidi" w:cstheme="majorBidi"/>
          <w:i w:val="0"/>
          <w:iCs w:val="0"/>
          <w:color w:val="auto"/>
        </w:rPr>
      </w:pPr>
      <w:r w:rsidRPr="00B35FD1">
        <w:rPr>
          <w:rFonts w:asciiTheme="majorBidi" w:hAnsiTheme="majorBidi" w:cstheme="majorBidi"/>
          <w:b/>
          <w:bCs/>
          <w:i w:val="0"/>
          <w:iCs w:val="0"/>
          <w:color w:val="auto"/>
        </w:rPr>
        <w:t>TABLE S1.</w:t>
      </w:r>
      <w:r w:rsidRPr="00B35FD1">
        <w:rPr>
          <w:rFonts w:asciiTheme="majorBidi" w:hAnsiTheme="majorBidi" w:cstheme="majorBidi"/>
          <w:i w:val="0"/>
          <w:iCs w:val="0"/>
          <w:color w:val="auto"/>
        </w:rPr>
        <w:t xml:space="preserve"> CF values as function of SB</w:t>
      </w:r>
      <w:r w:rsidR="001A3B52">
        <w:rPr>
          <w:rFonts w:asciiTheme="majorBidi" w:hAnsiTheme="majorBidi" w:cstheme="majorBidi"/>
          <w:i w:val="0"/>
          <w:iCs w:val="0"/>
          <w:color w:val="auto"/>
        </w:rPr>
        <w:t>V</w:t>
      </w:r>
      <w:r w:rsidRPr="00B35FD1">
        <w:rPr>
          <w:rFonts w:asciiTheme="majorBidi" w:hAnsiTheme="majorBidi" w:cstheme="majorBidi"/>
          <w:i w:val="0"/>
          <w:iCs w:val="0"/>
          <w:color w:val="auto"/>
        </w:rPr>
        <w:t>R and SBAR for the 5.71, 11.49 and 26.52 cc spheres</w:t>
      </w: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325"/>
        <w:gridCol w:w="1080"/>
        <w:gridCol w:w="1134"/>
        <w:gridCol w:w="1134"/>
        <w:gridCol w:w="992"/>
        <w:gridCol w:w="993"/>
        <w:gridCol w:w="992"/>
      </w:tblGrid>
      <w:tr w:rsidR="003B7F8E" w:rsidRPr="00B35FD1" w:rsidTr="00AA5E2B">
        <w:trPr>
          <w:jc w:val="center"/>
        </w:trPr>
        <w:tc>
          <w:tcPr>
            <w:tcW w:w="1325" w:type="dxa"/>
            <w:vMerge w:val="restart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SBAR</w:t>
            </w:r>
          </w:p>
        </w:tc>
        <w:tc>
          <w:tcPr>
            <w:tcW w:w="6325" w:type="dxa"/>
            <w:gridSpan w:val="6"/>
            <w:vAlign w:val="center"/>
          </w:tcPr>
          <w:p w:rsidR="003B7F8E" w:rsidRPr="00B35FD1" w:rsidRDefault="001A3B52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SBVR</w:t>
            </w:r>
            <w:r w:rsidR="003B7F8E" w:rsidRPr="00B35FD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/ CF</w:t>
            </w:r>
          </w:p>
        </w:tc>
      </w:tr>
      <w:tr w:rsidR="003B7F8E" w:rsidRPr="00B35FD1" w:rsidTr="00AA5E2B">
        <w:trPr>
          <w:jc w:val="center"/>
        </w:trPr>
        <w:tc>
          <w:tcPr>
            <w:tcW w:w="1325" w:type="dxa"/>
            <w:vMerge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14" w:type="dxa"/>
            <w:gridSpan w:val="2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26.52 [cc]</w:t>
            </w:r>
          </w:p>
        </w:tc>
        <w:tc>
          <w:tcPr>
            <w:tcW w:w="2126" w:type="dxa"/>
            <w:gridSpan w:val="2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11.49 [cc]</w:t>
            </w:r>
          </w:p>
        </w:tc>
        <w:tc>
          <w:tcPr>
            <w:tcW w:w="1985" w:type="dxa"/>
            <w:gridSpan w:val="2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5.71 [cc]</w:t>
            </w:r>
          </w:p>
        </w:tc>
      </w:tr>
      <w:tr w:rsidR="003B7F8E" w:rsidRPr="00B35FD1" w:rsidTr="00AA5E2B">
        <w:trPr>
          <w:jc w:val="center"/>
        </w:trPr>
        <w:tc>
          <w:tcPr>
            <w:tcW w:w="1325" w:type="dxa"/>
            <w:vMerge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3B7F8E" w:rsidRPr="00B35FD1" w:rsidRDefault="001A3B52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SBVR</w:t>
            </w:r>
          </w:p>
        </w:tc>
        <w:tc>
          <w:tcPr>
            <w:tcW w:w="1134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CF</w:t>
            </w:r>
          </w:p>
        </w:tc>
        <w:tc>
          <w:tcPr>
            <w:tcW w:w="1134" w:type="dxa"/>
            <w:vAlign w:val="center"/>
          </w:tcPr>
          <w:p w:rsidR="003B7F8E" w:rsidRPr="00B35FD1" w:rsidRDefault="001A3B52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SBVR</w:t>
            </w:r>
          </w:p>
        </w:tc>
        <w:tc>
          <w:tcPr>
            <w:tcW w:w="992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CF</w:t>
            </w:r>
          </w:p>
        </w:tc>
        <w:tc>
          <w:tcPr>
            <w:tcW w:w="993" w:type="dxa"/>
            <w:vAlign w:val="center"/>
          </w:tcPr>
          <w:p w:rsidR="003B7F8E" w:rsidRPr="00B35FD1" w:rsidRDefault="001A3B52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SBVR</w:t>
            </w:r>
          </w:p>
        </w:tc>
        <w:tc>
          <w:tcPr>
            <w:tcW w:w="992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CF</w:t>
            </w:r>
          </w:p>
        </w:tc>
      </w:tr>
      <w:tr w:rsidR="003B7F8E" w:rsidRPr="00B35FD1" w:rsidTr="00AA5E2B">
        <w:trPr>
          <w:jc w:val="center"/>
        </w:trPr>
        <w:tc>
          <w:tcPr>
            <w:tcW w:w="1325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Cold BG</w:t>
            </w:r>
          </w:p>
        </w:tc>
        <w:tc>
          <w:tcPr>
            <w:tcW w:w="1080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20.01</w:t>
            </w:r>
          </w:p>
        </w:tc>
        <w:tc>
          <w:tcPr>
            <w:tcW w:w="1134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4.64</w:t>
            </w:r>
          </w:p>
        </w:tc>
        <w:tc>
          <w:tcPr>
            <w:tcW w:w="1134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16.87</w:t>
            </w:r>
          </w:p>
        </w:tc>
        <w:tc>
          <w:tcPr>
            <w:tcW w:w="992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3.86</w:t>
            </w:r>
          </w:p>
        </w:tc>
        <w:tc>
          <w:tcPr>
            <w:tcW w:w="993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17.29</w:t>
            </w:r>
          </w:p>
        </w:tc>
        <w:tc>
          <w:tcPr>
            <w:tcW w:w="992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3.08</w:t>
            </w:r>
          </w:p>
        </w:tc>
      </w:tr>
      <w:tr w:rsidR="003B7F8E" w:rsidRPr="00B35FD1" w:rsidTr="00AA5E2B">
        <w:trPr>
          <w:jc w:val="center"/>
        </w:trPr>
        <w:tc>
          <w:tcPr>
            <w:tcW w:w="1325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17 :1</w:t>
            </w:r>
          </w:p>
        </w:tc>
        <w:tc>
          <w:tcPr>
            <w:tcW w:w="1080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14.63</w:t>
            </w:r>
          </w:p>
        </w:tc>
        <w:tc>
          <w:tcPr>
            <w:tcW w:w="1134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4.21</w:t>
            </w:r>
          </w:p>
        </w:tc>
        <w:tc>
          <w:tcPr>
            <w:tcW w:w="1134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11.20</w:t>
            </w:r>
          </w:p>
        </w:tc>
        <w:tc>
          <w:tcPr>
            <w:tcW w:w="992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3.39</w:t>
            </w:r>
          </w:p>
        </w:tc>
        <w:tc>
          <w:tcPr>
            <w:tcW w:w="993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7.25</w:t>
            </w:r>
          </w:p>
        </w:tc>
        <w:tc>
          <w:tcPr>
            <w:tcW w:w="992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2.22</w:t>
            </w:r>
          </w:p>
        </w:tc>
      </w:tr>
      <w:tr w:rsidR="003B7F8E" w:rsidRPr="00B35FD1" w:rsidTr="00AA5E2B">
        <w:trPr>
          <w:jc w:val="center"/>
        </w:trPr>
        <w:tc>
          <w:tcPr>
            <w:tcW w:w="1325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14 :1</w:t>
            </w:r>
          </w:p>
        </w:tc>
        <w:tc>
          <w:tcPr>
            <w:tcW w:w="1080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11.19</w:t>
            </w:r>
          </w:p>
        </w:tc>
        <w:tc>
          <w:tcPr>
            <w:tcW w:w="1134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4.04</w:t>
            </w:r>
          </w:p>
        </w:tc>
        <w:tc>
          <w:tcPr>
            <w:tcW w:w="1134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8.24</w:t>
            </w:r>
          </w:p>
        </w:tc>
        <w:tc>
          <w:tcPr>
            <w:tcW w:w="992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3.09</w:t>
            </w:r>
          </w:p>
        </w:tc>
        <w:tc>
          <w:tcPr>
            <w:tcW w:w="993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5.08</w:t>
            </w:r>
          </w:p>
        </w:tc>
        <w:tc>
          <w:tcPr>
            <w:tcW w:w="992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1.96</w:t>
            </w:r>
          </w:p>
        </w:tc>
      </w:tr>
      <w:tr w:rsidR="003B7F8E" w:rsidRPr="00B35FD1" w:rsidTr="00AA5E2B">
        <w:trPr>
          <w:jc w:val="center"/>
        </w:trPr>
        <w:tc>
          <w:tcPr>
            <w:tcW w:w="1325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10 :1</w:t>
            </w:r>
          </w:p>
        </w:tc>
        <w:tc>
          <w:tcPr>
            <w:tcW w:w="1080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8.33</w:t>
            </w:r>
          </w:p>
        </w:tc>
        <w:tc>
          <w:tcPr>
            <w:tcW w:w="1134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3.87</w:t>
            </w:r>
          </w:p>
        </w:tc>
        <w:tc>
          <w:tcPr>
            <w:tcW w:w="1134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5.99</w:t>
            </w:r>
          </w:p>
        </w:tc>
        <w:tc>
          <w:tcPr>
            <w:tcW w:w="992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2.91</w:t>
            </w:r>
          </w:p>
        </w:tc>
        <w:tc>
          <w:tcPr>
            <w:tcW w:w="993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3.75</w:t>
            </w:r>
          </w:p>
        </w:tc>
        <w:tc>
          <w:tcPr>
            <w:tcW w:w="992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1.82</w:t>
            </w:r>
          </w:p>
        </w:tc>
      </w:tr>
      <w:tr w:rsidR="003B7F8E" w:rsidRPr="00B35FD1" w:rsidTr="00AA5E2B">
        <w:trPr>
          <w:jc w:val="center"/>
        </w:trPr>
        <w:tc>
          <w:tcPr>
            <w:tcW w:w="1325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 :1</w:t>
            </w:r>
          </w:p>
        </w:tc>
        <w:tc>
          <w:tcPr>
            <w:tcW w:w="1080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4.68</w:t>
            </w:r>
          </w:p>
        </w:tc>
        <w:tc>
          <w:tcPr>
            <w:tcW w:w="1134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3.49</w:t>
            </w:r>
          </w:p>
        </w:tc>
        <w:tc>
          <w:tcPr>
            <w:tcW w:w="1134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3.46</w:t>
            </w:r>
          </w:p>
        </w:tc>
        <w:tc>
          <w:tcPr>
            <w:tcW w:w="992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2.67</w:t>
            </w:r>
          </w:p>
        </w:tc>
        <w:tc>
          <w:tcPr>
            <w:tcW w:w="993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2.43</w:t>
            </w:r>
          </w:p>
        </w:tc>
        <w:tc>
          <w:tcPr>
            <w:tcW w:w="992" w:type="dxa"/>
            <w:vAlign w:val="center"/>
          </w:tcPr>
          <w:p w:rsidR="003B7F8E" w:rsidRPr="00B35FD1" w:rsidRDefault="003B7F8E" w:rsidP="00AA5E2B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1.78</w:t>
            </w:r>
          </w:p>
        </w:tc>
      </w:tr>
    </w:tbl>
    <w:p w:rsidR="003B7F8E" w:rsidRPr="00B35FD1" w:rsidRDefault="003B7F8E" w:rsidP="003B7F8E">
      <w:pPr>
        <w:bidi w:val="0"/>
        <w:spacing w:after="0"/>
        <w:ind w:left="567"/>
        <w:jc w:val="both"/>
        <w:rPr>
          <w:rFonts w:asciiTheme="majorBidi" w:hAnsiTheme="majorBidi" w:cstheme="majorBidi"/>
          <w:sz w:val="18"/>
          <w:szCs w:val="18"/>
        </w:rPr>
      </w:pPr>
      <w:r w:rsidRPr="00B35FD1">
        <w:rPr>
          <w:rFonts w:asciiTheme="majorBidi" w:hAnsiTheme="majorBidi" w:cstheme="majorBidi"/>
          <w:b/>
          <w:bCs/>
          <w:sz w:val="18"/>
          <w:szCs w:val="18"/>
        </w:rPr>
        <w:t>CF</w:t>
      </w:r>
      <w:r w:rsidRPr="00B35FD1">
        <w:rPr>
          <w:rFonts w:asciiTheme="majorBidi" w:hAnsiTheme="majorBidi" w:cstheme="majorBidi"/>
          <w:sz w:val="18"/>
          <w:szCs w:val="18"/>
        </w:rPr>
        <w:t>: Calibration factor</w:t>
      </w:r>
    </w:p>
    <w:p w:rsidR="003B7F8E" w:rsidRPr="00B35FD1" w:rsidRDefault="001A3B52" w:rsidP="001A3B52">
      <w:pPr>
        <w:bidi w:val="0"/>
        <w:spacing w:after="0"/>
        <w:ind w:left="567"/>
        <w:jc w:val="both"/>
        <w:rPr>
          <w:rFonts w:asciiTheme="majorBidi" w:hAnsiTheme="majorBidi" w:cstheme="majorBidi"/>
          <w:sz w:val="18"/>
          <w:szCs w:val="18"/>
        </w:rPr>
      </w:pPr>
      <w:r>
        <w:rPr>
          <w:rFonts w:asciiTheme="majorBidi" w:hAnsiTheme="majorBidi" w:cstheme="majorBidi"/>
          <w:b/>
          <w:bCs/>
          <w:sz w:val="18"/>
          <w:szCs w:val="18"/>
        </w:rPr>
        <w:t>SBVR</w:t>
      </w:r>
      <w:r w:rsidR="003B7F8E" w:rsidRPr="00B35FD1">
        <w:rPr>
          <w:rFonts w:asciiTheme="majorBidi" w:hAnsiTheme="majorBidi" w:cstheme="majorBidi"/>
          <w:sz w:val="18"/>
          <w:szCs w:val="18"/>
        </w:rPr>
        <w:t>: Sphere to Background counts/</w:t>
      </w:r>
      <w:r>
        <w:rPr>
          <w:rFonts w:asciiTheme="majorBidi" w:hAnsiTheme="majorBidi" w:cstheme="majorBidi"/>
          <w:sz w:val="18"/>
          <w:szCs w:val="18"/>
        </w:rPr>
        <w:t>Voxel</w:t>
      </w:r>
      <w:r w:rsidR="003B7F8E" w:rsidRPr="00B35FD1">
        <w:rPr>
          <w:rFonts w:asciiTheme="majorBidi" w:hAnsiTheme="majorBidi" w:cstheme="majorBidi"/>
          <w:sz w:val="18"/>
          <w:szCs w:val="18"/>
        </w:rPr>
        <w:t xml:space="preserve"> Ratio</w:t>
      </w:r>
    </w:p>
    <w:p w:rsidR="003B7F8E" w:rsidRPr="00B35FD1" w:rsidRDefault="003B7F8E" w:rsidP="003B7F8E">
      <w:pPr>
        <w:bidi w:val="0"/>
        <w:spacing w:line="480" w:lineRule="auto"/>
        <w:jc w:val="both"/>
        <w:rPr>
          <w:rFonts w:asciiTheme="majorBidi" w:hAnsiTheme="majorBidi" w:cstheme="majorBidi"/>
        </w:rPr>
      </w:pPr>
    </w:p>
    <w:p w:rsidR="003B7F8E" w:rsidRPr="00B35FD1" w:rsidRDefault="003B7F8E" w:rsidP="003B7F8E">
      <w:pPr>
        <w:bidi w:val="0"/>
        <w:spacing w:line="480" w:lineRule="auto"/>
        <w:jc w:val="both"/>
        <w:rPr>
          <w:rFonts w:asciiTheme="majorBidi" w:hAnsiTheme="majorBidi" w:cstheme="majorBidi"/>
        </w:rPr>
      </w:pPr>
    </w:p>
    <w:p w:rsidR="003B7F8E" w:rsidRPr="00B35FD1" w:rsidRDefault="003B7F8E" w:rsidP="003B7F8E">
      <w:pPr>
        <w:bidi w:val="0"/>
        <w:spacing w:line="480" w:lineRule="auto"/>
        <w:jc w:val="both"/>
        <w:rPr>
          <w:rFonts w:asciiTheme="majorBidi" w:hAnsiTheme="majorBidi" w:cstheme="majorBidi"/>
        </w:rPr>
      </w:pPr>
    </w:p>
    <w:p w:rsidR="003B7F8E" w:rsidRPr="00B35FD1" w:rsidRDefault="003B7F8E" w:rsidP="003B7F8E">
      <w:pPr>
        <w:bidi w:val="0"/>
        <w:spacing w:line="480" w:lineRule="auto"/>
        <w:jc w:val="both"/>
        <w:rPr>
          <w:rFonts w:asciiTheme="majorBidi" w:hAnsiTheme="majorBidi" w:cstheme="majorBidi"/>
        </w:rPr>
      </w:pPr>
    </w:p>
    <w:p w:rsidR="003B7F8E" w:rsidRPr="00B35FD1" w:rsidRDefault="003B7F8E" w:rsidP="003B7F8E">
      <w:pPr>
        <w:bidi w:val="0"/>
        <w:spacing w:line="480" w:lineRule="auto"/>
        <w:jc w:val="both"/>
        <w:rPr>
          <w:rFonts w:asciiTheme="majorBidi" w:hAnsiTheme="majorBidi" w:cstheme="majorBidi"/>
        </w:rPr>
      </w:pPr>
    </w:p>
    <w:p w:rsidR="003B7F8E" w:rsidRPr="00B35FD1" w:rsidRDefault="003B7F8E" w:rsidP="003B7F8E">
      <w:pPr>
        <w:bidi w:val="0"/>
        <w:spacing w:line="480" w:lineRule="auto"/>
        <w:jc w:val="both"/>
        <w:rPr>
          <w:rFonts w:asciiTheme="majorBidi" w:hAnsiTheme="majorBidi" w:cstheme="majorBidi"/>
        </w:rPr>
      </w:pPr>
      <w:bookmarkStart w:id="0" w:name="_GoBack"/>
      <w:bookmarkEnd w:id="0"/>
    </w:p>
    <w:p w:rsidR="003B7F8E" w:rsidRPr="00B35FD1" w:rsidRDefault="003B7F8E" w:rsidP="003B7F8E">
      <w:pPr>
        <w:bidi w:val="0"/>
        <w:spacing w:line="480" w:lineRule="auto"/>
        <w:jc w:val="both"/>
        <w:rPr>
          <w:rFonts w:asciiTheme="majorBidi" w:hAnsiTheme="majorBidi" w:cstheme="majorBidi"/>
        </w:rPr>
      </w:pPr>
    </w:p>
    <w:p w:rsidR="003B7F8E" w:rsidRPr="00B35FD1" w:rsidRDefault="003B7F8E" w:rsidP="003B7F8E">
      <w:pPr>
        <w:bidi w:val="0"/>
        <w:spacing w:line="480" w:lineRule="auto"/>
        <w:jc w:val="both"/>
        <w:rPr>
          <w:rFonts w:asciiTheme="majorBidi" w:hAnsiTheme="majorBidi" w:cstheme="majorBidi"/>
        </w:rPr>
      </w:pPr>
    </w:p>
    <w:p w:rsidR="003B7F8E" w:rsidRPr="00B35FD1" w:rsidRDefault="003B7F8E" w:rsidP="003B7F8E">
      <w:pPr>
        <w:pStyle w:val="Caption"/>
        <w:keepNext/>
        <w:bidi w:val="0"/>
        <w:jc w:val="center"/>
        <w:rPr>
          <w:rFonts w:asciiTheme="majorBidi" w:hAnsiTheme="majorBidi" w:cstheme="majorBidi"/>
          <w:i w:val="0"/>
          <w:iCs w:val="0"/>
          <w:color w:val="auto"/>
        </w:rPr>
      </w:pPr>
      <w:r w:rsidRPr="00B35FD1">
        <w:rPr>
          <w:rFonts w:asciiTheme="majorBidi" w:hAnsiTheme="majorBidi" w:cstheme="majorBidi"/>
          <w:b/>
          <w:bCs/>
          <w:i w:val="0"/>
          <w:iCs w:val="0"/>
          <w:color w:val="auto"/>
        </w:rPr>
        <w:lastRenderedPageBreak/>
        <w:t>TABLE S2.</w:t>
      </w:r>
      <w:r w:rsidRPr="00B35FD1">
        <w:rPr>
          <w:rFonts w:asciiTheme="majorBidi" w:hAnsiTheme="majorBidi" w:cstheme="majorBidi"/>
          <w:i w:val="0"/>
          <w:iCs w:val="0"/>
          <w:color w:val="auto"/>
        </w:rPr>
        <w:t xml:space="preserve"> Derived Calibration Factor map providing the CF values for </w:t>
      </w:r>
      <w:r w:rsidR="001A3B52">
        <w:rPr>
          <w:rFonts w:asciiTheme="majorBidi" w:hAnsiTheme="majorBidi" w:cstheme="majorBidi"/>
          <w:i w:val="0"/>
          <w:iCs w:val="0"/>
          <w:color w:val="auto"/>
        </w:rPr>
        <w:t>SBVR</w:t>
      </w:r>
      <w:r w:rsidRPr="00B35FD1">
        <w:rPr>
          <w:rFonts w:asciiTheme="majorBidi" w:hAnsiTheme="majorBidi" w:cstheme="majorBidi"/>
          <w:i w:val="0"/>
          <w:iCs w:val="0"/>
          <w:color w:val="auto"/>
        </w:rPr>
        <w:t xml:space="preserve"> values and VOI volumes </w:t>
      </w:r>
    </w:p>
    <w:tbl>
      <w:tblPr>
        <w:tblStyle w:val="TableGrid"/>
        <w:tblW w:w="9689" w:type="dxa"/>
        <w:tblInd w:w="-572" w:type="dxa"/>
        <w:tblLook w:val="04A0" w:firstRow="1" w:lastRow="0" w:firstColumn="1" w:lastColumn="0" w:noHBand="0" w:noVBand="1"/>
      </w:tblPr>
      <w:tblGrid>
        <w:gridCol w:w="1696"/>
        <w:gridCol w:w="709"/>
        <w:gridCol w:w="714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</w:tblGrid>
      <w:tr w:rsidR="003B7F8E" w:rsidRPr="00B35FD1" w:rsidTr="003B7F8E">
        <w:trPr>
          <w:trHeight w:val="1428"/>
        </w:trPr>
        <w:tc>
          <w:tcPr>
            <w:tcW w:w="1696" w:type="dxa"/>
            <w:tcBorders>
              <w:tl2br w:val="single" w:sz="4" w:space="0" w:color="auto"/>
            </w:tcBorders>
            <w:shd w:val="clear" w:color="auto" w:fill="D9D9D9" w:themeFill="background1" w:themeFillShade="D9"/>
          </w:tcPr>
          <w:p w:rsidR="003B7F8E" w:rsidRPr="00B35FD1" w:rsidRDefault="001A3B52" w:rsidP="00AA5E2B">
            <w:pPr>
              <w:bidi w:val="0"/>
              <w:ind w:left="7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SBVR</w:t>
            </w:r>
          </w:p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3B7F8E" w:rsidRPr="00B35FD1" w:rsidRDefault="003B7F8E" w:rsidP="00AA5E2B">
            <w:pPr>
              <w:bidi w:val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3B7F8E" w:rsidRPr="00B35FD1" w:rsidRDefault="003B7F8E" w:rsidP="00AA5E2B">
            <w:pPr>
              <w:bidi w:val="0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VOI </w:t>
            </w: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br/>
              <w:t>volume [cc]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14" w:type="dxa"/>
            <w:shd w:val="clear" w:color="auto" w:fill="D9D9D9" w:themeFill="background1" w:themeFillShade="D9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30" w:type="dxa"/>
            <w:shd w:val="clear" w:color="auto" w:fill="D9D9D9" w:themeFill="background1" w:themeFillShade="D9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30" w:type="dxa"/>
            <w:shd w:val="clear" w:color="auto" w:fill="D9D9D9" w:themeFill="background1" w:themeFillShade="D9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30" w:type="dxa"/>
            <w:shd w:val="clear" w:color="auto" w:fill="D9D9D9" w:themeFill="background1" w:themeFillShade="D9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30" w:type="dxa"/>
            <w:shd w:val="clear" w:color="auto" w:fill="D9D9D9" w:themeFill="background1" w:themeFillShade="D9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30" w:type="dxa"/>
            <w:shd w:val="clear" w:color="auto" w:fill="D9D9D9" w:themeFill="background1" w:themeFillShade="D9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30" w:type="dxa"/>
            <w:shd w:val="clear" w:color="auto" w:fill="D9D9D9" w:themeFill="background1" w:themeFillShade="D9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730" w:type="dxa"/>
            <w:shd w:val="clear" w:color="auto" w:fill="D9D9D9" w:themeFill="background1" w:themeFillShade="D9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730" w:type="dxa"/>
            <w:shd w:val="clear" w:color="auto" w:fill="D9D9D9" w:themeFill="background1" w:themeFillShade="D9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730" w:type="dxa"/>
            <w:shd w:val="clear" w:color="auto" w:fill="D9D9D9" w:themeFill="background1" w:themeFillShade="D9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20+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1.62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1.80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1.97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2.15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2.32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2.50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2.67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2.85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2.97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2.98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2.98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1.89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2.08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2.25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2.43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2.61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2.79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2.97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3.15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3.25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3.24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3.24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2.13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2.31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2.49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2.67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2.85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3.03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3.21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3.39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3.48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3.46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3.46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2.33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2.51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2.69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2.87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3.05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3.23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3.41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3.59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3.66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3.65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3.65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2.50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2.68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2.86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3.03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3.21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3.39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3.56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3.74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3.82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3.82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3.82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2.64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2.82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2.99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3.17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3.34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3.52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3.69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3.87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3.95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3.95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3.95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2.76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2.94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3.11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3.28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3.46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3.63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3.80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3.97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4.05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4.07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4.07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2.96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3.13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3.29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3.46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3.62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3.79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3.95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4.12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4.21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4.26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4.26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3.10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3.26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3.42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3.58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3.74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3.90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4.05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4.21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4.32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4.40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4.40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3.20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3.36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3.51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3.67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3.82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3.97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4.12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4.27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4.40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4.50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4.50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3.28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3.43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3.58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3.73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3.87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4.02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4.17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4.32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4.45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4.57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4.57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3.33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3.48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3.62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3.77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3.91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4.06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4.20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4.34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4.49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4.62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4.62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3.37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3.52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3.66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3.80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3.94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4.08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4.22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4.36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4.51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4.66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4.66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3.40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3.54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3.68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3.82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3.96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4.10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4.24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4.38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4.53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4.69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4.69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3.42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3.56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3.70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3.84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3.97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4.11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4.25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4.39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4.54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4.72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4.72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3.44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3.58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3.71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3.85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3.98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4.12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4.26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4.40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4.56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4.73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4.73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3.45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3.59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3.72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3.86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3.99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4.13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4.27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4.40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4.56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4.75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4.75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3.49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3.62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3.76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3.89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4.03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4.17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4.31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4.45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4.61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4.79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4.79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3.50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3.64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3.78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3.92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4.06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4.20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4.34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4.49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4.64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4.82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3.51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3.65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3.80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3.94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4.09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4.23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4.38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4.53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4.68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4.85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4.85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3.52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3.67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3.82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3.97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4.12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4.27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4.42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4.57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4.72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3.55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3.73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3.90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4.08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4.25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4.42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4.59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4.76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3.70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3.97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4.23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4.49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4.74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3.85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4.22</w:t>
            </w:r>
          </w:p>
        </w:tc>
        <w:tc>
          <w:tcPr>
            <w:tcW w:w="730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4.58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lastRenderedPageBreak/>
              <w:t>1100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4.00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4.48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</w:tr>
      <w:tr w:rsidR="003B7F8E" w:rsidRPr="00B35FD1" w:rsidTr="00AA5E2B">
        <w:trPr>
          <w:trHeight w:val="311"/>
        </w:trPr>
        <w:tc>
          <w:tcPr>
            <w:tcW w:w="1696" w:type="dxa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1500</w:t>
            </w:r>
          </w:p>
        </w:tc>
        <w:tc>
          <w:tcPr>
            <w:tcW w:w="709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4.22</w:t>
            </w:r>
          </w:p>
        </w:tc>
        <w:tc>
          <w:tcPr>
            <w:tcW w:w="714" w:type="dxa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4.86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  <w:tc>
          <w:tcPr>
            <w:tcW w:w="730" w:type="dxa"/>
            <w:shd w:val="clear" w:color="auto" w:fill="D9E2F3" w:themeFill="accent5" w:themeFillTint="33"/>
            <w:vAlign w:val="bottom"/>
          </w:tcPr>
          <w:p w:rsidR="003B7F8E" w:rsidRPr="00B35FD1" w:rsidRDefault="003B7F8E" w:rsidP="00AA5E2B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5FD1">
              <w:rPr>
                <w:rFonts w:asciiTheme="majorBidi" w:hAnsiTheme="majorBidi" w:cstheme="majorBidi"/>
                <w:sz w:val="20"/>
                <w:szCs w:val="20"/>
              </w:rPr>
              <w:t>4.87</w:t>
            </w:r>
          </w:p>
        </w:tc>
      </w:tr>
    </w:tbl>
    <w:p w:rsidR="003B7F8E" w:rsidRPr="00B35FD1" w:rsidRDefault="003B7F8E" w:rsidP="003B7F8E">
      <w:pPr>
        <w:bidi w:val="0"/>
        <w:spacing w:after="0"/>
        <w:ind w:left="-567"/>
        <w:jc w:val="both"/>
        <w:rPr>
          <w:rFonts w:asciiTheme="majorBidi" w:hAnsiTheme="majorBidi" w:cstheme="majorBidi"/>
          <w:sz w:val="18"/>
          <w:szCs w:val="18"/>
        </w:rPr>
      </w:pPr>
      <w:r w:rsidRPr="00B35FD1">
        <w:rPr>
          <w:rFonts w:asciiTheme="majorBidi" w:hAnsiTheme="majorBidi" w:cstheme="majorBidi"/>
          <w:b/>
          <w:bCs/>
          <w:sz w:val="18"/>
          <w:szCs w:val="18"/>
        </w:rPr>
        <w:t>VOI</w:t>
      </w:r>
      <w:r w:rsidRPr="00B35FD1">
        <w:rPr>
          <w:rFonts w:asciiTheme="majorBidi" w:hAnsiTheme="majorBidi" w:cstheme="majorBidi"/>
          <w:sz w:val="18"/>
          <w:szCs w:val="18"/>
        </w:rPr>
        <w:t>: Volume of Interest</w:t>
      </w:r>
    </w:p>
    <w:p w:rsidR="003B7F8E" w:rsidRPr="00B35FD1" w:rsidRDefault="001A3B52" w:rsidP="001A3B52">
      <w:pPr>
        <w:bidi w:val="0"/>
        <w:spacing w:after="0"/>
        <w:ind w:left="-567"/>
        <w:jc w:val="both"/>
        <w:rPr>
          <w:rFonts w:asciiTheme="majorBidi" w:hAnsiTheme="majorBidi" w:cstheme="majorBidi"/>
          <w:sz w:val="18"/>
          <w:szCs w:val="18"/>
        </w:rPr>
      </w:pPr>
      <w:r>
        <w:rPr>
          <w:rFonts w:asciiTheme="majorBidi" w:hAnsiTheme="majorBidi" w:cstheme="majorBidi"/>
          <w:b/>
          <w:bCs/>
          <w:sz w:val="18"/>
          <w:szCs w:val="18"/>
        </w:rPr>
        <w:t>SBVR</w:t>
      </w:r>
      <w:r w:rsidR="003B7F8E" w:rsidRPr="00B35FD1">
        <w:rPr>
          <w:rFonts w:asciiTheme="majorBidi" w:hAnsiTheme="majorBidi" w:cstheme="majorBidi"/>
          <w:sz w:val="18"/>
          <w:szCs w:val="18"/>
        </w:rPr>
        <w:t>: Sphere to Background counts/</w:t>
      </w:r>
      <w:r>
        <w:rPr>
          <w:rFonts w:asciiTheme="majorBidi" w:hAnsiTheme="majorBidi" w:cstheme="majorBidi"/>
          <w:sz w:val="18"/>
          <w:szCs w:val="18"/>
        </w:rPr>
        <w:t>Voxel</w:t>
      </w:r>
      <w:r w:rsidR="003B7F8E" w:rsidRPr="00B35FD1">
        <w:rPr>
          <w:rFonts w:asciiTheme="majorBidi" w:hAnsiTheme="majorBidi" w:cstheme="majorBidi"/>
          <w:sz w:val="18"/>
          <w:szCs w:val="18"/>
        </w:rPr>
        <w:t xml:space="preserve"> Ratio</w:t>
      </w:r>
    </w:p>
    <w:p w:rsidR="003B7F8E" w:rsidRPr="00B35FD1" w:rsidRDefault="003B7F8E" w:rsidP="003B7F8E">
      <w:pPr>
        <w:bidi w:val="0"/>
        <w:ind w:left="-567"/>
        <w:rPr>
          <w:rFonts w:asciiTheme="majorBidi" w:hAnsiTheme="majorBidi" w:cstheme="majorBidi"/>
          <w:sz w:val="18"/>
          <w:szCs w:val="18"/>
        </w:rPr>
      </w:pPr>
      <w:r w:rsidRPr="00B35FD1">
        <w:rPr>
          <w:rFonts w:asciiTheme="majorBidi" w:hAnsiTheme="majorBidi" w:cstheme="majorBidi"/>
          <w:sz w:val="18"/>
          <w:szCs w:val="18"/>
        </w:rPr>
        <w:t xml:space="preserve">The blue area represents the maximum CF obtained from the NEMA Cal. 2 backgrounds. </w:t>
      </w:r>
    </w:p>
    <w:p w:rsidR="0089504A" w:rsidRPr="003B7F8E" w:rsidRDefault="0089504A"/>
    <w:sectPr w:rsidR="0089504A" w:rsidRPr="003B7F8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B01"/>
    <w:rsid w:val="001A3B52"/>
    <w:rsid w:val="00291B01"/>
    <w:rsid w:val="003B7F8E"/>
    <w:rsid w:val="0089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5A67A"/>
  <w15:chartTrackingRefBased/>
  <w15:docId w15:val="{E889550E-C978-40F5-B19F-D6003332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7F8E"/>
    <w:pPr>
      <w:bidi/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7F8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B7F8E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355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שישפורטיש אלכסנדר - CHICHEPORTICHE ALEXANDRE</dc:creator>
  <cp:keywords/>
  <dc:description/>
  <cp:lastModifiedBy>שישפורטיש אלכסנדר - CHICHEPORTICHE ALEXANDRE</cp:lastModifiedBy>
  <cp:revision>3</cp:revision>
  <dcterms:created xsi:type="dcterms:W3CDTF">2022-09-12T06:38:00Z</dcterms:created>
  <dcterms:modified xsi:type="dcterms:W3CDTF">2022-12-21T09:59:00Z</dcterms:modified>
</cp:coreProperties>
</file>