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1693" w14:textId="77777777" w:rsidR="00EE03FD" w:rsidRPr="00E50DD5" w:rsidRDefault="00EE03FD" w:rsidP="00EE03FD">
      <w:pPr>
        <w:pStyle w:val="LO-normal15"/>
        <w:spacing w:line="228" w:lineRule="auto"/>
        <w:ind w:left="2608" w:firstLine="425"/>
        <w:rPr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B52F4AA" wp14:editId="4880F0B4">
            <wp:simplePos x="0" y="0"/>
            <wp:positionH relativeFrom="margin">
              <wp:posOffset>-310515</wp:posOffset>
            </wp:positionH>
            <wp:positionV relativeFrom="paragraph">
              <wp:posOffset>106045</wp:posOffset>
            </wp:positionV>
            <wp:extent cx="6438900" cy="3388995"/>
            <wp:effectExtent l="0" t="0" r="0" b="1905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" t="3052" r="1257"/>
                    <a:stretch/>
                  </pic:blipFill>
                  <pic:spPr bwMode="auto">
                    <a:xfrm>
                      <a:off x="0" y="0"/>
                      <a:ext cx="6438900" cy="3388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BD2CF" w14:textId="77777777" w:rsidR="00EE03FD" w:rsidRPr="00D008D2" w:rsidRDefault="00EE03FD" w:rsidP="00EE03FD">
      <w:pPr>
        <w:pStyle w:val="LO-normal15"/>
        <w:spacing w:before="120" w:after="240" w:line="228" w:lineRule="auto"/>
        <w:ind w:left="2608"/>
        <w:rPr>
          <w:bCs/>
        </w:rPr>
      </w:pPr>
      <w:r w:rsidRPr="00A37D94">
        <w:fldChar w:fldCharType="begin"/>
      </w:r>
      <w:r w:rsidRPr="00A37D94">
        <w:instrText xml:space="preserve"> FILLIN ""</w:instrText>
      </w:r>
      <w:r w:rsidRPr="00A37D94">
        <w:fldChar w:fldCharType="end"/>
      </w:r>
      <w:r w:rsidRPr="00A37D94">
        <w:rPr>
          <w:b/>
          <w:color w:val="000000"/>
        </w:rPr>
        <w:t xml:space="preserve">Supplementary </w:t>
      </w:r>
      <w:r w:rsidRPr="00A37D94">
        <w:rPr>
          <w:b/>
        </w:rPr>
        <w:t xml:space="preserve">Figure 1. Standardization of indirect immunofluorescence cell markers. (a) </w:t>
      </w:r>
      <w:r w:rsidRPr="00A37D94">
        <w:rPr>
          <w:bCs/>
        </w:rPr>
        <w:t>Representative fluorescence images for THP-1 cells (a human monocytic cell line, as a positive control for CD45 expression) stained with the CD45 marker (red), and co-stained with DAPI (Blue).</w:t>
      </w:r>
      <w:r>
        <w:rPr>
          <w:bCs/>
        </w:rPr>
        <w:t xml:space="preserve"> </w:t>
      </w:r>
      <w:r w:rsidRPr="00A37D94">
        <w:rPr>
          <w:bCs/>
        </w:rPr>
        <w:t>Bar: 100μm</w:t>
      </w:r>
      <w:r>
        <w:rPr>
          <w:bCs/>
        </w:rPr>
        <w:t>.</w:t>
      </w:r>
      <w:r w:rsidRPr="00A37D94">
        <w:rPr>
          <w:bCs/>
        </w:rPr>
        <w:t xml:space="preserve"> </w:t>
      </w:r>
      <w:r w:rsidRPr="00A37D94">
        <w:rPr>
          <w:b/>
        </w:rPr>
        <w:t xml:space="preserve">(b) </w:t>
      </w:r>
      <w:r w:rsidRPr="00A37D94">
        <w:rPr>
          <w:bCs/>
        </w:rPr>
        <w:t>Fluorescence microscopy images obtained for</w:t>
      </w:r>
      <w:r w:rsidRPr="00A37D94">
        <w:rPr>
          <w:rFonts w:hint="eastAsia"/>
          <w:bCs/>
        </w:rPr>
        <w:t xml:space="preserve"> standardiz</w:t>
      </w:r>
      <w:r w:rsidRPr="00A37D94">
        <w:rPr>
          <w:bCs/>
        </w:rPr>
        <w:t>ing</w:t>
      </w:r>
      <w:r w:rsidRPr="00A37D94">
        <w:rPr>
          <w:rFonts w:hint="eastAsia"/>
          <w:bCs/>
        </w:rPr>
        <w:t xml:space="preserve"> the</w:t>
      </w:r>
      <w:r w:rsidRPr="00A37D94">
        <w:rPr>
          <w:bCs/>
        </w:rPr>
        <w:t xml:space="preserve"> cell marker</w:t>
      </w:r>
      <w:r w:rsidRPr="00A37D94">
        <w:rPr>
          <w:rFonts w:hint="eastAsia"/>
          <w:bCs/>
        </w:rPr>
        <w:t xml:space="preserve"> antibodies. To rule out non</w:t>
      </w:r>
      <w:r w:rsidRPr="00A37D94">
        <w:rPr>
          <w:bCs/>
        </w:rPr>
        <w:t>-</w:t>
      </w:r>
      <w:r w:rsidRPr="00A37D94">
        <w:rPr>
          <w:rFonts w:hint="eastAsia"/>
          <w:bCs/>
        </w:rPr>
        <w:t>specific signals or autofluorescence of the secondary antibodies, staining of NHF cultures was performed without the primary antibodies. DAPI staining allows the identification of cell nuclei in each condition.</w:t>
      </w:r>
      <w:r w:rsidRPr="00A37D94">
        <w:rPr>
          <w:bCs/>
        </w:rPr>
        <w:t xml:space="preserve"> Bar: 100μm.</w:t>
      </w:r>
    </w:p>
    <w:p w14:paraId="080DDD26" w14:textId="77777777" w:rsidR="008535F4" w:rsidRDefault="008535F4"/>
    <w:sectPr w:rsidR="008535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FD"/>
    <w:rsid w:val="008535F4"/>
    <w:rsid w:val="00EE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ACD0DA"/>
  <w15:chartTrackingRefBased/>
  <w15:docId w15:val="{A341DF19-C89E-4139-B79C-679FB8CE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15">
    <w:name w:val="LO-normal15"/>
    <w:qFormat/>
    <w:rsid w:val="00EE03FD"/>
    <w:pPr>
      <w:suppressAutoHyphens/>
      <w:spacing w:after="0" w:line="240" w:lineRule="auto"/>
      <w:jc w:val="both"/>
    </w:pPr>
    <w:rPr>
      <w:rFonts w:ascii="Palatino Linotype" w:eastAsia="Palatino Linotype" w:hAnsi="Palatino Linotype" w:cs="Palatino Linotype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540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1</cp:revision>
  <dcterms:created xsi:type="dcterms:W3CDTF">2023-03-15T14:02:00Z</dcterms:created>
  <dcterms:modified xsi:type="dcterms:W3CDTF">2023-03-15T14:03:00Z</dcterms:modified>
</cp:coreProperties>
</file>