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S</w:t>
      </w:r>
      <w:bookmarkStart w:id="0" w:name="_GoBack"/>
      <w:bookmarkEnd w:id="0"/>
      <w:r>
        <w:rPr>
          <w:rFonts w:hint="default" w:ascii="Times New Roman" w:hAnsi="Times New Roman" w:cs="Times New Roman"/>
          <w:vertAlign w:val="baseline"/>
          <w:lang w:val="en-US" w:eastAsia="zh-CN"/>
        </w:rPr>
        <w:t>1 51 Pyroptosis-related genes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a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41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GSDMA</w:t>
            </w:r>
          </w:p>
        </w:tc>
        <w:tc>
          <w:tcPr>
            <w:tcW w:w="141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CASP4</w:t>
            </w:r>
          </w:p>
        </w:tc>
        <w:tc>
          <w:tcPr>
            <w:tcW w:w="141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GBP3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ZBP1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NLRP2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MEFV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GSDMB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vertAlign w:val="baseline"/>
              </w:rPr>
              <w:t>SP5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GBP4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PRF1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NLRP3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PYDC1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GSDMC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CASP6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GBP5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DHX9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NLRP6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PYCARD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GSDMD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CASP8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DDX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3X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DFNB59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NLRP7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CARD16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GSEME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GZMA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NAIP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CTSG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vertAlign w:val="baseline"/>
              </w:rPr>
              <w:t>LRP9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CARD18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IL1B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GZMB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SERPINB1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APIP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NLRP12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CARD8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IL18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HMGB1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C-FLIP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AIM2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NLRX1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CASP1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GBP1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TNFRSF12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NLRC4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NOD2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CASP3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GBP2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IRF2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NLRP1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TLR4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 w:ascii="Times New Roman" w:hAnsi="Times New Roman" w:cs="Times New Roman"/>
          <w:vertAlign w:val="baseline"/>
          <w:lang w:val="en-US" w:eastAsia="zh-CN"/>
        </w:rPr>
        <w:t>a Wang, N., et al., Molecular investigation of candidate genes for pyroptosis-induced inflammation in diabetic retinopathy. Front Endocrinol (Lausanne), 2022. 13: p. 918605.</w:t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MjM5OTc2MWI4N2VmMmVkMjViMjdjMjMzNjkwNWIifQ=="/>
  </w:docVars>
  <w:rsids>
    <w:rsidRoot w:val="00000000"/>
    <w:rsid w:val="2DE166A3"/>
    <w:rsid w:val="2F835844"/>
    <w:rsid w:val="368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442</Characters>
  <Lines>0</Lines>
  <Paragraphs>0</Paragraphs>
  <TotalTime>1</TotalTime>
  <ScaleCrop>false</ScaleCrop>
  <LinksUpToDate>false</LinksUpToDate>
  <CharactersWithSpaces>469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2023-04-13T13:49:00Z</dcterms:created>
  <dc:creator>KimSee</dc:creator>
  <cp:lastModifiedBy>城南旧事</cp:lastModifiedBy>
  <dcterms:modified xsi:type="dcterms:W3CDTF">2023-06-26T13:37:27Z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82398662431441DB804645C6269F178B_12</vt:lpwstr>
  </property>
</Properties>
</file>