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2EA" w:rsidRPr="00120B5E" w:rsidRDefault="00D072EA" w:rsidP="00D072EA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20B5E">
        <w:rPr>
          <w:rFonts w:ascii="Times New Roman" w:hAnsi="Times New Roman" w:cs="Times New Roman"/>
          <w:b/>
          <w:bCs/>
          <w:sz w:val="28"/>
          <w:szCs w:val="28"/>
        </w:rPr>
        <w:t>Supplementary Infor</w:t>
      </w:r>
      <w:bookmarkStart w:id="0" w:name="_GoBack"/>
      <w:bookmarkEnd w:id="0"/>
      <w:r w:rsidRPr="00120B5E">
        <w:rPr>
          <w:rFonts w:ascii="Times New Roman" w:hAnsi="Times New Roman" w:cs="Times New Roman"/>
          <w:b/>
          <w:bCs/>
          <w:sz w:val="28"/>
          <w:szCs w:val="28"/>
        </w:rPr>
        <w:t>mation</w:t>
      </w:r>
    </w:p>
    <w:p w:rsidR="00D072EA" w:rsidRPr="00120B5E" w:rsidRDefault="00D072EA" w:rsidP="00D072EA">
      <w:pPr>
        <w:adjustRightInd w:val="0"/>
        <w:snapToGrid w:val="0"/>
        <w:spacing w:line="360" w:lineRule="auto"/>
        <w:rPr>
          <w:rFonts w:ascii="Arial" w:hAnsi="Arial" w:cs="Arial"/>
        </w:rPr>
      </w:pPr>
    </w:p>
    <w:p w:rsidR="00D072EA" w:rsidRPr="00120B5E" w:rsidRDefault="00D072EA" w:rsidP="00D072EA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 w:rsidRPr="00120B5E">
        <w:rPr>
          <w:rFonts w:ascii="Times New Roman" w:hAnsi="Times New Roman" w:cs="Times New Roman"/>
          <w:b/>
          <w:bCs/>
        </w:rPr>
        <w:t xml:space="preserve">Table S1. </w:t>
      </w:r>
      <w:r w:rsidRPr="00120B5E">
        <w:rPr>
          <w:rFonts w:ascii="Times New Roman" w:hAnsi="Times New Roman" w:cs="Times New Roman"/>
        </w:rPr>
        <w:t>The parameters of different design of orthokeratology lenses.</w:t>
      </w:r>
    </w:p>
    <w:tbl>
      <w:tblPr>
        <w:tblStyle w:val="TableGrid"/>
        <w:tblW w:w="8931" w:type="dxa"/>
        <w:tblInd w:w="-142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694"/>
        <w:gridCol w:w="2693"/>
      </w:tblGrid>
      <w:tr w:rsidR="00120B5E" w:rsidRPr="00120B5E" w:rsidTr="00EF0A82">
        <w:tc>
          <w:tcPr>
            <w:tcW w:w="3544" w:type="dxa"/>
            <w:tcBorders>
              <w:left w:val="nil"/>
              <w:bottom w:val="single" w:sz="4" w:space="0" w:color="auto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20B5E">
              <w:rPr>
                <w:rFonts w:ascii="Times New Roman" w:hAnsi="Times New Roman" w:cs="Times New Roman"/>
                <w:b/>
                <w:bCs/>
              </w:rPr>
              <w:t>Parameters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20B5E">
              <w:rPr>
                <w:rFonts w:ascii="Times New Roman" w:hAnsi="Times New Roman" w:cs="Times New Roman"/>
                <w:b/>
                <w:bCs/>
              </w:rPr>
              <w:t>STZ OK lens</w:t>
            </w:r>
          </w:p>
        </w:tc>
        <w:tc>
          <w:tcPr>
            <w:tcW w:w="2693" w:type="dxa"/>
            <w:tcBorders>
              <w:bottom w:val="single" w:sz="4" w:space="0" w:color="auto"/>
              <w:right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20B5E">
              <w:rPr>
                <w:rFonts w:ascii="Times New Roman" w:hAnsi="Times New Roman" w:cs="Times New Roman"/>
                <w:b/>
                <w:bCs/>
              </w:rPr>
              <w:t>CTZ OK lens</w:t>
            </w:r>
          </w:p>
        </w:tc>
      </w:tr>
      <w:tr w:rsidR="00120B5E" w:rsidRPr="00120B5E" w:rsidTr="00EF0A82">
        <w:tc>
          <w:tcPr>
            <w:tcW w:w="3544" w:type="dxa"/>
            <w:tcBorders>
              <w:left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Brand</w:t>
            </w:r>
          </w:p>
        </w:tc>
        <w:tc>
          <w:tcPr>
            <w:tcW w:w="2694" w:type="dxa"/>
            <w:tcBorders>
              <w:bottom w:val="nil"/>
            </w:tcBorders>
            <w:textDirection w:val="lrTbV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CRT; Paragon Vision Sciences, USA</w:t>
            </w:r>
          </w:p>
        </w:tc>
        <w:tc>
          <w:tcPr>
            <w:tcW w:w="2693" w:type="dxa"/>
            <w:tcBorders>
              <w:bottom w:val="nil"/>
              <w:right w:val="nil"/>
            </w:tcBorders>
            <w:textDirection w:val="lrTbV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VST; Alpha Corp., Japan</w:t>
            </w:r>
          </w:p>
        </w:tc>
      </w:tr>
      <w:tr w:rsidR="00120B5E" w:rsidRPr="00120B5E" w:rsidTr="00EF0A82">
        <w:tc>
          <w:tcPr>
            <w:tcW w:w="3544" w:type="dxa"/>
            <w:tcBorders>
              <w:top w:val="nil"/>
              <w:left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Material</w:t>
            </w:r>
          </w:p>
        </w:tc>
        <w:tc>
          <w:tcPr>
            <w:tcW w:w="2694" w:type="dxa"/>
            <w:tcBorders>
              <w:top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HDS 100</w:t>
            </w:r>
          </w:p>
        </w:tc>
        <w:tc>
          <w:tcPr>
            <w:tcW w:w="2693" w:type="dxa"/>
            <w:tcBorders>
              <w:top w:val="nil"/>
              <w:bottom w:val="nil"/>
              <w:right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BOSTON EM</w:t>
            </w:r>
          </w:p>
        </w:tc>
      </w:tr>
      <w:tr w:rsidR="00120B5E" w:rsidRPr="00120B5E" w:rsidTr="00EF0A82">
        <w:tc>
          <w:tcPr>
            <w:tcW w:w="3544" w:type="dxa"/>
            <w:tcBorders>
              <w:top w:val="nil"/>
              <w:left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Oxygen permeability (cm</w:t>
            </w:r>
            <w:r w:rsidRPr="00120B5E">
              <w:rPr>
                <w:rFonts w:ascii="Times New Roman" w:hAnsi="Times New Roman" w:cs="Times New Roman"/>
                <w:vertAlign w:val="superscript"/>
              </w:rPr>
              <w:t>2</w:t>
            </w:r>
            <w:r w:rsidRPr="00120B5E">
              <w:rPr>
                <w:rFonts w:ascii="Times New Roman" w:hAnsi="Times New Roman" w:cs="Times New Roman"/>
              </w:rPr>
              <w:t>/s[mLO</w:t>
            </w:r>
            <w:r w:rsidRPr="00120B5E">
              <w:rPr>
                <w:rFonts w:ascii="Times New Roman" w:hAnsi="Times New Roman" w:cs="Times New Roman"/>
                <w:vertAlign w:val="subscript"/>
              </w:rPr>
              <w:t>2</w:t>
            </w:r>
            <w:r w:rsidRPr="00120B5E">
              <w:rPr>
                <w:rFonts w:ascii="Times New Roman" w:hAnsi="Times New Roman" w:cs="Times New Roman"/>
              </w:rPr>
              <w:t>/(mL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</m:oMath>
            <w:r w:rsidRPr="00120B5E">
              <w:rPr>
                <w:rFonts w:ascii="Times New Roman" w:hAnsi="Times New Roman" w:cs="Times New Roman"/>
              </w:rPr>
              <w:t>mmHg])</w:t>
            </w:r>
          </w:p>
        </w:tc>
        <w:tc>
          <w:tcPr>
            <w:tcW w:w="2694" w:type="dxa"/>
            <w:tcBorders>
              <w:top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693" w:type="dxa"/>
            <w:tcBorders>
              <w:top w:val="nil"/>
              <w:bottom w:val="nil"/>
              <w:right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104</w:t>
            </w:r>
          </w:p>
        </w:tc>
      </w:tr>
      <w:tr w:rsidR="00120B5E" w:rsidRPr="00120B5E" w:rsidTr="00EF0A82">
        <w:tc>
          <w:tcPr>
            <w:tcW w:w="3544" w:type="dxa"/>
            <w:tcBorders>
              <w:top w:val="nil"/>
              <w:left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Lens design</w:t>
            </w:r>
          </w:p>
        </w:tc>
        <w:tc>
          <w:tcPr>
            <w:tcW w:w="2694" w:type="dxa"/>
            <w:tcBorders>
              <w:top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Modified three-zone design with an elevated depth of the reverse zone</w:t>
            </w:r>
          </w:p>
        </w:tc>
        <w:tc>
          <w:tcPr>
            <w:tcW w:w="2693" w:type="dxa"/>
            <w:tcBorders>
              <w:top w:val="nil"/>
              <w:bottom w:val="nil"/>
              <w:right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 xml:space="preserve">Conventional four-zone </w:t>
            </w:r>
          </w:p>
        </w:tc>
      </w:tr>
      <w:tr w:rsidR="00120B5E" w:rsidRPr="00120B5E" w:rsidTr="00EF0A82">
        <w:tc>
          <w:tcPr>
            <w:tcW w:w="3544" w:type="dxa"/>
            <w:tcBorders>
              <w:top w:val="nil"/>
              <w:left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Back surface geometry</w:t>
            </w:r>
          </w:p>
        </w:tc>
        <w:tc>
          <w:tcPr>
            <w:tcW w:w="2694" w:type="dxa"/>
            <w:tcBorders>
              <w:top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Sigmoid geometry</w:t>
            </w:r>
          </w:p>
        </w:tc>
        <w:tc>
          <w:tcPr>
            <w:tcW w:w="2693" w:type="dxa"/>
            <w:tcBorders>
              <w:top w:val="nil"/>
              <w:bottom w:val="nil"/>
              <w:right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Reverse geometry</w:t>
            </w:r>
          </w:p>
        </w:tc>
      </w:tr>
      <w:tr w:rsidR="00120B5E" w:rsidRPr="00120B5E" w:rsidTr="00EF0A82">
        <w:tc>
          <w:tcPr>
            <w:tcW w:w="3544" w:type="dxa"/>
            <w:tcBorders>
              <w:top w:val="nil"/>
              <w:left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 xml:space="preserve">Back optical zone diameter (mm) </w:t>
            </w:r>
          </w:p>
        </w:tc>
        <w:tc>
          <w:tcPr>
            <w:tcW w:w="2694" w:type="dxa"/>
            <w:tcBorders>
              <w:top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2693" w:type="dxa"/>
            <w:tcBorders>
              <w:top w:val="nil"/>
              <w:bottom w:val="nil"/>
              <w:right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 xml:space="preserve">6.0 </w:t>
            </w:r>
          </w:p>
        </w:tc>
      </w:tr>
      <w:tr w:rsidR="00120B5E" w:rsidRPr="00120B5E" w:rsidTr="00EF0A82">
        <w:tc>
          <w:tcPr>
            <w:tcW w:w="3544" w:type="dxa"/>
            <w:tcBorders>
              <w:top w:val="nil"/>
              <w:left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The widths of the other zones (mm)</w:t>
            </w:r>
          </w:p>
        </w:tc>
        <w:tc>
          <w:tcPr>
            <w:tcW w:w="2694" w:type="dxa"/>
            <w:tcBorders>
              <w:top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LZ: 1.5/ RZ:</w:t>
            </w:r>
            <w:r w:rsidRPr="00120B5E">
              <w:rPr>
                <w:rFonts w:ascii="Times New Roman" w:hAnsi="Times New Roman" w:cs="Times New Roman" w:hint="eastAsia"/>
              </w:rPr>
              <w:t xml:space="preserve"> </w:t>
            </w:r>
            <w:r w:rsidRPr="00120B5E">
              <w:rPr>
                <w:rFonts w:ascii="Times New Roman" w:hAnsi="Times New Roman" w:cs="Times New Roman"/>
              </w:rPr>
              <w:t>1.0/ OZ:</w:t>
            </w:r>
            <w:r w:rsidRPr="00120B5E">
              <w:rPr>
                <w:rFonts w:ascii="Times New Roman" w:hAnsi="Times New Roman" w:cs="Times New Roman" w:hint="eastAsia"/>
              </w:rPr>
              <w:t xml:space="preserve"> </w:t>
            </w:r>
            <w:r w:rsidRPr="00120B5E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2693" w:type="dxa"/>
            <w:tcBorders>
              <w:top w:val="nil"/>
              <w:bottom w:val="nil"/>
              <w:right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BC:</w:t>
            </w:r>
            <w:r w:rsidRPr="00120B5E">
              <w:rPr>
                <w:rFonts w:ascii="Times New Roman" w:hAnsi="Times New Roman" w:cs="Times New Roman" w:hint="eastAsia"/>
              </w:rPr>
              <w:t xml:space="preserve"> </w:t>
            </w:r>
            <w:r w:rsidRPr="00120B5E">
              <w:rPr>
                <w:rFonts w:ascii="Times New Roman" w:hAnsi="Times New Roman" w:cs="Times New Roman"/>
              </w:rPr>
              <w:t>6.0/ RC:</w:t>
            </w:r>
            <w:r w:rsidRPr="00120B5E">
              <w:rPr>
                <w:rFonts w:ascii="Times New Roman" w:hAnsi="Times New Roman" w:cs="Times New Roman" w:hint="eastAsia"/>
              </w:rPr>
              <w:t xml:space="preserve"> </w:t>
            </w:r>
            <w:r w:rsidRPr="00120B5E">
              <w:rPr>
                <w:rFonts w:ascii="Times New Roman" w:hAnsi="Times New Roman" w:cs="Times New Roman"/>
              </w:rPr>
              <w:t>0.6/ AC:</w:t>
            </w:r>
            <w:r w:rsidRPr="00120B5E">
              <w:rPr>
                <w:rFonts w:ascii="Times New Roman" w:hAnsi="Times New Roman" w:cs="Times New Roman" w:hint="eastAsia"/>
              </w:rPr>
              <w:t xml:space="preserve"> </w:t>
            </w:r>
            <w:r w:rsidRPr="00120B5E">
              <w:rPr>
                <w:rFonts w:ascii="Times New Roman" w:hAnsi="Times New Roman" w:cs="Times New Roman"/>
              </w:rPr>
              <w:t>1.3/ PC:</w:t>
            </w:r>
            <w:r w:rsidRPr="00120B5E">
              <w:rPr>
                <w:rFonts w:ascii="Times New Roman" w:hAnsi="Times New Roman" w:cs="Times New Roman" w:hint="eastAsia"/>
              </w:rPr>
              <w:t xml:space="preserve"> </w:t>
            </w:r>
            <w:r w:rsidRPr="00120B5E">
              <w:rPr>
                <w:rFonts w:ascii="Times New Roman" w:hAnsi="Times New Roman" w:cs="Times New Roman"/>
              </w:rPr>
              <w:t>11.0</w:t>
            </w:r>
          </w:p>
        </w:tc>
      </w:tr>
      <w:tr w:rsidR="00120B5E" w:rsidRPr="00120B5E" w:rsidTr="00EF0A82">
        <w:tc>
          <w:tcPr>
            <w:tcW w:w="3544" w:type="dxa"/>
            <w:tcBorders>
              <w:top w:val="nil"/>
              <w:left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Lens diameter (mm)</w:t>
            </w:r>
          </w:p>
        </w:tc>
        <w:tc>
          <w:tcPr>
            <w:tcW w:w="2694" w:type="dxa"/>
            <w:tcBorders>
              <w:top w:val="nil"/>
              <w:bottom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10.0/10.5/11.0</w:t>
            </w:r>
          </w:p>
        </w:tc>
        <w:tc>
          <w:tcPr>
            <w:tcW w:w="2693" w:type="dxa"/>
            <w:tcBorders>
              <w:top w:val="nil"/>
              <w:bottom w:val="nil"/>
              <w:right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 xml:space="preserve">10.0–11.0 </w:t>
            </w:r>
          </w:p>
        </w:tc>
      </w:tr>
      <w:tr w:rsidR="00D072EA" w:rsidRPr="00120B5E" w:rsidTr="00EF0A82">
        <w:trPr>
          <w:trHeight w:val="63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Central thickness (mm)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  <w:right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120B5E">
              <w:rPr>
                <w:rFonts w:ascii="Times New Roman" w:hAnsi="Times New Roman" w:cs="Times New Roman"/>
              </w:rPr>
              <w:t>0.22</w:t>
            </w:r>
          </w:p>
        </w:tc>
      </w:tr>
    </w:tbl>
    <w:p w:rsidR="0002123B" w:rsidRPr="00120B5E" w:rsidRDefault="0002123B" w:rsidP="00D072EA">
      <w:pPr>
        <w:adjustRightInd w:val="0"/>
        <w:snapToGrid w:val="0"/>
        <w:spacing w:line="360" w:lineRule="auto"/>
        <w:rPr>
          <w:rFonts w:ascii="Times New Roman" w:hAnsi="Times New Roman" w:cs="Times New Roman"/>
          <w:sz w:val="21"/>
          <w:szCs w:val="16"/>
        </w:rPr>
      </w:pPr>
    </w:p>
    <w:p w:rsidR="00D072EA" w:rsidRPr="00120B5E" w:rsidRDefault="0002123B" w:rsidP="00D072EA">
      <w:pPr>
        <w:adjustRightInd w:val="0"/>
        <w:snapToGrid w:val="0"/>
        <w:spacing w:line="360" w:lineRule="auto"/>
        <w:rPr>
          <w:rFonts w:ascii="Arial" w:hAnsi="Arial" w:cs="Arial"/>
        </w:rPr>
      </w:pPr>
      <w:r w:rsidRPr="00120B5E">
        <w:rPr>
          <w:rFonts w:ascii="Times New Roman" w:hAnsi="Times New Roman" w:cs="Times New Roman"/>
          <w:sz w:val="21"/>
          <w:szCs w:val="16"/>
        </w:rPr>
        <w:t>OK</w:t>
      </w:r>
      <w:r w:rsidRPr="00120B5E">
        <w:rPr>
          <w:rFonts w:ascii="Times New Roman" w:hAnsi="Times New Roman" w:cs="Times New Roman" w:hint="eastAsia"/>
          <w:sz w:val="21"/>
          <w:szCs w:val="16"/>
        </w:rPr>
        <w:t xml:space="preserve"> =</w:t>
      </w:r>
      <w:r w:rsidRPr="00120B5E">
        <w:rPr>
          <w:rFonts w:ascii="Times New Roman" w:hAnsi="Times New Roman" w:cs="Times New Roman"/>
          <w:sz w:val="21"/>
          <w:szCs w:val="16"/>
        </w:rPr>
        <w:t xml:space="preserve"> orthokeratology; LZ</w:t>
      </w:r>
      <w:r w:rsidRPr="00120B5E">
        <w:rPr>
          <w:rFonts w:ascii="Times New Roman" w:hAnsi="Times New Roman" w:cs="Times New Roman" w:hint="eastAsia"/>
          <w:sz w:val="21"/>
          <w:szCs w:val="16"/>
        </w:rPr>
        <w:t xml:space="preserve"> =</w:t>
      </w:r>
      <w:r w:rsidRPr="00120B5E">
        <w:rPr>
          <w:rFonts w:ascii="Times New Roman" w:hAnsi="Times New Roman" w:cs="Times New Roman"/>
          <w:sz w:val="21"/>
          <w:szCs w:val="16"/>
        </w:rPr>
        <w:t xml:space="preserve"> landing zone; RZ</w:t>
      </w:r>
      <w:r w:rsidRPr="00120B5E">
        <w:rPr>
          <w:rFonts w:ascii="Times New Roman" w:hAnsi="Times New Roman" w:cs="Times New Roman" w:hint="eastAsia"/>
          <w:sz w:val="21"/>
          <w:szCs w:val="16"/>
        </w:rPr>
        <w:t xml:space="preserve"> =</w:t>
      </w:r>
      <w:r w:rsidRPr="00120B5E">
        <w:rPr>
          <w:rFonts w:ascii="Times New Roman" w:hAnsi="Times New Roman" w:cs="Times New Roman"/>
          <w:sz w:val="21"/>
          <w:szCs w:val="16"/>
        </w:rPr>
        <w:t xml:space="preserve"> reverse zone; OZ</w:t>
      </w:r>
      <w:r w:rsidRPr="00120B5E">
        <w:rPr>
          <w:rFonts w:ascii="Times New Roman" w:hAnsi="Times New Roman" w:cs="Times New Roman" w:hint="eastAsia"/>
          <w:sz w:val="21"/>
          <w:szCs w:val="16"/>
        </w:rPr>
        <w:t xml:space="preserve"> =</w:t>
      </w:r>
      <w:r w:rsidRPr="00120B5E">
        <w:rPr>
          <w:rFonts w:ascii="Times New Roman" w:hAnsi="Times New Roman" w:cs="Times New Roman"/>
          <w:sz w:val="21"/>
          <w:szCs w:val="16"/>
        </w:rPr>
        <w:t xml:space="preserve"> optical zone; BC</w:t>
      </w:r>
      <w:r w:rsidRPr="00120B5E">
        <w:rPr>
          <w:rFonts w:ascii="Times New Roman" w:hAnsi="Times New Roman" w:cs="Times New Roman" w:hint="eastAsia"/>
          <w:sz w:val="21"/>
          <w:szCs w:val="16"/>
        </w:rPr>
        <w:t xml:space="preserve"> =</w:t>
      </w:r>
      <w:r w:rsidRPr="00120B5E">
        <w:rPr>
          <w:rFonts w:ascii="Times New Roman" w:hAnsi="Times New Roman" w:cs="Times New Roman"/>
          <w:sz w:val="21"/>
          <w:szCs w:val="16"/>
        </w:rPr>
        <w:t xml:space="preserve"> base curve; RC</w:t>
      </w:r>
      <w:r w:rsidRPr="00120B5E">
        <w:rPr>
          <w:rFonts w:ascii="Times New Roman" w:hAnsi="Times New Roman" w:cs="Times New Roman" w:hint="eastAsia"/>
          <w:sz w:val="21"/>
          <w:szCs w:val="16"/>
        </w:rPr>
        <w:t xml:space="preserve"> =</w:t>
      </w:r>
      <w:r w:rsidRPr="00120B5E">
        <w:rPr>
          <w:rFonts w:ascii="Times New Roman" w:hAnsi="Times New Roman" w:cs="Times New Roman"/>
          <w:sz w:val="21"/>
          <w:szCs w:val="16"/>
        </w:rPr>
        <w:t xml:space="preserve"> reverse curve; AC</w:t>
      </w:r>
      <w:r w:rsidRPr="00120B5E">
        <w:rPr>
          <w:rFonts w:ascii="Times New Roman" w:hAnsi="Times New Roman" w:cs="Times New Roman" w:hint="eastAsia"/>
          <w:sz w:val="21"/>
          <w:szCs w:val="16"/>
        </w:rPr>
        <w:t xml:space="preserve"> =</w:t>
      </w:r>
      <w:r w:rsidRPr="00120B5E">
        <w:rPr>
          <w:rFonts w:ascii="Times New Roman" w:hAnsi="Times New Roman" w:cs="Times New Roman"/>
          <w:sz w:val="21"/>
          <w:szCs w:val="16"/>
        </w:rPr>
        <w:t xml:space="preserve"> alignment curve; PC</w:t>
      </w:r>
      <w:r w:rsidRPr="00120B5E">
        <w:rPr>
          <w:rFonts w:ascii="Times New Roman" w:hAnsi="Times New Roman" w:cs="Times New Roman" w:hint="eastAsia"/>
          <w:sz w:val="21"/>
          <w:szCs w:val="16"/>
        </w:rPr>
        <w:t xml:space="preserve"> =</w:t>
      </w:r>
      <w:r w:rsidRPr="00120B5E">
        <w:rPr>
          <w:rFonts w:ascii="Times New Roman" w:hAnsi="Times New Roman" w:cs="Times New Roman"/>
          <w:sz w:val="21"/>
          <w:szCs w:val="16"/>
        </w:rPr>
        <w:t xml:space="preserve"> peripheral curve</w:t>
      </w:r>
    </w:p>
    <w:p w:rsidR="00D072EA" w:rsidRPr="00120B5E" w:rsidRDefault="00D072EA" w:rsidP="00D072EA">
      <w:pPr>
        <w:adjustRightInd w:val="0"/>
        <w:snapToGrid w:val="0"/>
        <w:spacing w:line="480" w:lineRule="auto"/>
        <w:rPr>
          <w:rFonts w:ascii="Arial" w:hAnsi="Arial" w:cs="Arial"/>
        </w:rPr>
      </w:pPr>
    </w:p>
    <w:p w:rsidR="00D072EA" w:rsidRPr="00120B5E" w:rsidRDefault="00D072EA" w:rsidP="00D072EA">
      <w:pPr>
        <w:adjustRightInd w:val="0"/>
        <w:snapToGrid w:val="0"/>
        <w:spacing w:line="480" w:lineRule="auto"/>
        <w:rPr>
          <w:rFonts w:ascii="Arial" w:hAnsi="Arial" w:cs="Arial"/>
        </w:rPr>
      </w:pPr>
      <w:r w:rsidRPr="00120B5E">
        <w:rPr>
          <w:rFonts w:ascii="Arial" w:hAnsi="Arial" w:cs="Arial"/>
        </w:rPr>
        <w:br w:type="page"/>
      </w:r>
    </w:p>
    <w:p w:rsidR="00D072EA" w:rsidRPr="00120B5E" w:rsidRDefault="00D072EA" w:rsidP="00D072EA">
      <w:pPr>
        <w:pStyle w:val="NormalWeb"/>
        <w:spacing w:before="0" w:beforeAutospacing="0" w:after="0" w:afterAutospacing="0" w:line="360" w:lineRule="auto"/>
        <w:rPr>
          <w:rFonts w:ascii="Times New Roman" w:hAnsi="Times New Roman" w:cs="Times New Roman"/>
        </w:rPr>
      </w:pPr>
      <w:r w:rsidRPr="00120B5E">
        <w:rPr>
          <w:rFonts w:ascii="Times New Roman" w:hAnsi="Times New Roman" w:cs="Times New Roman"/>
          <w:b/>
          <w:bCs/>
        </w:rPr>
        <w:t xml:space="preserve">Table S2. </w:t>
      </w:r>
      <w:r w:rsidRPr="00120B5E">
        <w:rPr>
          <w:rFonts w:ascii="Times New Roman" w:hAnsi="Times New Roman" w:cs="Times New Roman"/>
        </w:rPr>
        <w:t>Univariable and multivariable analysis of the associations between potential factors and changes in 18-month AL.</w:t>
      </w:r>
    </w:p>
    <w:tbl>
      <w:tblPr>
        <w:tblW w:w="9357" w:type="dxa"/>
        <w:tblInd w:w="-426" w:type="dxa"/>
        <w:tblBorders>
          <w:top w:val="single" w:sz="6" w:space="0" w:color="000000"/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2005"/>
        <w:gridCol w:w="405"/>
        <w:gridCol w:w="1134"/>
        <w:gridCol w:w="2551"/>
        <w:gridCol w:w="993"/>
      </w:tblGrid>
      <w:tr w:rsidR="00120B5E" w:rsidRPr="00120B5E" w:rsidTr="00EF0A82">
        <w:trPr>
          <w:tblHeader/>
        </w:trPr>
        <w:tc>
          <w:tcPr>
            <w:tcW w:w="22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Parameters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Univariable analysis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Multivariable analysis</w:t>
            </w:r>
          </w:p>
        </w:tc>
      </w:tr>
      <w:tr w:rsidR="00120B5E" w:rsidRPr="00120B5E" w:rsidTr="00EF0A82">
        <w:trPr>
          <w:trHeight w:val="252"/>
          <w:tblHeader/>
        </w:trPr>
        <w:tc>
          <w:tcPr>
            <w:tcW w:w="22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Beta (95% CI)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1"/>
              </w:rPr>
              <w:t>P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Beta (95% CI)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1"/>
              </w:rPr>
              <w:t>P</w:t>
            </w:r>
          </w:p>
        </w:tc>
      </w:tr>
      <w:tr w:rsidR="00120B5E" w:rsidRPr="00120B5E" w:rsidTr="00EF0A82"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Age (years)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EF0A8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0.020 (0.017 to 0.023)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&lt; 0.001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*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−0.012 (−0.028 to −0.005)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0.163</w:t>
            </w:r>
          </w:p>
        </w:tc>
      </w:tr>
      <w:tr w:rsidR="00120B5E" w:rsidRPr="00120B5E" w:rsidTr="00EF0A82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Sex (M/F)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EF0A8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0.115 (0.097 to 0.133)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&lt; 0.001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−0.075 (−0.134 to −0.017)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0.012*</w:t>
            </w:r>
          </w:p>
        </w:tc>
      </w:tr>
      <w:tr w:rsidR="00120B5E" w:rsidRPr="00120B5E" w:rsidTr="00EF0A82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SER (D)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EF0A8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−0.081 (−0.094 to −0.067)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&lt; 0.001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−0.001 (−0.032 to 0.030)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0.962</w:t>
            </w:r>
          </w:p>
        </w:tc>
      </w:tr>
      <w:tr w:rsidR="00120B5E" w:rsidRPr="00120B5E" w:rsidTr="00EF0A82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PD (mm)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EF0A8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0.043 (0.037 to 0.049)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&lt; 0.001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0.010 (−0.019 to 0.038)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0.503</w:t>
            </w:r>
          </w:p>
        </w:tc>
      </w:tr>
      <w:tr w:rsidR="00120B5E" w:rsidRPr="00120B5E" w:rsidTr="00EF0A82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Total amount of defocus (D·mm</w:t>
            </w:r>
            <w:r w:rsidRPr="00120B5E">
              <w:rPr>
                <w:rFonts w:ascii="Times New Roman" w:hAnsi="Times New Roman" w:cs="Times New Roman"/>
                <w:sz w:val="20"/>
                <w:szCs w:val="21"/>
                <w:vertAlign w:val="superscript"/>
              </w:rPr>
              <w:t>2</w:t>
            </w: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EF0A8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0.001 (0.001 to 0.002)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&lt; 0.001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0.000 (−0.001 to 0.000)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0.190</w:t>
            </w:r>
          </w:p>
        </w:tc>
      </w:tr>
      <w:tr w:rsidR="00120B5E" w:rsidRPr="00120B5E" w:rsidTr="00EF0A82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Defocus ring width (mm)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EF0A8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0.089 (0.077 to 0.101)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&lt; 0.001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0.076 (−0.006</w:t>
            </w:r>
            <w:r w:rsidRPr="00120B5E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to 0.158)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0.068</w:t>
            </w:r>
          </w:p>
        </w:tc>
      </w:tr>
      <w:tr w:rsidR="00120B5E" w:rsidRPr="00120B5E" w:rsidTr="00EF0A82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Changes in MTF cutoff (c/deg)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EF0A8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−0.009</w:t>
            </w:r>
            <w:r w:rsidRPr="00120B5E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(−0.012 to −0.007)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&lt; 0.001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0.004</w:t>
            </w:r>
            <w:r w:rsidRPr="00120B5E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(0.001 to 0.007)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0.010*</w:t>
            </w:r>
          </w:p>
        </w:tc>
      </w:tr>
      <w:tr w:rsidR="00120B5E" w:rsidRPr="00120B5E" w:rsidTr="00EF0A82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Changes in total SA (μm)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EF0A8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0.334 (0.279 to 0.388)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&lt; 0.001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0.170 (0.058 to 0.281)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0.003*</w:t>
            </w:r>
          </w:p>
        </w:tc>
      </w:tr>
      <w:tr w:rsidR="00120B5E" w:rsidRPr="00120B5E" w:rsidTr="00EF0A82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 xml:space="preserve">Decentration (mm)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EF0A8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0.451</w:t>
            </w:r>
            <w:r w:rsidRPr="00120B5E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(0.381 to 0.522)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&lt; 0.001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−0.014</w:t>
            </w:r>
            <w:r w:rsidRPr="00120B5E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(−0.205 to 0.177)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0.883</w:t>
            </w:r>
          </w:p>
        </w:tc>
      </w:tr>
      <w:tr w:rsidR="00120B5E" w:rsidRPr="00120B5E" w:rsidTr="00EF0A82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TZ area (mm</w:t>
            </w:r>
            <w:r w:rsidRPr="00120B5E">
              <w:rPr>
                <w:rFonts w:ascii="Times New Roman" w:hAnsi="Times New Roman" w:cs="Times New Roman"/>
                <w:sz w:val="20"/>
                <w:szCs w:val="21"/>
                <w:vertAlign w:val="superscript"/>
              </w:rPr>
              <w:t>2</w:t>
            </w: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EF0A8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0.038</w:t>
            </w:r>
            <w:r w:rsidRPr="00120B5E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(0.033 to 0.043)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&lt; 0.001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0.044</w:t>
            </w:r>
            <w:r w:rsidRPr="00120B5E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(0.019 to 0.070)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0.001*</w:t>
            </w:r>
          </w:p>
        </w:tc>
      </w:tr>
      <w:tr w:rsidR="00D072EA" w:rsidRPr="00120B5E" w:rsidTr="00EF0A82"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EF0A8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/>
                <w:sz w:val="20"/>
                <w:szCs w:val="21"/>
              </w:rPr>
              <w:t>Final model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EF0A8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R</w:t>
            </w:r>
            <w:r w:rsidRPr="00120B5E">
              <w:rPr>
                <w:rFonts w:ascii="Times New Roman" w:hAnsi="Times New Roman" w:cs="Times New Roman"/>
                <w:sz w:val="20"/>
                <w:szCs w:val="21"/>
                <w:vertAlign w:val="superscript"/>
              </w:rPr>
              <w:t>2</w:t>
            </w: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=0.710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120B5E">
              <w:rPr>
                <w:rFonts w:ascii="Times New Roman" w:hAnsi="Times New Roman" w:cs="Times New Roman"/>
                <w:i/>
                <w:iCs/>
                <w:sz w:val="20"/>
                <w:szCs w:val="21"/>
              </w:rPr>
              <w:t>P</w:t>
            </w: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&lt; 0.001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072EA" w:rsidRPr="00120B5E" w:rsidRDefault="00D072EA" w:rsidP="001B07A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</w:tbl>
    <w:p w:rsidR="009907D6" w:rsidRPr="00120B5E" w:rsidRDefault="009907D6" w:rsidP="00EF0A82">
      <w:pPr>
        <w:adjustRightInd w:val="0"/>
        <w:snapToGrid w:val="0"/>
        <w:spacing w:line="360" w:lineRule="auto"/>
        <w:ind w:leftChars="-59" w:left="-141" w:rightChars="-142" w:right="-341" w:hanging="1"/>
        <w:rPr>
          <w:rFonts w:ascii="Times New Roman" w:hAnsi="Times New Roman" w:cs="Times New Roman"/>
          <w:sz w:val="20"/>
          <w:szCs w:val="20"/>
        </w:rPr>
      </w:pPr>
    </w:p>
    <w:p w:rsidR="00D072EA" w:rsidRPr="00120B5E" w:rsidRDefault="00EF0A82" w:rsidP="00EF0A82">
      <w:pPr>
        <w:adjustRightInd w:val="0"/>
        <w:snapToGrid w:val="0"/>
        <w:spacing w:line="360" w:lineRule="auto"/>
        <w:ind w:leftChars="-59" w:left="-141" w:rightChars="-142" w:right="-341" w:hanging="1"/>
        <w:rPr>
          <w:rFonts w:ascii="Times New Roman" w:hAnsi="Times New Roman"/>
          <w:sz w:val="22"/>
          <w:szCs w:val="22"/>
        </w:rPr>
      </w:pPr>
      <w:r w:rsidRPr="00120B5E">
        <w:rPr>
          <w:rFonts w:ascii="Times New Roman" w:hAnsi="Times New Roman" w:cs="Times New Roman"/>
          <w:sz w:val="20"/>
          <w:szCs w:val="20"/>
        </w:rPr>
        <w:t>SER</w:t>
      </w:r>
      <w:r w:rsidRPr="00120B5E">
        <w:rPr>
          <w:rFonts w:ascii="Times New Roman" w:hAnsi="Times New Roman" w:cs="Times New Roman" w:hint="eastAsia"/>
          <w:sz w:val="20"/>
          <w:szCs w:val="20"/>
        </w:rPr>
        <w:t xml:space="preserve"> =</w:t>
      </w:r>
      <w:r w:rsidRPr="00120B5E">
        <w:rPr>
          <w:rFonts w:ascii="Times New Roman" w:hAnsi="Times New Roman" w:cs="Times New Roman"/>
          <w:sz w:val="20"/>
          <w:szCs w:val="20"/>
        </w:rPr>
        <w:t xml:space="preserve"> spherical equivalent refraction; PD</w:t>
      </w:r>
      <w:r w:rsidRPr="00120B5E">
        <w:rPr>
          <w:rFonts w:ascii="Times New Roman" w:hAnsi="Times New Roman" w:cs="Times New Roman" w:hint="eastAsia"/>
          <w:sz w:val="20"/>
          <w:szCs w:val="20"/>
        </w:rPr>
        <w:t xml:space="preserve"> =</w:t>
      </w:r>
      <w:r w:rsidRPr="00120B5E">
        <w:rPr>
          <w:rFonts w:ascii="Times New Roman" w:hAnsi="Times New Roman" w:cs="Times New Roman"/>
          <w:sz w:val="20"/>
          <w:szCs w:val="20"/>
        </w:rPr>
        <w:t xml:space="preserve"> pupil diameter; MTF cutoff</w:t>
      </w:r>
      <w:r w:rsidRPr="00120B5E">
        <w:rPr>
          <w:rFonts w:ascii="Times New Roman" w:hAnsi="Times New Roman" w:cs="Times New Roman" w:hint="eastAsia"/>
          <w:sz w:val="20"/>
          <w:szCs w:val="20"/>
        </w:rPr>
        <w:t xml:space="preserve"> =</w:t>
      </w:r>
      <w:r w:rsidRPr="00120B5E">
        <w:rPr>
          <w:rFonts w:ascii="Times New Roman" w:hAnsi="Times New Roman" w:cs="Times New Roman"/>
          <w:sz w:val="20"/>
          <w:szCs w:val="20"/>
        </w:rPr>
        <w:t xml:space="preserve"> modulation transfer function cutoff; SA</w:t>
      </w:r>
      <w:r w:rsidRPr="00120B5E">
        <w:rPr>
          <w:rFonts w:ascii="Times New Roman" w:hAnsi="Times New Roman" w:cs="Times New Roman" w:hint="eastAsia"/>
          <w:sz w:val="20"/>
          <w:szCs w:val="20"/>
        </w:rPr>
        <w:t xml:space="preserve"> =</w:t>
      </w:r>
      <w:r w:rsidRPr="00120B5E">
        <w:rPr>
          <w:rFonts w:ascii="Times New Roman" w:hAnsi="Times New Roman" w:cs="Times New Roman"/>
          <w:sz w:val="20"/>
          <w:szCs w:val="20"/>
        </w:rPr>
        <w:t xml:space="preserve"> spherical aberration; TZ</w:t>
      </w:r>
      <w:r w:rsidRPr="00120B5E">
        <w:rPr>
          <w:rFonts w:ascii="Times New Roman" w:hAnsi="Times New Roman" w:cs="Times New Roman" w:hint="eastAsia"/>
          <w:sz w:val="20"/>
          <w:szCs w:val="20"/>
        </w:rPr>
        <w:t xml:space="preserve"> =</w:t>
      </w:r>
      <w:r w:rsidRPr="00120B5E">
        <w:rPr>
          <w:rFonts w:ascii="Times New Roman" w:hAnsi="Times New Roman" w:cs="Times New Roman"/>
          <w:sz w:val="20"/>
          <w:szCs w:val="20"/>
        </w:rPr>
        <w:t xml:space="preserve"> treatment zone. </w:t>
      </w:r>
      <w:r w:rsidRPr="00120B5E">
        <w:rPr>
          <w:rFonts w:ascii="Times New Roman" w:hAnsi="Times New Roman" w:cs="Times New Roman"/>
          <w:sz w:val="20"/>
        </w:rPr>
        <w:t>*</w:t>
      </w:r>
      <w:r w:rsidRPr="00120B5E">
        <w:rPr>
          <w:rFonts w:ascii="Times New Roman" w:hAnsi="Times New Roman" w:cs="Times New Roman"/>
          <w:i/>
          <w:iCs/>
          <w:sz w:val="20"/>
        </w:rPr>
        <w:t>P</w:t>
      </w:r>
      <w:r w:rsidRPr="00120B5E">
        <w:rPr>
          <w:rFonts w:ascii="Times New Roman" w:hAnsi="Times New Roman" w:cs="Times New Roman"/>
          <w:sz w:val="20"/>
        </w:rPr>
        <w:t xml:space="preserve"> &lt; 0.05 indicates statistical significance.</w:t>
      </w:r>
    </w:p>
    <w:p w:rsidR="00D072EA" w:rsidRPr="00120B5E" w:rsidRDefault="00D072EA" w:rsidP="00EF0A82">
      <w:pPr>
        <w:adjustRightInd w:val="0"/>
        <w:snapToGrid w:val="0"/>
        <w:spacing w:line="360" w:lineRule="auto"/>
        <w:ind w:rightChars="-201" w:right="-482"/>
        <w:rPr>
          <w:rFonts w:ascii="Times New Roman" w:hAnsi="Times New Roman"/>
          <w:sz w:val="22"/>
          <w:szCs w:val="22"/>
        </w:rPr>
      </w:pPr>
      <w:r w:rsidRPr="00120B5E">
        <w:rPr>
          <w:rFonts w:ascii="Times New Roman" w:hAnsi="Times New Roman"/>
          <w:sz w:val="22"/>
          <w:szCs w:val="22"/>
        </w:rPr>
        <w:br w:type="page"/>
      </w:r>
    </w:p>
    <w:p w:rsidR="00D072EA" w:rsidRPr="00120B5E" w:rsidRDefault="00D072EA" w:rsidP="00D072EA">
      <w:pPr>
        <w:rPr>
          <w:rFonts w:ascii="Times New Roman" w:hAnsi="Times New Roman" w:cs="Times New Roman"/>
        </w:rPr>
      </w:pPr>
      <w:r w:rsidRPr="00120B5E">
        <w:rPr>
          <w:rFonts w:ascii="Times New Roman" w:hAnsi="Times New Roman" w:cs="Times New Roman"/>
          <w:b/>
          <w:bCs/>
        </w:rPr>
        <w:t>Table S3.</w:t>
      </w:r>
      <w:r w:rsidRPr="00120B5E">
        <w:rPr>
          <w:rFonts w:ascii="Times New Roman" w:hAnsi="Times New Roman" w:cs="Times New Roman"/>
          <w:sz w:val="28"/>
          <w:szCs w:val="28"/>
        </w:rPr>
        <w:t xml:space="preserve"> </w:t>
      </w:r>
      <w:r w:rsidRPr="00120B5E">
        <w:rPr>
          <w:rFonts w:ascii="Times New Roman" w:hAnsi="Times New Roman" w:cs="Times New Roman"/>
        </w:rPr>
        <w:t>Values of the subjective visual quality questionnaire.</w:t>
      </w:r>
    </w:p>
    <w:tbl>
      <w:tblPr>
        <w:tblStyle w:val="TableGrid"/>
        <w:tblW w:w="8472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701"/>
        <w:gridCol w:w="1134"/>
        <w:gridCol w:w="1384"/>
      </w:tblGrid>
      <w:tr w:rsidR="00120B5E" w:rsidRPr="00120B5E" w:rsidTr="001B07A3">
        <w:trPr>
          <w:trHeight w:val="479"/>
          <w:jc w:val="center"/>
        </w:trPr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textDirection w:val="lrTbV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Parameters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</w:rPr>
              <w:t>STZ group</w:t>
            </w:r>
          </w:p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</w:rPr>
              <w:t xml:space="preserve"> (n=68)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SG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</w:rPr>
              <w:t>CTZ group</w:t>
            </w:r>
          </w:p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</w:rPr>
              <w:t>(n=63)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20B5E">
              <w:rPr>
                <w:rFonts w:ascii="Times New Roman" w:hAnsi="Times New Roman" w:cs="Times New Roman"/>
                <w:b/>
                <w:bCs/>
                <w:sz w:val="20"/>
              </w:rPr>
              <w:t>t</w:t>
            </w:r>
            <w:r w:rsidRPr="00120B5E">
              <w:rPr>
                <w:rFonts w:ascii="Times New Roman" w:hAnsi="Times New Roman" w:cs="Times New Roman" w:hint="eastAsia"/>
                <w:b/>
                <w:bCs/>
                <w:sz w:val="20"/>
              </w:rPr>
              <w:t xml:space="preserve"> 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</w:rPr>
              <w:t>value</w:t>
            </w:r>
          </w:p>
        </w:tc>
        <w:tc>
          <w:tcPr>
            <w:tcW w:w="1384" w:type="dxa"/>
            <w:tcBorders>
              <w:left w:val="nil"/>
              <w:bottom w:val="single" w:sz="4" w:space="0" w:color="auto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 w:rsidRPr="00120B5E"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P</w:t>
            </w:r>
            <w:r w:rsidRPr="00120B5E">
              <w:rPr>
                <w:rFonts w:ascii="Times New Roman" w:hAnsi="Times New Roman" w:cs="Times New Roman" w:hint="eastAsia"/>
                <w:b/>
                <w:bCs/>
                <w:sz w:val="20"/>
              </w:rPr>
              <w:t xml:space="preserve"> </w:t>
            </w:r>
            <w:r w:rsidRPr="00120B5E">
              <w:rPr>
                <w:rFonts w:ascii="Times New Roman" w:hAnsi="Times New Roman" w:cs="Times New Roman"/>
                <w:b/>
                <w:bCs/>
                <w:sz w:val="20"/>
              </w:rPr>
              <w:t>value</w:t>
            </w:r>
          </w:p>
        </w:tc>
      </w:tr>
      <w:tr w:rsidR="00120B5E" w:rsidRPr="00120B5E" w:rsidTr="001B07A3">
        <w:trPr>
          <w:trHeight w:val="479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0B5E">
              <w:rPr>
                <w:rFonts w:ascii="Times New Roman" w:hAnsi="Times New Roman" w:cs="Times New Roman"/>
                <w:bCs/>
                <w:sz w:val="18"/>
                <w:szCs w:val="18"/>
              </w:rPr>
              <w:t>Near vision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4.79 ± 0.44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4.71 ± 0.26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1.225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0.184</w:t>
            </w:r>
          </w:p>
        </w:tc>
      </w:tr>
      <w:tr w:rsidR="00120B5E" w:rsidRPr="00120B5E" w:rsidTr="001B07A3">
        <w:trPr>
          <w:trHeight w:val="479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0B5E">
              <w:rPr>
                <w:rFonts w:ascii="Times New Roman" w:hAnsi="Times New Roman" w:cs="Times New Roman"/>
                <w:bCs/>
                <w:sz w:val="18"/>
                <w:szCs w:val="18"/>
              </w:rPr>
              <w:t>Far vision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4.44 ± 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4.49 ± 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9907D6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−</w:t>
            </w:r>
            <w:r w:rsidR="00D072EA" w:rsidRPr="00120B5E">
              <w:rPr>
                <w:rFonts w:ascii="Times New Roman" w:hAnsi="Times New Roman" w:cs="Times New Roman"/>
                <w:sz w:val="20"/>
              </w:rPr>
              <w:t>1.719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0.089</w:t>
            </w:r>
          </w:p>
        </w:tc>
      </w:tr>
      <w:tr w:rsidR="00120B5E" w:rsidRPr="00120B5E" w:rsidTr="001B07A3">
        <w:trPr>
          <w:trHeight w:val="479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0B5E">
              <w:rPr>
                <w:rFonts w:ascii="Times New Roman" w:hAnsi="Times New Roman" w:cs="Times New Roman"/>
                <w:bCs/>
                <w:sz w:val="18"/>
                <w:szCs w:val="18"/>
              </w:rPr>
              <w:t>Vision stability at near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4.88 ± 0.32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4.89 ± 0.33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9907D6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−</w:t>
            </w:r>
            <w:r w:rsidR="00D072EA" w:rsidRPr="00120B5E">
              <w:rPr>
                <w:rFonts w:ascii="Times New Roman" w:hAnsi="Times New Roman" w:cs="Times New Roman"/>
                <w:sz w:val="20"/>
              </w:rPr>
              <w:t>0.298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0.767</w:t>
            </w:r>
          </w:p>
        </w:tc>
      </w:tr>
      <w:tr w:rsidR="00120B5E" w:rsidRPr="00120B5E" w:rsidTr="001B07A3">
        <w:trPr>
          <w:trHeight w:val="479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0B5E">
              <w:rPr>
                <w:rFonts w:ascii="Times New Roman" w:hAnsi="Times New Roman" w:cs="Times New Roman"/>
                <w:bCs/>
                <w:sz w:val="18"/>
                <w:szCs w:val="18"/>
              </w:rPr>
              <w:t>Vision stability at distance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4.88 ± 0.40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4.87 ± 0.38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0.081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0.935</w:t>
            </w:r>
          </w:p>
        </w:tc>
      </w:tr>
      <w:tr w:rsidR="00120B5E" w:rsidRPr="00120B5E" w:rsidTr="001B07A3">
        <w:trPr>
          <w:trHeight w:val="481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0B5E">
              <w:rPr>
                <w:rFonts w:ascii="Times New Roman" w:hAnsi="Times New Roman" w:cs="Times New Roman"/>
                <w:bCs/>
                <w:sz w:val="18"/>
                <w:szCs w:val="18"/>
              </w:rPr>
              <w:t>Glare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4.44 ± 0.33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4.44 ± 0.40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9907D6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−</w:t>
            </w:r>
            <w:r w:rsidR="00D072EA" w:rsidRPr="00120B5E">
              <w:rPr>
                <w:rFonts w:ascii="Times New Roman" w:hAnsi="Times New Roman" w:cs="Times New Roman"/>
                <w:sz w:val="20"/>
              </w:rPr>
              <w:t>0.074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0.941</w:t>
            </w:r>
          </w:p>
        </w:tc>
      </w:tr>
      <w:tr w:rsidR="00120B5E" w:rsidRPr="00120B5E" w:rsidTr="001B07A3">
        <w:trPr>
          <w:trHeight w:val="481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spacing w:line="276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0B5E">
              <w:rPr>
                <w:rFonts w:ascii="Times New Roman" w:hAnsi="Times New Roman" w:cs="Times New Roman"/>
                <w:bCs/>
                <w:sz w:val="18"/>
                <w:szCs w:val="18"/>
              </w:rPr>
              <w:t>Satisfaction with correction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4.36 ± 0.37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4.44 ± 0.27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9907D6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−</w:t>
            </w:r>
            <w:r w:rsidR="00D072EA" w:rsidRPr="00120B5E">
              <w:rPr>
                <w:rFonts w:ascii="Times New Roman" w:hAnsi="Times New Roman" w:cs="Times New Roman"/>
                <w:sz w:val="20"/>
              </w:rPr>
              <w:t>1.360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0.176</w:t>
            </w:r>
          </w:p>
        </w:tc>
      </w:tr>
      <w:tr w:rsidR="00D072EA" w:rsidRPr="00120B5E" w:rsidTr="001B07A3">
        <w:trPr>
          <w:trHeight w:val="479"/>
          <w:jc w:val="center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0B5E">
              <w:rPr>
                <w:rFonts w:ascii="Times New Roman" w:hAnsi="Times New Roman" w:cs="Times New Roman"/>
                <w:bCs/>
                <w:sz w:val="18"/>
                <w:szCs w:val="18"/>
              </w:rPr>
              <w:t>Overall score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27.78 ± 0.91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27.89 ± 0.80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center"/>
          </w:tcPr>
          <w:p w:rsidR="00D072EA" w:rsidRPr="00120B5E" w:rsidRDefault="009907D6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  <w:szCs w:val="21"/>
              </w:rPr>
              <w:t>−</w:t>
            </w:r>
            <w:r w:rsidR="00D072EA" w:rsidRPr="00120B5E">
              <w:rPr>
                <w:rFonts w:ascii="Times New Roman" w:hAnsi="Times New Roman" w:cs="Times New Roman"/>
                <w:sz w:val="20"/>
              </w:rPr>
              <w:t>0.432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center"/>
          </w:tcPr>
          <w:p w:rsidR="00D072EA" w:rsidRPr="00120B5E" w:rsidRDefault="00D072EA" w:rsidP="001B07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20B5E">
              <w:rPr>
                <w:rFonts w:ascii="Times New Roman" w:hAnsi="Times New Roman" w:cs="Times New Roman"/>
                <w:sz w:val="20"/>
              </w:rPr>
              <w:t>0.666</w:t>
            </w:r>
          </w:p>
        </w:tc>
      </w:tr>
    </w:tbl>
    <w:p w:rsidR="009907D6" w:rsidRPr="00120B5E" w:rsidRDefault="009907D6" w:rsidP="00D072EA">
      <w:pPr>
        <w:adjustRightInd w:val="0"/>
        <w:snapToGrid w:val="0"/>
        <w:spacing w:line="360" w:lineRule="auto"/>
        <w:rPr>
          <w:rFonts w:ascii="Times New Roman" w:hAnsi="Times New Roman"/>
          <w:sz w:val="22"/>
          <w:szCs w:val="22"/>
        </w:rPr>
      </w:pPr>
    </w:p>
    <w:p w:rsidR="00D072EA" w:rsidRPr="00120B5E" w:rsidRDefault="009907D6" w:rsidP="00D072EA">
      <w:pPr>
        <w:adjustRightInd w:val="0"/>
        <w:snapToGrid w:val="0"/>
        <w:spacing w:line="360" w:lineRule="auto"/>
        <w:rPr>
          <w:rFonts w:ascii="Times New Roman" w:hAnsi="Times New Roman"/>
          <w:sz w:val="22"/>
          <w:szCs w:val="22"/>
        </w:rPr>
        <w:sectPr w:rsidR="00D072EA" w:rsidRPr="00120B5E" w:rsidSect="00120B5E">
          <w:footerReference w:type="even" r:id="rId6"/>
          <w:footerReference w:type="default" r:id="rId7"/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  <w:r w:rsidRPr="00120B5E">
        <w:rPr>
          <w:rFonts w:ascii="Times New Roman" w:hAnsi="Times New Roman" w:cs="Times New Roman"/>
          <w:sz w:val="20"/>
        </w:rPr>
        <w:t>STZ group</w:t>
      </w:r>
      <w:r w:rsidRPr="00120B5E">
        <w:rPr>
          <w:rFonts w:ascii="Times New Roman" w:hAnsi="Times New Roman" w:cs="Times New Roman" w:hint="eastAsia"/>
          <w:sz w:val="20"/>
        </w:rPr>
        <w:t xml:space="preserve"> =</w:t>
      </w:r>
      <w:r w:rsidRPr="00120B5E">
        <w:rPr>
          <w:rFonts w:ascii="Times New Roman" w:hAnsi="Times New Roman" w:cs="Times New Roman"/>
          <w:sz w:val="20"/>
        </w:rPr>
        <w:t xml:space="preserve"> small treatment zone group; CTZ group</w:t>
      </w:r>
      <w:r w:rsidRPr="00120B5E">
        <w:rPr>
          <w:rFonts w:ascii="Times New Roman" w:hAnsi="Times New Roman" w:cs="Times New Roman" w:hint="eastAsia"/>
          <w:sz w:val="20"/>
        </w:rPr>
        <w:t xml:space="preserve"> =</w:t>
      </w:r>
      <w:r w:rsidRPr="00120B5E">
        <w:rPr>
          <w:rFonts w:ascii="Times New Roman" w:hAnsi="Times New Roman" w:cs="Times New Roman"/>
          <w:sz w:val="20"/>
        </w:rPr>
        <w:t xml:space="preserve"> conventional treatment zone group; Normally distributed data were expressed as mean ± standard deviation. *</w:t>
      </w:r>
      <w:r w:rsidRPr="00120B5E">
        <w:rPr>
          <w:rFonts w:ascii="Times New Roman" w:hAnsi="Times New Roman" w:cs="Times New Roman"/>
          <w:i/>
          <w:iCs/>
          <w:sz w:val="20"/>
        </w:rPr>
        <w:t>P</w:t>
      </w:r>
      <w:r w:rsidRPr="00120B5E">
        <w:rPr>
          <w:rFonts w:ascii="Times New Roman" w:hAnsi="Times New Roman" w:cs="Times New Roman"/>
          <w:sz w:val="20"/>
        </w:rPr>
        <w:t xml:space="preserve"> &lt; 0.05 indicates statistical significance.</w:t>
      </w:r>
    </w:p>
    <w:p w:rsidR="00D072EA" w:rsidRPr="00120B5E" w:rsidRDefault="00D072EA" w:rsidP="00D072EA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</w:rPr>
      </w:pPr>
      <w:r w:rsidRPr="00120B5E">
        <w:rPr>
          <w:rFonts w:ascii="Times New Roman" w:hAnsi="Times New Roman" w:cs="Times New Roman"/>
          <w:b/>
          <w:bCs/>
        </w:rPr>
        <w:t xml:space="preserve">Figure S1. </w:t>
      </w:r>
      <w:r w:rsidRPr="00120B5E">
        <w:rPr>
          <w:rFonts w:ascii="Times New Roman" w:hAnsi="Times New Roman" w:cs="Times New Roman"/>
        </w:rPr>
        <w:t>Comparison of corneal topography between the STZ group and the CTZ group.</w:t>
      </w:r>
      <w:r w:rsidRPr="00120B5E">
        <w:rPr>
          <w:rFonts w:ascii="Times New Roman" w:hAnsi="Times New Roman" w:cs="Times New Roman"/>
          <w:b/>
          <w:bCs/>
        </w:rPr>
        <w:t xml:space="preserve"> a</w:t>
      </w:r>
      <w:r w:rsidRPr="00120B5E">
        <w:rPr>
          <w:rFonts w:ascii="Times New Roman" w:hAnsi="Times New Roman" w:cs="Times New Roman"/>
        </w:rPr>
        <w:t xml:space="preserve"> Corneal topographic map of a patient in the small treatment zone (STZ) group; </w:t>
      </w:r>
      <w:r w:rsidRPr="00120B5E">
        <w:rPr>
          <w:rFonts w:ascii="Times New Roman" w:hAnsi="Times New Roman" w:cs="Times New Roman"/>
          <w:b/>
          <w:bCs/>
        </w:rPr>
        <w:t>b</w:t>
      </w:r>
      <w:r w:rsidRPr="00120B5E">
        <w:rPr>
          <w:rFonts w:ascii="Times New Roman" w:hAnsi="Times New Roman" w:cs="Times New Roman"/>
        </w:rPr>
        <w:t xml:space="preserve"> Corneal topographic map of a patient in the conventional treatment zone (CTZ) group.</w:t>
      </w:r>
    </w:p>
    <w:p w:rsidR="00D072EA" w:rsidRPr="00120B5E" w:rsidRDefault="00D072EA" w:rsidP="00D072EA">
      <w:pPr>
        <w:adjustRightInd w:val="0"/>
        <w:snapToGrid w:val="0"/>
        <w:spacing w:line="480" w:lineRule="auto"/>
        <w:rPr>
          <w:rFonts w:ascii="Arial" w:hAnsi="Arial" w:cs="Arial"/>
        </w:rPr>
      </w:pPr>
      <w:r w:rsidRPr="00120B5E">
        <w:rPr>
          <w:rFonts w:ascii="Arial" w:hAnsi="Arial" w:cs="Arial"/>
          <w:noProof/>
          <w:lang w:val="en-IN" w:eastAsia="en-IN"/>
        </w:rPr>
        <w:drawing>
          <wp:inline distT="0" distB="0" distL="0" distR="0" wp14:anchorId="3A37BB1C" wp14:editId="0711FB17">
            <wp:extent cx="7365442" cy="3442269"/>
            <wp:effectExtent l="0" t="0" r="635" b="0"/>
            <wp:docPr id="12646643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664320" name="图片 126466432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1133" cy="34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0B5E">
        <w:rPr>
          <w:rFonts w:ascii="Arial" w:hAnsi="Arial" w:cs="Arial"/>
        </w:rPr>
        <w:br w:type="page"/>
      </w:r>
    </w:p>
    <w:p w:rsidR="00D072EA" w:rsidRPr="00120B5E" w:rsidRDefault="00D072EA" w:rsidP="00D072EA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 w:rsidRPr="00120B5E">
        <w:rPr>
          <w:rFonts w:ascii="Times New Roman" w:hAnsi="Times New Roman" w:cs="Times New Roman"/>
          <w:b/>
          <w:bCs/>
        </w:rPr>
        <w:t xml:space="preserve">Figure S2. </w:t>
      </w:r>
      <w:r w:rsidRPr="00120B5E">
        <w:rPr>
          <w:rFonts w:ascii="Times New Roman" w:hAnsi="Times New Roman" w:cs="Times New Roman"/>
        </w:rPr>
        <w:t>Comparison of OQAS parameters at baseline and 1-month of orthokeratology treatment in two groups.</w:t>
      </w:r>
      <w:r w:rsidRPr="00120B5E">
        <w:rPr>
          <w:rFonts w:ascii="Times New Roman" w:hAnsi="Times New Roman" w:cs="Times New Roman"/>
          <w:b/>
          <w:bCs/>
        </w:rPr>
        <w:t xml:space="preserve"> a</w:t>
      </w:r>
      <w:r w:rsidRPr="00120B5E">
        <w:rPr>
          <w:rFonts w:ascii="Times New Roman" w:hAnsi="Times New Roman" w:cs="Times New Roman"/>
        </w:rPr>
        <w:t xml:space="preserve"> Modulation transfer function </w:t>
      </w:r>
      <w:r w:rsidRPr="00120B5E">
        <w:rPr>
          <w:rFonts w:ascii="Times New Roman" w:hAnsi="Times New Roman" w:cs="Times New Roman" w:hint="eastAsia"/>
        </w:rPr>
        <w:t>(</w:t>
      </w:r>
      <w:r w:rsidRPr="00120B5E">
        <w:rPr>
          <w:rFonts w:ascii="Times New Roman" w:hAnsi="Times New Roman" w:cs="Times New Roman"/>
        </w:rPr>
        <w:t>MTF</w:t>
      </w:r>
      <w:r w:rsidRPr="00120B5E">
        <w:rPr>
          <w:rFonts w:ascii="Times New Roman" w:hAnsi="Times New Roman" w:cs="Times New Roman" w:hint="eastAsia"/>
        </w:rPr>
        <w:t>)</w:t>
      </w:r>
      <w:r w:rsidRPr="00120B5E">
        <w:rPr>
          <w:rFonts w:ascii="Times New Roman" w:hAnsi="Times New Roman" w:cs="Times New Roman"/>
        </w:rPr>
        <w:t xml:space="preserve"> cutoff; </w:t>
      </w:r>
      <w:r w:rsidRPr="00120B5E">
        <w:rPr>
          <w:rFonts w:ascii="Times New Roman" w:hAnsi="Times New Roman" w:cs="Times New Roman"/>
          <w:b/>
          <w:bCs/>
        </w:rPr>
        <w:t>b</w:t>
      </w:r>
      <w:r w:rsidRPr="00120B5E">
        <w:rPr>
          <w:rFonts w:ascii="Times New Roman" w:hAnsi="Times New Roman" w:cs="Times New Roman"/>
        </w:rPr>
        <w:t xml:space="preserve"> </w:t>
      </w:r>
      <w:r w:rsidRPr="00120B5E">
        <w:rPr>
          <w:rFonts w:ascii="Times New Roman" w:hAnsi="Times New Roman" w:cs="Times New Roman"/>
          <w:sz w:val="22"/>
          <w:szCs w:val="22"/>
        </w:rPr>
        <w:t>Strehl ratio</w:t>
      </w:r>
      <w:r w:rsidRPr="00120B5E">
        <w:rPr>
          <w:rFonts w:ascii="Times New Roman" w:hAnsi="Times New Roman" w:cs="Times New Roman"/>
        </w:rPr>
        <w:t xml:space="preserve">; </w:t>
      </w:r>
      <w:r w:rsidRPr="00120B5E">
        <w:rPr>
          <w:rFonts w:ascii="Times New Roman" w:hAnsi="Times New Roman" w:cs="Times New Roman"/>
          <w:b/>
          <w:bCs/>
        </w:rPr>
        <w:t>c</w:t>
      </w:r>
      <w:r w:rsidRPr="00120B5E">
        <w:rPr>
          <w:rFonts w:ascii="Times New Roman" w:hAnsi="Times New Roman" w:cs="Times New Roman"/>
        </w:rPr>
        <w:t xml:space="preserve"> </w:t>
      </w:r>
      <w:r w:rsidRPr="00120B5E">
        <w:rPr>
          <w:rFonts w:ascii="Times New Roman" w:hAnsi="Times New Roman" w:cs="Times New Roman"/>
          <w:sz w:val="22"/>
          <w:szCs w:val="22"/>
        </w:rPr>
        <w:t>Objective scatter index</w:t>
      </w:r>
      <w:r w:rsidRPr="00120B5E">
        <w:rPr>
          <w:rFonts w:ascii="Times New Roman" w:hAnsi="Times New Roman" w:cs="Times New Roman" w:hint="eastAsia"/>
        </w:rPr>
        <w:t xml:space="preserve">. </w:t>
      </w:r>
      <w:r w:rsidRPr="00120B5E">
        <w:rPr>
          <w:rFonts w:ascii="Times New Roman" w:hAnsi="Times New Roman" w:cs="Times New Roman"/>
        </w:rPr>
        <w:t>STZ, small treatment zone; CTZ,</w:t>
      </w:r>
      <w:r w:rsidRPr="00120B5E">
        <w:rPr>
          <w:rFonts w:ascii="Times New Roman" w:hAnsi="Times New Roman" w:cs="Times New Roman" w:hint="eastAsia"/>
        </w:rPr>
        <w:t xml:space="preserve"> </w:t>
      </w:r>
      <w:r w:rsidRPr="00120B5E">
        <w:rPr>
          <w:rFonts w:ascii="Times New Roman" w:hAnsi="Times New Roman" w:cs="Times New Roman"/>
        </w:rPr>
        <w:t xml:space="preserve">conventional treatment zone </w:t>
      </w:r>
    </w:p>
    <w:p w:rsidR="00D072EA" w:rsidRPr="00120B5E" w:rsidRDefault="00D072EA" w:rsidP="00D072EA">
      <w:pPr>
        <w:adjustRightInd w:val="0"/>
        <w:snapToGrid w:val="0"/>
        <w:spacing w:line="480" w:lineRule="auto"/>
        <w:rPr>
          <w:rFonts w:ascii="Arial" w:hAnsi="Arial" w:cs="Arial"/>
        </w:rPr>
      </w:pPr>
      <w:r w:rsidRPr="00120B5E">
        <w:rPr>
          <w:rFonts w:ascii="Arial" w:hAnsi="Arial" w:cs="Arial"/>
          <w:noProof/>
          <w:lang w:val="en-IN" w:eastAsia="en-IN"/>
        </w:rPr>
        <w:drawing>
          <wp:inline distT="0" distB="0" distL="0" distR="0" wp14:anchorId="57DA53A2" wp14:editId="6DC7431E">
            <wp:extent cx="8169310" cy="2884472"/>
            <wp:effectExtent l="0" t="0" r="0" b="0"/>
            <wp:docPr id="20798938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893817" name="图片 207989381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6309" cy="289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2EA" w:rsidRPr="00120B5E" w:rsidRDefault="00D072EA" w:rsidP="00D072EA">
      <w:pPr>
        <w:adjustRightInd w:val="0"/>
        <w:snapToGrid w:val="0"/>
        <w:spacing w:line="480" w:lineRule="auto"/>
        <w:rPr>
          <w:rFonts w:ascii="Arial" w:hAnsi="Arial" w:cs="Arial"/>
        </w:rPr>
      </w:pPr>
      <w:r w:rsidRPr="00120B5E">
        <w:rPr>
          <w:rFonts w:ascii="Arial" w:hAnsi="Arial" w:cs="Arial"/>
        </w:rPr>
        <w:br w:type="page"/>
      </w:r>
    </w:p>
    <w:p w:rsidR="00D072EA" w:rsidRPr="00120B5E" w:rsidRDefault="00D072EA" w:rsidP="00D072EA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</w:rPr>
      </w:pPr>
      <w:r w:rsidRPr="00120B5E">
        <w:rPr>
          <w:rFonts w:ascii="Times New Roman" w:hAnsi="Times New Roman" w:cs="Times New Roman"/>
          <w:b/>
          <w:bCs/>
        </w:rPr>
        <w:t xml:space="preserve">Figure S3. </w:t>
      </w:r>
      <w:r w:rsidRPr="00120B5E">
        <w:rPr>
          <w:rFonts w:ascii="Times New Roman" w:hAnsi="Times New Roman" w:cs="Times New Roman"/>
        </w:rPr>
        <w:t>Changes in modulation transfer function at baseline and 1-month of orthokeratology</w:t>
      </w:r>
      <w:r w:rsidRPr="00120B5E" w:rsidDel="00EA41C3">
        <w:rPr>
          <w:rFonts w:ascii="Times New Roman" w:hAnsi="Times New Roman" w:cs="Times New Roman"/>
        </w:rPr>
        <w:t xml:space="preserve"> </w:t>
      </w:r>
      <w:r w:rsidRPr="00120B5E">
        <w:rPr>
          <w:rFonts w:ascii="Times New Roman" w:hAnsi="Times New Roman" w:cs="Times New Roman"/>
        </w:rPr>
        <w:t>treatment between two groups.</w:t>
      </w:r>
      <w:r w:rsidRPr="00120B5E">
        <w:rPr>
          <w:rFonts w:ascii="Times New Roman" w:hAnsi="Times New Roman" w:cs="Times New Roman" w:hint="eastAsia"/>
        </w:rPr>
        <w:t xml:space="preserve"> MTF, m</w:t>
      </w:r>
      <w:r w:rsidRPr="00120B5E">
        <w:rPr>
          <w:rFonts w:ascii="Times New Roman" w:hAnsi="Times New Roman" w:cs="Times New Roman"/>
        </w:rPr>
        <w:t xml:space="preserve">odulation transfer function; </w:t>
      </w:r>
      <w:r w:rsidRPr="00120B5E">
        <w:rPr>
          <w:rFonts w:ascii="Times New Roman" w:hAnsi="Times New Roman" w:cs="Times New Roman" w:hint="eastAsia"/>
        </w:rPr>
        <w:t xml:space="preserve">STZ, </w:t>
      </w:r>
      <w:r w:rsidRPr="00120B5E">
        <w:rPr>
          <w:rFonts w:ascii="Times New Roman" w:hAnsi="Times New Roman" w:cs="Times New Roman"/>
        </w:rPr>
        <w:t>small treatment zone</w:t>
      </w:r>
      <w:r w:rsidRPr="00120B5E">
        <w:rPr>
          <w:rFonts w:ascii="Times New Roman" w:hAnsi="Times New Roman" w:cs="Times New Roman" w:hint="eastAsia"/>
        </w:rPr>
        <w:t xml:space="preserve">; CTZ, </w:t>
      </w:r>
      <w:r w:rsidRPr="00120B5E">
        <w:rPr>
          <w:rFonts w:ascii="Times New Roman" w:hAnsi="Times New Roman" w:cs="Times New Roman"/>
        </w:rPr>
        <w:t>conventional treatment zone</w:t>
      </w:r>
    </w:p>
    <w:p w:rsidR="00D072EA" w:rsidRPr="00120B5E" w:rsidRDefault="00D072EA" w:rsidP="00D072EA"/>
    <w:p w:rsidR="00CE39C0" w:rsidRPr="00120B5E" w:rsidRDefault="00D072EA" w:rsidP="00D072EA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120B5E">
        <w:rPr>
          <w:noProof/>
          <w:lang w:val="en-IN" w:eastAsia="en-IN"/>
        </w:rPr>
        <w:drawing>
          <wp:inline distT="0" distB="0" distL="0" distR="0" wp14:anchorId="1066CADD" wp14:editId="52814897">
            <wp:extent cx="6803571" cy="4200808"/>
            <wp:effectExtent l="0" t="0" r="0" b="9525"/>
            <wp:docPr id="155716434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835" cy="420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39C0" w:rsidRPr="00120B5E" w:rsidSect="00120B5E">
      <w:type w:val="continuous"/>
      <w:pgSz w:w="16838" w:h="11906" w:orient="landscape"/>
      <w:pgMar w:top="1797" w:right="1440" w:bottom="1797" w:left="1440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E63" w:rsidRDefault="001D1E63">
      <w:r>
        <w:separator/>
      </w:r>
    </w:p>
  </w:endnote>
  <w:endnote w:type="continuationSeparator" w:id="0">
    <w:p w:rsidR="001D1E63" w:rsidRDefault="001D1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6216500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57AAF" w:rsidRDefault="001D1E63" w:rsidP="00DE4526">
        <w:pPr>
          <w:pStyle w:val="Footer"/>
          <w:framePr w:w="1440" w:hSpace="900" w:wrap="none" w:vAnchor="text" w:hAnchor="margin" w:xAlign="center" w:y="1"/>
          <w:textDirection w:val="btL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57AAF" w:rsidRDefault="00A57A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831016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57AAF" w:rsidRDefault="001D1E63" w:rsidP="0076576F">
        <w:pPr>
          <w:pStyle w:val="Footer"/>
          <w:framePr w:w="428" w:h="305" w:hRule="exact" w:hSpace="900" w:wrap="none" w:vAnchor="text" w:hAnchor="page" w:x="6010" w:y="-24"/>
          <w:jc w:val="both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907D6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:rsidR="00A57AAF" w:rsidRDefault="00A57A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E63" w:rsidRDefault="001D1E63">
      <w:r>
        <w:separator/>
      </w:r>
    </w:p>
  </w:footnote>
  <w:footnote w:type="continuationSeparator" w:id="0">
    <w:p w:rsidR="001D1E63" w:rsidRDefault="001D1E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2EA"/>
    <w:rsid w:val="0002123B"/>
    <w:rsid w:val="0003086C"/>
    <w:rsid w:val="00031895"/>
    <w:rsid w:val="0007414F"/>
    <w:rsid w:val="000E2E08"/>
    <w:rsid w:val="00120B5E"/>
    <w:rsid w:val="00122BE8"/>
    <w:rsid w:val="001334CE"/>
    <w:rsid w:val="00163E50"/>
    <w:rsid w:val="00173EA1"/>
    <w:rsid w:val="001D1E63"/>
    <w:rsid w:val="001D58B0"/>
    <w:rsid w:val="001D7050"/>
    <w:rsid w:val="001E184B"/>
    <w:rsid w:val="001E528F"/>
    <w:rsid w:val="002C6348"/>
    <w:rsid w:val="002D4397"/>
    <w:rsid w:val="002E3140"/>
    <w:rsid w:val="00356807"/>
    <w:rsid w:val="003902BA"/>
    <w:rsid w:val="003A1949"/>
    <w:rsid w:val="003A278B"/>
    <w:rsid w:val="00401FF4"/>
    <w:rsid w:val="00435B11"/>
    <w:rsid w:val="0044285A"/>
    <w:rsid w:val="004B513C"/>
    <w:rsid w:val="00585BDD"/>
    <w:rsid w:val="005928FD"/>
    <w:rsid w:val="00650249"/>
    <w:rsid w:val="006A43C0"/>
    <w:rsid w:val="006B6CA8"/>
    <w:rsid w:val="006E0274"/>
    <w:rsid w:val="00763625"/>
    <w:rsid w:val="00796BF4"/>
    <w:rsid w:val="007C0751"/>
    <w:rsid w:val="007D7415"/>
    <w:rsid w:val="007E28D6"/>
    <w:rsid w:val="00801437"/>
    <w:rsid w:val="00816EA7"/>
    <w:rsid w:val="00887AA1"/>
    <w:rsid w:val="008A453E"/>
    <w:rsid w:val="008B06C6"/>
    <w:rsid w:val="008C3859"/>
    <w:rsid w:val="008C3F17"/>
    <w:rsid w:val="008E4981"/>
    <w:rsid w:val="008F5869"/>
    <w:rsid w:val="009022BE"/>
    <w:rsid w:val="00927034"/>
    <w:rsid w:val="00931CD7"/>
    <w:rsid w:val="00953CF9"/>
    <w:rsid w:val="00977677"/>
    <w:rsid w:val="00986E9B"/>
    <w:rsid w:val="009907D6"/>
    <w:rsid w:val="00990883"/>
    <w:rsid w:val="009B56BA"/>
    <w:rsid w:val="00A132CE"/>
    <w:rsid w:val="00A54B39"/>
    <w:rsid w:val="00A57AAF"/>
    <w:rsid w:val="00A76E65"/>
    <w:rsid w:val="00AA3310"/>
    <w:rsid w:val="00AC482E"/>
    <w:rsid w:val="00AC77E4"/>
    <w:rsid w:val="00AE131B"/>
    <w:rsid w:val="00B54A37"/>
    <w:rsid w:val="00B759D6"/>
    <w:rsid w:val="00BC7179"/>
    <w:rsid w:val="00BF2388"/>
    <w:rsid w:val="00C269DB"/>
    <w:rsid w:val="00C403A1"/>
    <w:rsid w:val="00C61931"/>
    <w:rsid w:val="00C9539A"/>
    <w:rsid w:val="00CA0F61"/>
    <w:rsid w:val="00CC343D"/>
    <w:rsid w:val="00CE39C0"/>
    <w:rsid w:val="00D072EA"/>
    <w:rsid w:val="00DA51C5"/>
    <w:rsid w:val="00DA7E4A"/>
    <w:rsid w:val="00E37D2D"/>
    <w:rsid w:val="00E4451E"/>
    <w:rsid w:val="00E528D9"/>
    <w:rsid w:val="00E57DC2"/>
    <w:rsid w:val="00E65B92"/>
    <w:rsid w:val="00E672EF"/>
    <w:rsid w:val="00EC0EDB"/>
    <w:rsid w:val="00EF0A82"/>
    <w:rsid w:val="00EF4862"/>
    <w:rsid w:val="00F474CA"/>
    <w:rsid w:val="00F7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C445D972-93D7-4940-91D1-8CC3443F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2EA"/>
    <w:rPr>
      <w:rFonts w:ascii="SimSun" w:eastAsia="SimSun" w:hAnsi="SimSun" w:cs="SimSun"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D072E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072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2EA"/>
    <w:rPr>
      <w:rFonts w:ascii="SimSun" w:eastAsia="SimSun" w:hAnsi="SimSun" w:cs="SimSun"/>
      <w:kern w:val="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D072EA"/>
  </w:style>
  <w:style w:type="paragraph" w:styleId="NormalWeb">
    <w:name w:val="Normal (Web)"/>
    <w:basedOn w:val="Normal"/>
    <w:uiPriority w:val="99"/>
    <w:unhideWhenUsed/>
    <w:rsid w:val="00D072EA"/>
    <w:pPr>
      <w:spacing w:before="100" w:beforeAutospacing="1" w:after="100" w:afterAutospacing="1"/>
    </w:pPr>
  </w:style>
  <w:style w:type="character" w:styleId="LineNumber">
    <w:name w:val="line number"/>
    <w:basedOn w:val="DefaultParagraphFont"/>
    <w:uiPriority w:val="99"/>
    <w:semiHidden/>
    <w:unhideWhenUsed/>
    <w:rsid w:val="00D072EA"/>
  </w:style>
  <w:style w:type="paragraph" w:styleId="Header">
    <w:name w:val="header"/>
    <w:basedOn w:val="Normal"/>
    <w:link w:val="HeaderChar"/>
    <w:uiPriority w:val="99"/>
    <w:unhideWhenUsed/>
    <w:rsid w:val="00021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2123B"/>
    <w:rPr>
      <w:rFonts w:ascii="SimSun" w:eastAsia="SimSun" w:hAnsi="SimSun" w:cs="SimSu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wendy19990727@163.com</dc:creator>
  <cp:keywords/>
  <dc:description/>
  <cp:lastModifiedBy>Durga  Ramu</cp:lastModifiedBy>
  <cp:revision>6</cp:revision>
  <dcterms:created xsi:type="dcterms:W3CDTF">2024-07-10T14:03:00Z</dcterms:created>
  <dcterms:modified xsi:type="dcterms:W3CDTF">2024-08-07T09:11:00Z</dcterms:modified>
</cp:coreProperties>
</file>