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FCF2E0" w14:textId="0722D8E5" w:rsidR="009947A0" w:rsidRPr="00FB68E0" w:rsidRDefault="009947A0" w:rsidP="001A6FEB">
      <w:pPr>
        <w:widowControl/>
        <w:spacing w:afterLines="50" w:after="156" w:line="360" w:lineRule="auto"/>
        <w:jc w:val="left"/>
        <w:rPr>
          <w:rFonts w:ascii="Times New Roman" w:hAnsi="Times New Roman" w:cs="Times New Roman"/>
          <w:b/>
          <w:bCs/>
        </w:rPr>
      </w:pPr>
      <w:r w:rsidRPr="00FB68E0">
        <w:rPr>
          <w:rFonts w:ascii="Times New Roman" w:eastAsia="Times New Roman" w:hAnsi="Times New Roman" w:cs="Times New Roman"/>
          <w:b/>
          <w:sz w:val="28"/>
          <w:szCs w:val="18"/>
        </w:rPr>
        <w:t>Supplementary</w:t>
      </w:r>
      <w:r w:rsidRPr="00FB68E0">
        <w:rPr>
          <w:rFonts w:ascii="Times New Roman" w:eastAsia="Times New Roman" w:hAnsi="Times New Roman" w:cs="Times New Roman"/>
          <w:b/>
          <w:sz w:val="24"/>
          <w:szCs w:val="18"/>
        </w:rPr>
        <w:t xml:space="preserve"> </w:t>
      </w:r>
      <w:r w:rsidRPr="00FB68E0">
        <w:rPr>
          <w:rFonts w:ascii="Times New Roman" w:eastAsia="Times New Roman" w:hAnsi="Times New Roman" w:cs="Times New Roman"/>
          <w:b/>
          <w:sz w:val="28"/>
          <w:szCs w:val="18"/>
        </w:rPr>
        <w:t>Materials</w:t>
      </w:r>
    </w:p>
    <w:p w14:paraId="375926D7" w14:textId="2FB10441"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b/>
          <w:bCs/>
        </w:rPr>
        <w:t>Table S1.</w:t>
      </w:r>
      <w:r w:rsidRPr="00FB68E0">
        <w:rPr>
          <w:rFonts w:ascii="Times New Roman" w:hAnsi="Times New Roman" w:cs="Times New Roman"/>
        </w:rPr>
        <w:t xml:space="preserve"> Antibodies used for western blot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2"/>
        <w:gridCol w:w="2359"/>
        <w:gridCol w:w="2243"/>
        <w:gridCol w:w="2352"/>
      </w:tblGrid>
      <w:tr w:rsidR="00FB68E0" w:rsidRPr="00FB68E0" w14:paraId="094740E8" w14:textId="77777777">
        <w:tc>
          <w:tcPr>
            <w:tcW w:w="1363" w:type="dxa"/>
            <w:tcBorders>
              <w:top w:val="single" w:sz="4" w:space="0" w:color="auto"/>
              <w:bottom w:val="single" w:sz="4" w:space="0" w:color="auto"/>
            </w:tcBorders>
          </w:tcPr>
          <w:p w14:paraId="7233E7CF"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A</w:t>
            </w:r>
            <w:bookmarkStart w:id="0" w:name="_GoBack"/>
            <w:bookmarkEnd w:id="0"/>
            <w:r w:rsidRPr="00FB68E0">
              <w:rPr>
                <w:rFonts w:ascii="Times New Roman" w:hAnsi="Times New Roman" w:cs="Times New Roman"/>
              </w:rPr>
              <w:t>ntibody</w:t>
            </w:r>
          </w:p>
        </w:tc>
        <w:tc>
          <w:tcPr>
            <w:tcW w:w="2395" w:type="dxa"/>
            <w:tcBorders>
              <w:top w:val="single" w:sz="4" w:space="0" w:color="auto"/>
              <w:bottom w:val="single" w:sz="4" w:space="0" w:color="auto"/>
            </w:tcBorders>
          </w:tcPr>
          <w:p w14:paraId="4C50EB02"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Company</w:t>
            </w:r>
          </w:p>
        </w:tc>
        <w:tc>
          <w:tcPr>
            <w:tcW w:w="2281" w:type="dxa"/>
            <w:tcBorders>
              <w:top w:val="single" w:sz="4" w:space="0" w:color="auto"/>
              <w:bottom w:val="single" w:sz="4" w:space="0" w:color="auto"/>
            </w:tcBorders>
          </w:tcPr>
          <w:p w14:paraId="57547A7A"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Catalogue No.</w:t>
            </w:r>
          </w:p>
        </w:tc>
        <w:tc>
          <w:tcPr>
            <w:tcW w:w="2398" w:type="dxa"/>
            <w:tcBorders>
              <w:top w:val="single" w:sz="4" w:space="0" w:color="auto"/>
              <w:bottom w:val="single" w:sz="4" w:space="0" w:color="auto"/>
            </w:tcBorders>
          </w:tcPr>
          <w:p w14:paraId="5EEB707C"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 xml:space="preserve">Dilution </w:t>
            </w:r>
          </w:p>
        </w:tc>
      </w:tr>
      <w:tr w:rsidR="00FB68E0" w:rsidRPr="00FB68E0" w14:paraId="3586E8AF" w14:textId="77777777">
        <w:tc>
          <w:tcPr>
            <w:tcW w:w="1363" w:type="dxa"/>
            <w:tcBorders>
              <w:top w:val="single" w:sz="4" w:space="0" w:color="auto"/>
            </w:tcBorders>
          </w:tcPr>
          <w:p w14:paraId="0D91C16D"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m-AdipoR1</w:t>
            </w:r>
          </w:p>
        </w:tc>
        <w:tc>
          <w:tcPr>
            <w:tcW w:w="2395" w:type="dxa"/>
            <w:tcBorders>
              <w:top w:val="single" w:sz="4" w:space="0" w:color="auto"/>
            </w:tcBorders>
          </w:tcPr>
          <w:p w14:paraId="2BB62E78"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Proteintech</w:t>
            </w:r>
          </w:p>
        </w:tc>
        <w:tc>
          <w:tcPr>
            <w:tcW w:w="2281" w:type="dxa"/>
            <w:tcBorders>
              <w:top w:val="single" w:sz="4" w:space="0" w:color="auto"/>
            </w:tcBorders>
          </w:tcPr>
          <w:p w14:paraId="07216A18"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66619-1-Ig</w:t>
            </w:r>
          </w:p>
        </w:tc>
        <w:tc>
          <w:tcPr>
            <w:tcW w:w="2398" w:type="dxa"/>
            <w:tcBorders>
              <w:top w:val="single" w:sz="4" w:space="0" w:color="auto"/>
            </w:tcBorders>
          </w:tcPr>
          <w:p w14:paraId="27EFCC8C"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1:1000</w:t>
            </w:r>
          </w:p>
        </w:tc>
      </w:tr>
      <w:tr w:rsidR="00FB68E0" w:rsidRPr="00FB68E0" w14:paraId="4DFB279A" w14:textId="77777777">
        <w:tc>
          <w:tcPr>
            <w:tcW w:w="1363" w:type="dxa"/>
          </w:tcPr>
          <w:p w14:paraId="1399428A"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h-AdipoR1</w:t>
            </w:r>
          </w:p>
        </w:tc>
        <w:tc>
          <w:tcPr>
            <w:tcW w:w="2395" w:type="dxa"/>
          </w:tcPr>
          <w:p w14:paraId="799A6E1D"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 xml:space="preserve">Invitrogen </w:t>
            </w:r>
          </w:p>
        </w:tc>
        <w:tc>
          <w:tcPr>
            <w:tcW w:w="2281" w:type="dxa"/>
          </w:tcPr>
          <w:p w14:paraId="347F4167"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SC69-04</w:t>
            </w:r>
          </w:p>
        </w:tc>
        <w:tc>
          <w:tcPr>
            <w:tcW w:w="2398" w:type="dxa"/>
          </w:tcPr>
          <w:p w14:paraId="10FCD16E"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1:1000</w:t>
            </w:r>
          </w:p>
        </w:tc>
      </w:tr>
      <w:tr w:rsidR="00FB68E0" w:rsidRPr="00FB68E0" w14:paraId="5F5C79C0" w14:textId="77777777">
        <w:tc>
          <w:tcPr>
            <w:tcW w:w="1363" w:type="dxa"/>
          </w:tcPr>
          <w:p w14:paraId="372B1317"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m-AdipoR2</w:t>
            </w:r>
          </w:p>
        </w:tc>
        <w:tc>
          <w:tcPr>
            <w:tcW w:w="2395" w:type="dxa"/>
          </w:tcPr>
          <w:p w14:paraId="0A883286"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Abcam</w:t>
            </w:r>
          </w:p>
        </w:tc>
        <w:tc>
          <w:tcPr>
            <w:tcW w:w="2281" w:type="dxa"/>
          </w:tcPr>
          <w:p w14:paraId="2606F800"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ab231051</w:t>
            </w:r>
          </w:p>
        </w:tc>
        <w:tc>
          <w:tcPr>
            <w:tcW w:w="2398" w:type="dxa"/>
          </w:tcPr>
          <w:p w14:paraId="7464F01D"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1:1000</w:t>
            </w:r>
          </w:p>
        </w:tc>
      </w:tr>
      <w:tr w:rsidR="00FB68E0" w:rsidRPr="00FB68E0" w14:paraId="5B30BDD7" w14:textId="77777777">
        <w:tc>
          <w:tcPr>
            <w:tcW w:w="1363" w:type="dxa"/>
          </w:tcPr>
          <w:p w14:paraId="79B7A645"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h-AdipoR2</w:t>
            </w:r>
          </w:p>
        </w:tc>
        <w:tc>
          <w:tcPr>
            <w:tcW w:w="2395" w:type="dxa"/>
          </w:tcPr>
          <w:p w14:paraId="15729802"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Thermo Fisher</w:t>
            </w:r>
          </w:p>
        </w:tc>
        <w:tc>
          <w:tcPr>
            <w:tcW w:w="2281" w:type="dxa"/>
          </w:tcPr>
          <w:p w14:paraId="683E50C7"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PA5-114166</w:t>
            </w:r>
          </w:p>
        </w:tc>
        <w:tc>
          <w:tcPr>
            <w:tcW w:w="2398" w:type="dxa"/>
          </w:tcPr>
          <w:p w14:paraId="39ADCA25"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1:1000</w:t>
            </w:r>
          </w:p>
        </w:tc>
      </w:tr>
      <w:tr w:rsidR="00FB68E0" w:rsidRPr="00FB68E0" w14:paraId="22BECE58" w14:textId="77777777">
        <w:tc>
          <w:tcPr>
            <w:tcW w:w="1363" w:type="dxa"/>
          </w:tcPr>
          <w:p w14:paraId="77EFB71F"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Ki-67</w:t>
            </w:r>
          </w:p>
        </w:tc>
        <w:tc>
          <w:tcPr>
            <w:tcW w:w="2395" w:type="dxa"/>
          </w:tcPr>
          <w:p w14:paraId="42510E2F"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Abcam</w:t>
            </w:r>
          </w:p>
        </w:tc>
        <w:tc>
          <w:tcPr>
            <w:tcW w:w="2281" w:type="dxa"/>
          </w:tcPr>
          <w:p w14:paraId="3A99E689"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ab16667</w:t>
            </w:r>
          </w:p>
        </w:tc>
        <w:tc>
          <w:tcPr>
            <w:tcW w:w="2398" w:type="dxa"/>
          </w:tcPr>
          <w:p w14:paraId="3D2DD7DB"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1:1000</w:t>
            </w:r>
          </w:p>
        </w:tc>
      </w:tr>
      <w:tr w:rsidR="00FB68E0" w:rsidRPr="00FB68E0" w14:paraId="5B583D84" w14:textId="77777777">
        <w:tc>
          <w:tcPr>
            <w:tcW w:w="1363" w:type="dxa"/>
          </w:tcPr>
          <w:p w14:paraId="0CFEBB05"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NF-κB</w:t>
            </w:r>
          </w:p>
        </w:tc>
        <w:tc>
          <w:tcPr>
            <w:tcW w:w="2395" w:type="dxa"/>
          </w:tcPr>
          <w:p w14:paraId="2359795F"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Cell Signaling Technology</w:t>
            </w:r>
          </w:p>
        </w:tc>
        <w:tc>
          <w:tcPr>
            <w:tcW w:w="2281" w:type="dxa"/>
          </w:tcPr>
          <w:p w14:paraId="3A920116"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8242</w:t>
            </w:r>
          </w:p>
        </w:tc>
        <w:tc>
          <w:tcPr>
            <w:tcW w:w="2398" w:type="dxa"/>
          </w:tcPr>
          <w:p w14:paraId="0E407F17"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1:1000</w:t>
            </w:r>
          </w:p>
        </w:tc>
      </w:tr>
      <w:tr w:rsidR="00FB68E0" w:rsidRPr="00FB68E0" w14:paraId="25085753" w14:textId="77777777">
        <w:tc>
          <w:tcPr>
            <w:tcW w:w="1363" w:type="dxa"/>
          </w:tcPr>
          <w:p w14:paraId="633CD894"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p-AKT</w:t>
            </w:r>
          </w:p>
        </w:tc>
        <w:tc>
          <w:tcPr>
            <w:tcW w:w="2395" w:type="dxa"/>
          </w:tcPr>
          <w:p w14:paraId="304D87A0"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Proteintech</w:t>
            </w:r>
          </w:p>
        </w:tc>
        <w:tc>
          <w:tcPr>
            <w:tcW w:w="2281" w:type="dxa"/>
          </w:tcPr>
          <w:p w14:paraId="2958C125"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66444-1-Ig</w:t>
            </w:r>
          </w:p>
        </w:tc>
        <w:tc>
          <w:tcPr>
            <w:tcW w:w="2398" w:type="dxa"/>
          </w:tcPr>
          <w:p w14:paraId="4CF66EE0"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1:2000</w:t>
            </w:r>
          </w:p>
        </w:tc>
      </w:tr>
      <w:tr w:rsidR="00FB68E0" w:rsidRPr="00FB68E0" w14:paraId="0329D947" w14:textId="77777777">
        <w:tc>
          <w:tcPr>
            <w:tcW w:w="1363" w:type="dxa"/>
          </w:tcPr>
          <w:p w14:paraId="4C0ADDB9"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AKT</w:t>
            </w:r>
          </w:p>
        </w:tc>
        <w:tc>
          <w:tcPr>
            <w:tcW w:w="2395" w:type="dxa"/>
          </w:tcPr>
          <w:p w14:paraId="57E8E27D"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Proteintech</w:t>
            </w:r>
          </w:p>
        </w:tc>
        <w:tc>
          <w:tcPr>
            <w:tcW w:w="2281" w:type="dxa"/>
          </w:tcPr>
          <w:p w14:paraId="1C45BEE9"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10176-2-AP</w:t>
            </w:r>
          </w:p>
        </w:tc>
        <w:tc>
          <w:tcPr>
            <w:tcW w:w="2398" w:type="dxa"/>
          </w:tcPr>
          <w:p w14:paraId="3AB9C0E5"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1:3000</w:t>
            </w:r>
          </w:p>
        </w:tc>
      </w:tr>
      <w:tr w:rsidR="00A70943" w:rsidRPr="00FB68E0" w14:paraId="013FE0EA" w14:textId="77777777">
        <w:tc>
          <w:tcPr>
            <w:tcW w:w="1363" w:type="dxa"/>
            <w:tcBorders>
              <w:bottom w:val="single" w:sz="4" w:space="0" w:color="auto"/>
            </w:tcBorders>
          </w:tcPr>
          <w:p w14:paraId="7781223A"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β-actin</w:t>
            </w:r>
          </w:p>
        </w:tc>
        <w:tc>
          <w:tcPr>
            <w:tcW w:w="2395" w:type="dxa"/>
            <w:tcBorders>
              <w:bottom w:val="single" w:sz="4" w:space="0" w:color="auto"/>
            </w:tcBorders>
          </w:tcPr>
          <w:p w14:paraId="300AF612"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Proteintech</w:t>
            </w:r>
          </w:p>
        </w:tc>
        <w:tc>
          <w:tcPr>
            <w:tcW w:w="2281" w:type="dxa"/>
            <w:tcBorders>
              <w:bottom w:val="single" w:sz="4" w:space="0" w:color="auto"/>
            </w:tcBorders>
          </w:tcPr>
          <w:p w14:paraId="2F8EE9C8"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66009-1-Ig</w:t>
            </w:r>
          </w:p>
        </w:tc>
        <w:tc>
          <w:tcPr>
            <w:tcW w:w="2398" w:type="dxa"/>
            <w:tcBorders>
              <w:bottom w:val="single" w:sz="4" w:space="0" w:color="auto"/>
            </w:tcBorders>
          </w:tcPr>
          <w:p w14:paraId="18AB5DF3" w14:textId="77777777" w:rsidR="00A70943" w:rsidRPr="00FB68E0" w:rsidRDefault="00F139DA" w:rsidP="001A6FEB">
            <w:pPr>
              <w:spacing w:line="360" w:lineRule="auto"/>
              <w:jc w:val="left"/>
              <w:rPr>
                <w:rFonts w:ascii="Times New Roman" w:hAnsi="Times New Roman" w:cs="Times New Roman"/>
              </w:rPr>
            </w:pPr>
            <w:r w:rsidRPr="00FB68E0">
              <w:rPr>
                <w:rFonts w:ascii="Times New Roman" w:hAnsi="Times New Roman" w:cs="Times New Roman"/>
              </w:rPr>
              <w:t>1:50000</w:t>
            </w:r>
          </w:p>
        </w:tc>
      </w:tr>
    </w:tbl>
    <w:p w14:paraId="2CF30C77" w14:textId="77777777" w:rsidR="009947A0" w:rsidRPr="00FB68E0" w:rsidRDefault="009947A0" w:rsidP="001A6FEB">
      <w:pPr>
        <w:widowControl/>
        <w:spacing w:afterLines="50" w:after="156" w:line="360" w:lineRule="auto"/>
        <w:jc w:val="left"/>
        <w:rPr>
          <w:rFonts w:ascii="Times New Roman" w:eastAsia="Times New Roman" w:hAnsi="Times New Roman" w:cs="Times New Roman"/>
          <w:b/>
          <w:sz w:val="32"/>
          <w:szCs w:val="18"/>
        </w:rPr>
      </w:pPr>
    </w:p>
    <w:p w14:paraId="2DC6526B" w14:textId="77777777" w:rsidR="009947A0" w:rsidRPr="00FB68E0" w:rsidRDefault="009947A0" w:rsidP="001A6FEB">
      <w:pPr>
        <w:widowControl/>
        <w:jc w:val="left"/>
        <w:rPr>
          <w:rFonts w:ascii="Times New Roman" w:eastAsia="Times New Roman" w:hAnsi="Times New Roman" w:cs="Times New Roman"/>
          <w:b/>
          <w:sz w:val="32"/>
          <w:szCs w:val="18"/>
        </w:rPr>
      </w:pPr>
      <w:r w:rsidRPr="00FB68E0">
        <w:rPr>
          <w:rFonts w:ascii="Times New Roman" w:eastAsia="Times New Roman" w:hAnsi="Times New Roman" w:cs="Times New Roman"/>
          <w:b/>
          <w:sz w:val="32"/>
          <w:szCs w:val="18"/>
        </w:rPr>
        <w:br w:type="page"/>
      </w:r>
    </w:p>
    <w:p w14:paraId="302835C9" w14:textId="704C897A" w:rsidR="009947A0" w:rsidRPr="00FB68E0" w:rsidRDefault="00CD7EC9" w:rsidP="001A6FEB">
      <w:pPr>
        <w:pStyle w:val="NormalWeb"/>
        <w:widowControl/>
        <w:spacing w:beforeAutospacing="0" w:line="276" w:lineRule="auto"/>
        <w:rPr>
          <w:rFonts w:ascii="Times New Roman Regular" w:hAnsi="Times New Roman Regular" w:cs="Times New Roman Regular"/>
          <w:sz w:val="21"/>
          <w:szCs w:val="21"/>
        </w:rPr>
      </w:pPr>
      <w:r w:rsidRPr="00FB68E0">
        <w:rPr>
          <w:rStyle w:val="Strong"/>
          <w:rFonts w:ascii="Times New Roman Bold" w:hAnsi="Times New Roman Bold" w:cs="Times New Roman Bold"/>
          <w:bCs/>
          <w:sz w:val="21"/>
          <w:szCs w:val="21"/>
        </w:rPr>
        <w:lastRenderedPageBreak/>
        <w:t>Figure S1. Adiponectin (ADPN) levels in sera, corneas, and trigeminal ganglia are reduced in type 2 diabetic mice compared with normal controls.​</w:t>
      </w:r>
      <w:r w:rsidRPr="00FB68E0">
        <w:rPr>
          <w:rFonts w:ascii="Times New Roman Regular" w:hAnsi="Times New Roman Regular" w:cs="Times New Roman Regular"/>
          <w:sz w:val="21"/>
          <w:szCs w:val="21"/>
        </w:rPr>
        <w:t>​</w:t>
      </w:r>
      <w:r w:rsidR="00064B03" w:rsidRPr="00FB68E0">
        <w:rPr>
          <w:rFonts w:ascii="Times New Roman Regular" w:hAnsi="Times New Roman Regular" w:cs="Times New Roman Regular"/>
          <w:sz w:val="21"/>
          <w:szCs w:val="21"/>
        </w:rPr>
        <w:t xml:space="preserve"> </w:t>
      </w:r>
      <w:bookmarkStart w:id="1" w:name="_Hlk184325664"/>
      <w:r w:rsidR="009947A0" w:rsidRPr="00FB68E0">
        <w:rPr>
          <w:rFonts w:ascii="Times New Roman Regular" w:hAnsi="Times New Roman Regular" w:cs="Times New Roman Regular"/>
          <w:sz w:val="21"/>
          <w:szCs w:val="21"/>
        </w:rPr>
        <w:t>ADPN concentrations were measured in serum, corneal tissues, and trigeminal ganglia from type 2 diabetic (db/db) mice and age-matched normal control mice. n</w:t>
      </w:r>
      <w:r w:rsidR="00703B93" w:rsidRPr="00FB68E0">
        <w:rPr>
          <w:rFonts w:ascii="Times New Roman Regular" w:hAnsi="Times New Roman Regular" w:cs="Times New Roman Regular"/>
          <w:sz w:val="21"/>
          <w:szCs w:val="21"/>
        </w:rPr>
        <w:t xml:space="preserve"> </w:t>
      </w:r>
      <w:r w:rsidR="009947A0" w:rsidRPr="00FB68E0">
        <w:rPr>
          <w:rFonts w:ascii="Times New Roman Regular" w:hAnsi="Times New Roman Regular" w:cs="Times New Roman Regular"/>
          <w:sz w:val="21"/>
          <w:szCs w:val="21"/>
        </w:rPr>
        <w:t>=</w:t>
      </w:r>
      <w:r w:rsidR="00703B93" w:rsidRPr="00FB68E0">
        <w:rPr>
          <w:rFonts w:ascii="Times New Roman Regular" w:hAnsi="Times New Roman Regular" w:cs="Times New Roman Regular"/>
          <w:sz w:val="21"/>
          <w:szCs w:val="21"/>
        </w:rPr>
        <w:t xml:space="preserve"> </w:t>
      </w:r>
      <w:r w:rsidR="009947A0" w:rsidRPr="00FB68E0">
        <w:rPr>
          <w:rFonts w:ascii="Times New Roman Regular" w:hAnsi="Times New Roman Regular" w:cs="Times New Roman Regular"/>
          <w:sz w:val="21"/>
          <w:szCs w:val="21"/>
        </w:rPr>
        <w:t>6 per group. Data were analyzed using one-way ANOVA with Dunnett’s post-hoc test (for multiple groups) or unpaired two-tailed Student’s t-test (for two groups). *</w:t>
      </w:r>
      <w:r w:rsidR="009947A0" w:rsidRPr="00FB68E0">
        <w:rPr>
          <w:rFonts w:ascii="Times New Roman Regular" w:hAnsi="Times New Roman Regular" w:cs="Times New Roman Regular"/>
          <w:i/>
          <w:sz w:val="21"/>
          <w:szCs w:val="21"/>
        </w:rPr>
        <w:t>P</w:t>
      </w:r>
      <w:r w:rsidR="009947A0" w:rsidRPr="00FB68E0">
        <w:rPr>
          <w:rFonts w:ascii="Times New Roman Regular" w:hAnsi="Times New Roman Regular" w:cs="Times New Roman Regular"/>
          <w:sz w:val="21"/>
          <w:szCs w:val="21"/>
        </w:rPr>
        <w:t xml:space="preserve"> &lt; 0.05 vs. normal control mice.</w:t>
      </w:r>
    </w:p>
    <w:p w14:paraId="58826148" w14:textId="6F4A48BD" w:rsidR="00C716DE" w:rsidRPr="00FB68E0" w:rsidRDefault="00576985" w:rsidP="001A6FEB">
      <w:pPr>
        <w:widowControl/>
        <w:jc w:val="left"/>
        <w:rPr>
          <w:rFonts w:ascii="Times New Roman" w:eastAsia="Times New Roman" w:hAnsi="Times New Roman" w:cs="Times New Roman"/>
          <w:b/>
          <w:bCs/>
        </w:rPr>
      </w:pPr>
      <w:bookmarkStart w:id="2" w:name="_Hlk184325671"/>
      <w:bookmarkEnd w:id="1"/>
      <w:r w:rsidRPr="00FB68E0">
        <w:rPr>
          <w:rFonts w:ascii="Times New Roman" w:eastAsia="Times New Roman" w:hAnsi="Times New Roman" w:cs="Times New Roman"/>
          <w:b/>
          <w:bCs/>
          <w:noProof/>
          <w:lang w:val="en-IN" w:eastAsia="en-IN"/>
        </w:rPr>
        <w:drawing>
          <wp:inline distT="0" distB="0" distL="0" distR="0" wp14:anchorId="61DDE60A" wp14:editId="15DDEB08">
            <wp:extent cx="5274310" cy="3571240"/>
            <wp:effectExtent l="0" t="0" r="0" b="0"/>
            <wp:docPr id="1468313791"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313791" name="图片 1" descr="图表&#10;&#10;描述已自动生成"/>
                    <pic:cNvPicPr/>
                  </pic:nvPicPr>
                  <pic:blipFill>
                    <a:blip r:embed="rId7"/>
                    <a:stretch>
                      <a:fillRect/>
                    </a:stretch>
                  </pic:blipFill>
                  <pic:spPr>
                    <a:xfrm>
                      <a:off x="0" y="0"/>
                      <a:ext cx="5274310" cy="3571240"/>
                    </a:xfrm>
                    <a:prstGeom prst="rect">
                      <a:avLst/>
                    </a:prstGeom>
                  </pic:spPr>
                </pic:pic>
              </a:graphicData>
            </a:graphic>
          </wp:inline>
        </w:drawing>
      </w:r>
    </w:p>
    <w:p w14:paraId="3B6AAE25" w14:textId="77777777" w:rsidR="001A6FEB" w:rsidRPr="00FB68E0" w:rsidRDefault="001A6FEB" w:rsidP="001A6FEB">
      <w:pPr>
        <w:widowControl/>
        <w:jc w:val="left"/>
        <w:rPr>
          <w:rFonts w:ascii="Times New Roman" w:eastAsia="Times New Roman" w:hAnsi="Times New Roman" w:cs="Times New Roman"/>
          <w:b/>
          <w:bCs/>
        </w:rPr>
      </w:pPr>
      <w:r w:rsidRPr="00FB68E0">
        <w:rPr>
          <w:rFonts w:ascii="Times New Roman" w:eastAsia="Times New Roman" w:hAnsi="Times New Roman" w:cs="Times New Roman"/>
          <w:b/>
          <w:bCs/>
        </w:rPr>
        <w:br w:type="page"/>
      </w:r>
    </w:p>
    <w:p w14:paraId="1430D424" w14:textId="3AD29353" w:rsidR="00A70943" w:rsidRPr="00FB68E0" w:rsidRDefault="00F139DA" w:rsidP="001A6FEB">
      <w:pPr>
        <w:widowControl/>
        <w:jc w:val="left"/>
        <w:rPr>
          <w:rFonts w:ascii="Times New Roman" w:eastAsia="Times New Roman" w:hAnsi="Times New Roman" w:cs="Times New Roman"/>
          <w:b/>
          <w:bCs/>
        </w:rPr>
      </w:pPr>
      <w:r w:rsidRPr="00FB68E0">
        <w:rPr>
          <w:rFonts w:ascii="Times New Roman" w:eastAsia="Times New Roman" w:hAnsi="Times New Roman" w:cs="Times New Roman" w:hint="eastAsia"/>
          <w:b/>
          <w:bCs/>
        </w:rPr>
        <w:lastRenderedPageBreak/>
        <w:t>Figure S2. Delayed corneal epithelial healing and nerve injury in diabetic mice</w:t>
      </w:r>
      <w:r w:rsidR="009C61E5" w:rsidRPr="00FB68E0">
        <w:rPr>
          <w:rFonts w:ascii="Times New Roman" w:eastAsia="Times New Roman" w:hAnsi="Times New Roman" w:cs="Times New Roman"/>
          <w:b/>
          <w:bCs/>
        </w:rPr>
        <w:t>.</w:t>
      </w:r>
      <w:r w:rsidRPr="00FB68E0">
        <w:rPr>
          <w:rFonts w:ascii="Times New Roman" w:eastAsia="Times New Roman" w:hAnsi="Times New Roman" w:cs="Times New Roman" w:hint="eastAsia"/>
          <w:b/>
          <w:bCs/>
        </w:rPr>
        <w:t xml:space="preserve"> </w:t>
      </w:r>
      <w:r w:rsidR="009C61E5" w:rsidRPr="00FB68E0">
        <w:rPr>
          <w:rFonts w:ascii="Times New Roman" w:eastAsia="Times New Roman" w:hAnsi="Times New Roman" w:cs="Times New Roman"/>
          <w:b/>
        </w:rPr>
        <w:t>a</w:t>
      </w:r>
      <w:r w:rsidR="009C61E5" w:rsidRPr="00FB68E0">
        <w:rPr>
          <w:rFonts w:ascii="Times New Roman" w:eastAsia="Times New Roman" w:hAnsi="Times New Roman" w:cs="Times New Roman"/>
          <w:b/>
          <w:bCs/>
        </w:rPr>
        <w:t xml:space="preserve"> </w:t>
      </w:r>
      <w:r w:rsidRPr="00FB68E0">
        <w:rPr>
          <w:rFonts w:ascii="Times New Roman" w:eastAsia="Times New Roman" w:hAnsi="Times New Roman" w:cs="Times New Roman" w:hint="eastAsia"/>
        </w:rPr>
        <w:t xml:space="preserve">Corneal epithelial healing rate was significantly slower in diabetic mice compared with normal controls following a 3 mm diameter epithelial nerve injury. </w:t>
      </w:r>
      <w:r w:rsidR="009C61E5" w:rsidRPr="00FB68E0">
        <w:rPr>
          <w:rFonts w:ascii="Times New Roman" w:eastAsia="Times New Roman" w:hAnsi="Times New Roman" w:cs="Times New Roman"/>
          <w:b/>
        </w:rPr>
        <w:t>b</w:t>
      </w:r>
      <w:r w:rsidRPr="00FB68E0">
        <w:rPr>
          <w:rFonts w:ascii="Times New Roman" w:eastAsia="Times New Roman" w:hAnsi="Times New Roman" w:cs="Times New Roman" w:hint="eastAsia"/>
        </w:rPr>
        <w:t xml:space="preserve"> The area ratio of corneal epithelial defects in diabetic mice was markedly larger than that in normal mice at 48 hours and 72 hours post-injury (*</w:t>
      </w:r>
      <w:r w:rsidR="009C61E5" w:rsidRPr="00FB68E0">
        <w:rPr>
          <w:rFonts w:ascii="Times New Roman" w:eastAsia="Times New Roman" w:hAnsi="Times New Roman" w:cs="Times New Roman"/>
        </w:rPr>
        <w:t>*</w:t>
      </w:r>
      <w:r w:rsidRPr="00FB68E0">
        <w:rPr>
          <w:rFonts w:ascii="Times New Roman" w:eastAsia="Times New Roman" w:hAnsi="Times New Roman" w:cs="Times New Roman"/>
          <w:i/>
        </w:rPr>
        <w:t>P</w:t>
      </w:r>
      <w:r w:rsidRPr="00FB68E0">
        <w:rPr>
          <w:rFonts w:ascii="Times New Roman" w:eastAsia="Times New Roman" w:hAnsi="Times New Roman" w:cs="Times New Roman" w:hint="eastAsia"/>
        </w:rPr>
        <w:t xml:space="preserve"> &lt; 0.001 and *</w:t>
      </w:r>
      <w:r w:rsidRPr="00FB68E0">
        <w:rPr>
          <w:rFonts w:ascii="Times New Roman" w:eastAsia="Times New Roman" w:hAnsi="Times New Roman" w:cs="Times New Roman"/>
          <w:i/>
        </w:rPr>
        <w:t>P</w:t>
      </w:r>
      <w:r w:rsidRPr="00FB68E0">
        <w:rPr>
          <w:rFonts w:ascii="Times New Roman" w:eastAsia="Times New Roman" w:hAnsi="Times New Roman" w:cs="Times New Roman" w:hint="eastAsia"/>
        </w:rPr>
        <w:t xml:space="preserve"> &lt; 0.05, respectively). </w:t>
      </w:r>
      <w:r w:rsidR="009C61E5" w:rsidRPr="00FB68E0">
        <w:rPr>
          <w:rFonts w:ascii="Times New Roman" w:eastAsia="Times New Roman" w:hAnsi="Times New Roman" w:cs="Times New Roman"/>
          <w:b/>
        </w:rPr>
        <w:t>c</w:t>
      </w:r>
      <w:r w:rsidRPr="00FB68E0">
        <w:rPr>
          <w:rFonts w:ascii="Times New Roman" w:eastAsia="Times New Roman" w:hAnsi="Times New Roman" w:cs="Times New Roman" w:hint="eastAsia"/>
        </w:rPr>
        <w:t xml:space="preserve"> Corneal nerve sensitivity in diabetic mice was reduced relative to normal mice 1 week after epithelial injury repair (*</w:t>
      </w:r>
      <w:r w:rsidR="009C61E5" w:rsidRPr="00FB68E0">
        <w:rPr>
          <w:rFonts w:ascii="Times New Roman" w:eastAsia="Times New Roman" w:hAnsi="Times New Roman" w:cs="Times New Roman"/>
        </w:rPr>
        <w:t>*</w:t>
      </w:r>
      <w:r w:rsidRPr="00FB68E0">
        <w:rPr>
          <w:rFonts w:ascii="Times New Roman" w:eastAsia="Times New Roman" w:hAnsi="Times New Roman" w:cs="Times New Roman"/>
          <w:i/>
        </w:rPr>
        <w:t>P</w:t>
      </w:r>
      <w:r w:rsidRPr="00FB68E0">
        <w:rPr>
          <w:rFonts w:ascii="Times New Roman" w:eastAsia="Times New Roman" w:hAnsi="Times New Roman" w:cs="Times New Roman" w:hint="eastAsia"/>
        </w:rPr>
        <w:t xml:space="preserve"> &lt; 0.001). n = 6 mice per group. Data were analyzed using one-way ANOVA with Dunnett’s post-hoc test (for multiple groups) or unpaired two-tailed Student’s t-test (for two groups). *</w:t>
      </w:r>
      <w:r w:rsidRPr="00FB68E0">
        <w:rPr>
          <w:rFonts w:ascii="Times New Roman" w:eastAsia="Times New Roman" w:hAnsi="Times New Roman" w:cs="Times New Roman"/>
          <w:i/>
        </w:rPr>
        <w:t>P</w:t>
      </w:r>
      <w:r w:rsidRPr="00FB68E0">
        <w:rPr>
          <w:rFonts w:ascii="Times New Roman" w:eastAsia="Times New Roman" w:hAnsi="Times New Roman" w:cs="Times New Roman" w:hint="eastAsia"/>
        </w:rPr>
        <w:t xml:space="preserve"> &lt; 0.05, </w:t>
      </w:r>
      <w:r w:rsidR="009C61E5" w:rsidRPr="00FB68E0">
        <w:rPr>
          <w:rFonts w:ascii="Times New Roman" w:eastAsia="Times New Roman" w:hAnsi="Times New Roman" w:cs="Times New Roman"/>
        </w:rPr>
        <w:t>**</w:t>
      </w:r>
      <w:r w:rsidRPr="00FB68E0">
        <w:rPr>
          <w:rFonts w:ascii="Times New Roman" w:eastAsia="Times New Roman" w:hAnsi="Times New Roman" w:cs="Times New Roman"/>
          <w:i/>
        </w:rPr>
        <w:t>P</w:t>
      </w:r>
      <w:r w:rsidRPr="00FB68E0">
        <w:rPr>
          <w:rFonts w:ascii="Times New Roman" w:eastAsia="Times New Roman" w:hAnsi="Times New Roman" w:cs="Times New Roman" w:hint="eastAsia"/>
        </w:rPr>
        <w:t xml:space="preserve"> &lt; 0.01 vs. normal control mice.</w:t>
      </w:r>
      <w:bookmarkEnd w:id="2"/>
    </w:p>
    <w:p w14:paraId="7AD21C7A" w14:textId="339F65FA" w:rsidR="006D7D55" w:rsidRPr="00FB68E0" w:rsidRDefault="00576985" w:rsidP="001A6FEB">
      <w:pPr>
        <w:widowControl/>
        <w:jc w:val="left"/>
        <w:rPr>
          <w:rFonts w:ascii="Times New Roman" w:eastAsia="Times New Roman" w:hAnsi="Times New Roman" w:cs="Times New Roman"/>
          <w:b/>
          <w:bCs/>
        </w:rPr>
      </w:pPr>
      <w:bookmarkStart w:id="3" w:name="_Hlk184325678"/>
      <w:r w:rsidRPr="00FB68E0">
        <w:rPr>
          <w:rFonts w:ascii="Times New Roman" w:eastAsia="Times New Roman" w:hAnsi="Times New Roman" w:cs="Times New Roman"/>
          <w:b/>
          <w:bCs/>
          <w:noProof/>
          <w:lang w:val="en-IN" w:eastAsia="en-IN"/>
        </w:rPr>
        <w:drawing>
          <wp:inline distT="0" distB="0" distL="0" distR="0" wp14:anchorId="0517F692" wp14:editId="1533C990">
            <wp:extent cx="5274310" cy="2942590"/>
            <wp:effectExtent l="0" t="0" r="0" b="3810"/>
            <wp:docPr id="765543113" name="图片 1"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43113" name="图片 1" descr="图形用户界面&#10;&#10;描述已自动生成"/>
                    <pic:cNvPicPr/>
                  </pic:nvPicPr>
                  <pic:blipFill>
                    <a:blip r:embed="rId8"/>
                    <a:stretch>
                      <a:fillRect/>
                    </a:stretch>
                  </pic:blipFill>
                  <pic:spPr>
                    <a:xfrm>
                      <a:off x="0" y="0"/>
                      <a:ext cx="5274310" cy="2942590"/>
                    </a:xfrm>
                    <a:prstGeom prst="rect">
                      <a:avLst/>
                    </a:prstGeom>
                  </pic:spPr>
                </pic:pic>
              </a:graphicData>
            </a:graphic>
          </wp:inline>
        </w:drawing>
      </w:r>
    </w:p>
    <w:p w14:paraId="51BA640A" w14:textId="77777777" w:rsidR="00576985" w:rsidRPr="00FB68E0" w:rsidRDefault="00576985" w:rsidP="001A6FEB">
      <w:pPr>
        <w:widowControl/>
        <w:jc w:val="left"/>
        <w:rPr>
          <w:rFonts w:ascii="Times New Roman" w:eastAsia="Times New Roman" w:hAnsi="Times New Roman" w:cs="Times New Roman"/>
          <w:b/>
          <w:bCs/>
        </w:rPr>
      </w:pPr>
    </w:p>
    <w:p w14:paraId="23E60693" w14:textId="77777777" w:rsidR="00C716DE" w:rsidRPr="00FB68E0" w:rsidRDefault="00C716DE" w:rsidP="001A6FEB">
      <w:pPr>
        <w:widowControl/>
        <w:jc w:val="left"/>
        <w:rPr>
          <w:rFonts w:ascii="Times New Roman" w:eastAsia="Times New Roman" w:hAnsi="Times New Roman" w:cs="Times New Roman"/>
          <w:b/>
          <w:bCs/>
        </w:rPr>
      </w:pPr>
    </w:p>
    <w:p w14:paraId="1D8A2DB8" w14:textId="77777777" w:rsidR="00C716DE" w:rsidRPr="00FB68E0" w:rsidRDefault="00C716DE" w:rsidP="001A6FEB">
      <w:pPr>
        <w:widowControl/>
        <w:jc w:val="left"/>
        <w:rPr>
          <w:rFonts w:ascii="Times New Roman" w:eastAsia="Times New Roman" w:hAnsi="Times New Roman" w:cs="Times New Roman"/>
          <w:b/>
          <w:bCs/>
        </w:rPr>
      </w:pPr>
    </w:p>
    <w:p w14:paraId="66535275" w14:textId="77777777" w:rsidR="001A6FEB" w:rsidRPr="00FB68E0" w:rsidRDefault="001A6FEB" w:rsidP="001A6FEB">
      <w:pPr>
        <w:widowControl/>
        <w:jc w:val="left"/>
        <w:rPr>
          <w:rFonts w:ascii="Times New Roman" w:eastAsia="Times New Roman" w:hAnsi="Times New Roman" w:cs="Times New Roman"/>
          <w:b/>
          <w:bCs/>
        </w:rPr>
      </w:pPr>
      <w:r w:rsidRPr="00FB68E0">
        <w:rPr>
          <w:rFonts w:ascii="Times New Roman" w:eastAsia="Times New Roman" w:hAnsi="Times New Roman" w:cs="Times New Roman"/>
          <w:b/>
          <w:bCs/>
        </w:rPr>
        <w:br w:type="page"/>
      </w:r>
    </w:p>
    <w:p w14:paraId="718DEA62" w14:textId="1EC3F593" w:rsidR="00707596" w:rsidRPr="00FB68E0" w:rsidRDefault="00F139DA" w:rsidP="001A6FEB">
      <w:pPr>
        <w:spacing w:line="276" w:lineRule="auto"/>
        <w:jc w:val="left"/>
        <w:rPr>
          <w:rFonts w:ascii="Times New Roman" w:eastAsia="Times New Roman" w:hAnsi="Times New Roman" w:cs="Times New Roman"/>
        </w:rPr>
      </w:pPr>
      <w:r w:rsidRPr="00FB68E0">
        <w:rPr>
          <w:rFonts w:ascii="Times New Roman" w:eastAsia="Times New Roman" w:hAnsi="Times New Roman" w:cs="Times New Roman" w:hint="eastAsia"/>
          <w:b/>
          <w:bCs/>
        </w:rPr>
        <w:lastRenderedPageBreak/>
        <w:t>Figure S3. Pathophysiological alterations in the cornea of type 1 diabetic mice</w:t>
      </w:r>
      <w:r w:rsidR="006D7D55" w:rsidRPr="00FB68E0">
        <w:rPr>
          <w:rFonts w:ascii="Times New Roman" w:eastAsia="Times New Roman" w:hAnsi="Times New Roman" w:cs="Times New Roman"/>
          <w:b/>
          <w:bCs/>
        </w:rPr>
        <w:t xml:space="preserve">. </w:t>
      </w:r>
      <w:r w:rsidRPr="00FB68E0">
        <w:rPr>
          <w:rFonts w:ascii="Times New Roman" w:eastAsia="Times New Roman" w:hAnsi="Times New Roman" w:cs="Times New Roman"/>
          <w:bCs/>
        </w:rPr>
        <w:t>This figure illustrates the structural and functional abnormalities in the cornea of streptozotocin (STZ)-induced type 1 diabetic mice compared with normal controls.</w:t>
      </w:r>
      <w:r w:rsidRPr="00FB68E0">
        <w:rPr>
          <w:rFonts w:ascii="Times New Roman" w:eastAsia="Times New Roman" w:hAnsi="Times New Roman" w:cs="Times New Roman" w:hint="eastAsia"/>
          <w:b/>
          <w:bCs/>
        </w:rPr>
        <w:t xml:space="preserve"> </w:t>
      </w:r>
      <w:r w:rsidR="009F248B" w:rsidRPr="00FB68E0">
        <w:rPr>
          <w:rFonts w:ascii="Times New Roman" w:eastAsia="Times New Roman" w:hAnsi="Times New Roman" w:cs="Times New Roman"/>
          <w:b/>
        </w:rPr>
        <w:t>a</w:t>
      </w:r>
      <w:r w:rsidRPr="00FB68E0">
        <w:rPr>
          <w:rFonts w:ascii="Times New Roman" w:eastAsia="Times New Roman" w:hAnsi="Times New Roman" w:cs="Times New Roman" w:hint="eastAsia"/>
        </w:rPr>
        <w:t xml:space="preserve"> Fluorescein sodium staining revealed reduced integrity of the corneal epithelium in diabetic mice, characterized by irregular staining patterns and epithelial defects (indicated by arrowheads), whereas normal mice exhibited uniform and intact epithelial staining. </w:t>
      </w:r>
      <w:r w:rsidR="009F248B" w:rsidRPr="00FB68E0">
        <w:rPr>
          <w:rFonts w:ascii="Times New Roman" w:eastAsia="Times New Roman" w:hAnsi="Times New Roman" w:cs="Times New Roman"/>
          <w:b/>
        </w:rPr>
        <w:t>b</w:t>
      </w:r>
      <w:r w:rsidRPr="00FB68E0">
        <w:rPr>
          <w:rFonts w:ascii="Times New Roman" w:eastAsia="Times New Roman" w:hAnsi="Times New Roman" w:cs="Times New Roman" w:hint="eastAsia"/>
        </w:rPr>
        <w:t xml:space="preserve"> Tiger red staining highlighted increased degeneration or death of corneal epithelial cells in diabetic mice, manifesting as dense red-stained apoptotic/necrotic cells (arrowheads), in contrast to minimal staining in normal controls. </w:t>
      </w:r>
      <w:r w:rsidR="009F248B" w:rsidRPr="00FB68E0">
        <w:rPr>
          <w:rFonts w:ascii="Times New Roman" w:eastAsia="Times New Roman" w:hAnsi="Times New Roman" w:cs="Times New Roman"/>
          <w:b/>
        </w:rPr>
        <w:t>c</w:t>
      </w:r>
      <w:r w:rsidRPr="00FB68E0">
        <w:rPr>
          <w:rFonts w:ascii="Times New Roman" w:eastAsia="Times New Roman" w:hAnsi="Times New Roman" w:cs="Times New Roman" w:hint="eastAsia"/>
        </w:rPr>
        <w:t xml:space="preserve"> Histological examination (hematoxylin-eosin staining) demonstrated disorganized arrangement of corneal epithelial basal cells in diabetic mice, with loose and edematous basal layer structure, reduced nuclear density, and disrupted epithelial architecture (scale bar: 50 μm). </w:t>
      </w:r>
      <w:r w:rsidR="009F248B" w:rsidRPr="00FB68E0">
        <w:rPr>
          <w:rFonts w:ascii="Times New Roman" w:eastAsia="Times New Roman" w:hAnsi="Times New Roman" w:cs="Times New Roman"/>
          <w:b/>
        </w:rPr>
        <w:t>d</w:t>
      </w:r>
      <w:r w:rsidRPr="00FB68E0">
        <w:rPr>
          <w:rFonts w:ascii="Times New Roman" w:eastAsia="Times New Roman" w:hAnsi="Times New Roman" w:cs="Times New Roman" w:hint="eastAsia"/>
        </w:rPr>
        <w:t xml:space="preserve"> Terminal deoxynucleotidyl transferase dUTP nick end labeling (TUNEL) staining showed a marked increase in apoptotic cells (green fluorescence) in the corneal epithelium of diabetic mice, indicating elevated apoptosis (scale bar: 20 μm). </w:t>
      </w:r>
      <w:r w:rsidR="009F248B" w:rsidRPr="00FB68E0">
        <w:rPr>
          <w:rFonts w:ascii="Times New Roman" w:eastAsia="Times New Roman" w:hAnsi="Times New Roman" w:cs="Times New Roman"/>
          <w:b/>
        </w:rPr>
        <w:t>e</w:t>
      </w:r>
      <w:r w:rsidRPr="00FB68E0">
        <w:rPr>
          <w:rFonts w:ascii="Times New Roman" w:eastAsia="Times New Roman" w:hAnsi="Times New Roman" w:cs="Times New Roman" w:hint="eastAsia"/>
        </w:rPr>
        <w:t xml:space="preserve"> Corneal nerve sensitivity testing using a Cochet-Bonnet esthesiometer revealed significantly reduced sensory responsiveness in diabetic mice compared with normal controls (</w:t>
      </w:r>
      <w:r w:rsidRPr="00FB68E0">
        <w:rPr>
          <w:rFonts w:ascii="Times New Roman" w:eastAsia="Times New Roman" w:hAnsi="Times New Roman" w:cs="Times New Roman"/>
          <w:i/>
        </w:rPr>
        <w:t>P</w:t>
      </w:r>
      <w:r w:rsidRPr="00FB68E0">
        <w:rPr>
          <w:rFonts w:ascii="Times New Roman" w:eastAsia="Times New Roman" w:hAnsi="Times New Roman" w:cs="Times New Roman" w:hint="eastAsia"/>
        </w:rPr>
        <w:t xml:space="preserve"> &lt; 0.001).  n = 6 mice per group. Data were analyzed using one-way ANOVA with Dunnett’s post-hoc test (for multiple groups) or unpaired two-tailed Student’s t-test (for two groups). **</w:t>
      </w:r>
      <w:r w:rsidRPr="00FB68E0">
        <w:rPr>
          <w:rFonts w:ascii="Times New Roman" w:eastAsia="Times New Roman" w:hAnsi="Times New Roman" w:cs="Times New Roman"/>
          <w:i/>
        </w:rPr>
        <w:t>P</w:t>
      </w:r>
      <w:r w:rsidRPr="00FB68E0">
        <w:rPr>
          <w:rFonts w:ascii="Times New Roman" w:eastAsia="Times New Roman" w:hAnsi="Times New Roman" w:cs="Times New Roman" w:hint="eastAsia"/>
        </w:rPr>
        <w:t xml:space="preserve"> &lt; 0.01 vs. normal control mice.</w:t>
      </w:r>
      <w:bookmarkStart w:id="4" w:name="_Hlk184325684"/>
      <w:bookmarkEnd w:id="3"/>
    </w:p>
    <w:p w14:paraId="09BADA59" w14:textId="5AB8307B" w:rsidR="00C716DE" w:rsidRPr="00FB68E0" w:rsidRDefault="00BF2B12" w:rsidP="001A6FEB">
      <w:pPr>
        <w:widowControl/>
        <w:spacing w:line="360" w:lineRule="auto"/>
        <w:jc w:val="left"/>
        <w:rPr>
          <w:rFonts w:ascii="Times New Roman" w:eastAsia="Times New Roman" w:hAnsi="Times New Roman" w:cs="Times New Roman"/>
          <w:b/>
          <w:bCs/>
        </w:rPr>
      </w:pPr>
      <w:r w:rsidRPr="00FB68E0">
        <w:rPr>
          <w:rFonts w:ascii="Times New Roman" w:eastAsia="Times New Roman" w:hAnsi="Times New Roman" w:cs="Times New Roman"/>
          <w:b/>
          <w:bCs/>
          <w:noProof/>
          <w:lang w:val="en-IN" w:eastAsia="en-IN"/>
        </w:rPr>
        <w:drawing>
          <wp:inline distT="0" distB="0" distL="0" distR="0" wp14:anchorId="6728C34F" wp14:editId="10BDF88D">
            <wp:extent cx="5369668" cy="4012705"/>
            <wp:effectExtent l="0" t="0" r="2540" b="635"/>
            <wp:docPr id="433545820" name="图片 1" descr="图片包含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545820" name="图片 1" descr="图片包含 图表&#10;&#10;描述已自动生成"/>
                    <pic:cNvPicPr/>
                  </pic:nvPicPr>
                  <pic:blipFill>
                    <a:blip r:embed="rId9"/>
                    <a:stretch>
                      <a:fillRect/>
                    </a:stretch>
                  </pic:blipFill>
                  <pic:spPr>
                    <a:xfrm>
                      <a:off x="0" y="0"/>
                      <a:ext cx="5372225" cy="4014616"/>
                    </a:xfrm>
                    <a:prstGeom prst="rect">
                      <a:avLst/>
                    </a:prstGeom>
                  </pic:spPr>
                </pic:pic>
              </a:graphicData>
            </a:graphic>
          </wp:inline>
        </w:drawing>
      </w:r>
    </w:p>
    <w:p w14:paraId="0FB7CDB1" w14:textId="77777777" w:rsidR="00C716DE" w:rsidRPr="00FB68E0" w:rsidRDefault="00C716DE" w:rsidP="001A6FEB">
      <w:pPr>
        <w:widowControl/>
        <w:spacing w:line="360" w:lineRule="auto"/>
        <w:jc w:val="left"/>
        <w:rPr>
          <w:rFonts w:ascii="Times New Roman" w:eastAsia="Times New Roman" w:hAnsi="Times New Roman" w:cs="Times New Roman"/>
          <w:b/>
          <w:bCs/>
        </w:rPr>
      </w:pPr>
    </w:p>
    <w:p w14:paraId="6A03D52A" w14:textId="77777777" w:rsidR="00576985" w:rsidRPr="00FB68E0" w:rsidRDefault="00576985" w:rsidP="001A6FEB">
      <w:pPr>
        <w:widowControl/>
        <w:spacing w:line="360" w:lineRule="auto"/>
        <w:jc w:val="left"/>
        <w:rPr>
          <w:rFonts w:ascii="Times New Roman" w:eastAsia="Times New Roman" w:hAnsi="Times New Roman" w:cs="Times New Roman"/>
          <w:b/>
          <w:bCs/>
        </w:rPr>
      </w:pPr>
    </w:p>
    <w:p w14:paraId="096D1522" w14:textId="021E9341" w:rsidR="00A70943" w:rsidRPr="00FB68E0" w:rsidRDefault="00F139DA" w:rsidP="001A6FEB">
      <w:pPr>
        <w:widowControl/>
        <w:spacing w:line="276" w:lineRule="auto"/>
        <w:jc w:val="left"/>
        <w:rPr>
          <w:rFonts w:ascii="Times New Roman" w:eastAsia="Times New Roman" w:hAnsi="Times New Roman" w:cs="Times New Roman"/>
          <w:b/>
          <w:bCs/>
        </w:rPr>
      </w:pPr>
      <w:r w:rsidRPr="00FB68E0">
        <w:rPr>
          <w:rFonts w:ascii="Times New Roman" w:eastAsia="Times New Roman" w:hAnsi="Times New Roman" w:cs="Times New Roman" w:hint="eastAsia"/>
          <w:b/>
          <w:bCs/>
        </w:rPr>
        <w:t>Figure S4. Spatial distribution of AdipoR1 and AdipoR2 in the normal mouse cornea as detected by immunofluorescence staining. Representative images from three independent experiments are shown.</w:t>
      </w:r>
      <w:bookmarkEnd w:id="4"/>
    </w:p>
    <w:p w14:paraId="38D06ACE" w14:textId="7662E0AF" w:rsidR="00A70943" w:rsidRPr="00FB68E0" w:rsidRDefault="00576985" w:rsidP="001A6FEB">
      <w:pPr>
        <w:widowControl/>
        <w:spacing w:line="276" w:lineRule="auto"/>
        <w:jc w:val="left"/>
        <w:rPr>
          <w:rFonts w:ascii="Times New Roman" w:eastAsia="Times New Roman" w:hAnsi="Times New Roman" w:cs="Times New Roman"/>
          <w:b/>
          <w:bCs/>
        </w:rPr>
      </w:pPr>
      <w:r w:rsidRPr="00FB68E0">
        <w:rPr>
          <w:rFonts w:ascii="Times New Roman" w:eastAsia="Times New Roman" w:hAnsi="Times New Roman" w:cs="Times New Roman"/>
          <w:b/>
          <w:bCs/>
          <w:noProof/>
          <w:lang w:val="en-IN" w:eastAsia="en-IN"/>
        </w:rPr>
        <w:drawing>
          <wp:inline distT="0" distB="0" distL="0" distR="0" wp14:anchorId="4A528373" wp14:editId="43DE4EFF">
            <wp:extent cx="5900076" cy="1047750"/>
            <wp:effectExtent l="0" t="0" r="5715" b="0"/>
            <wp:docPr id="547041861" name="图片 1"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41861" name="图片 1" descr="图形用户界面&#10;&#10;描述已自动生成"/>
                    <pic:cNvPicPr/>
                  </pic:nvPicPr>
                  <pic:blipFill>
                    <a:blip r:embed="rId10"/>
                    <a:stretch>
                      <a:fillRect/>
                    </a:stretch>
                  </pic:blipFill>
                  <pic:spPr>
                    <a:xfrm>
                      <a:off x="0" y="0"/>
                      <a:ext cx="5902394" cy="1048162"/>
                    </a:xfrm>
                    <a:prstGeom prst="rect">
                      <a:avLst/>
                    </a:prstGeom>
                  </pic:spPr>
                </pic:pic>
              </a:graphicData>
            </a:graphic>
          </wp:inline>
        </w:drawing>
      </w:r>
    </w:p>
    <w:p w14:paraId="2E9E362E" w14:textId="56ED71BC" w:rsidR="00A70943" w:rsidRPr="00FB68E0" w:rsidRDefault="00A70943" w:rsidP="001A6FEB">
      <w:pPr>
        <w:spacing w:line="276" w:lineRule="auto"/>
        <w:jc w:val="left"/>
      </w:pPr>
    </w:p>
    <w:p w14:paraId="0117CE35" w14:textId="77777777" w:rsidR="006D7D55" w:rsidRPr="00FB68E0" w:rsidRDefault="006D7D55" w:rsidP="001A6FEB">
      <w:pPr>
        <w:spacing w:line="276" w:lineRule="auto"/>
        <w:jc w:val="left"/>
        <w:rPr>
          <w:rFonts w:ascii="Times New Roman" w:eastAsia="Times New Roman" w:hAnsi="Times New Roman" w:cs="Times New Roman"/>
          <w:b/>
          <w:bCs/>
        </w:rPr>
      </w:pPr>
      <w:bookmarkStart w:id="5" w:name="_Hlk184325690"/>
    </w:p>
    <w:p w14:paraId="48E8B204" w14:textId="77777777" w:rsidR="00C716DE" w:rsidRPr="00FB68E0" w:rsidRDefault="00C716DE" w:rsidP="001A6FEB">
      <w:pPr>
        <w:spacing w:line="276" w:lineRule="auto"/>
        <w:jc w:val="left"/>
        <w:rPr>
          <w:rFonts w:ascii="Times New Roman" w:eastAsia="Times New Roman" w:hAnsi="Times New Roman" w:cs="Times New Roman"/>
          <w:b/>
          <w:bCs/>
        </w:rPr>
      </w:pPr>
    </w:p>
    <w:p w14:paraId="72D441C6" w14:textId="77777777" w:rsidR="009E3425" w:rsidRPr="00FB68E0" w:rsidRDefault="009E3425" w:rsidP="001A6FEB">
      <w:pPr>
        <w:spacing w:line="276" w:lineRule="auto"/>
        <w:jc w:val="left"/>
        <w:rPr>
          <w:rFonts w:ascii="Times New Roman" w:eastAsia="Times New Roman" w:hAnsi="Times New Roman" w:cs="Times New Roman"/>
          <w:b/>
          <w:bCs/>
        </w:rPr>
      </w:pPr>
    </w:p>
    <w:p w14:paraId="26746081" w14:textId="77777777" w:rsidR="009E3425" w:rsidRPr="00FB68E0" w:rsidRDefault="009E3425" w:rsidP="001A6FEB">
      <w:pPr>
        <w:spacing w:line="276" w:lineRule="auto"/>
        <w:jc w:val="left"/>
        <w:rPr>
          <w:rFonts w:ascii="Times New Roman" w:eastAsia="Times New Roman" w:hAnsi="Times New Roman" w:cs="Times New Roman"/>
          <w:b/>
          <w:bCs/>
        </w:rPr>
      </w:pPr>
    </w:p>
    <w:p w14:paraId="69F5A296" w14:textId="77777777" w:rsidR="009E3425" w:rsidRPr="00FB68E0" w:rsidRDefault="009E3425" w:rsidP="001A6FEB">
      <w:pPr>
        <w:spacing w:line="276" w:lineRule="auto"/>
        <w:jc w:val="left"/>
        <w:rPr>
          <w:rFonts w:ascii="Times New Roman" w:eastAsia="Times New Roman" w:hAnsi="Times New Roman" w:cs="Times New Roman"/>
          <w:b/>
          <w:bCs/>
        </w:rPr>
      </w:pPr>
    </w:p>
    <w:p w14:paraId="614FE390" w14:textId="77777777" w:rsidR="00C716DE" w:rsidRPr="00FB68E0" w:rsidRDefault="00C716DE" w:rsidP="001A6FEB">
      <w:pPr>
        <w:spacing w:line="276" w:lineRule="auto"/>
        <w:jc w:val="left"/>
        <w:rPr>
          <w:rFonts w:ascii="Times New Roman" w:eastAsia="Times New Roman" w:hAnsi="Times New Roman" w:cs="Times New Roman"/>
          <w:b/>
          <w:bCs/>
        </w:rPr>
      </w:pPr>
    </w:p>
    <w:p w14:paraId="0FCFBCD1" w14:textId="34103015" w:rsidR="00A70943" w:rsidRPr="00FB68E0" w:rsidRDefault="00F139DA" w:rsidP="001A6FEB">
      <w:pPr>
        <w:spacing w:line="276" w:lineRule="auto"/>
        <w:jc w:val="left"/>
        <w:rPr>
          <w:rFonts w:ascii="Microsoft YaHei" w:eastAsia="Microsoft YaHei" w:hAnsi="Microsoft YaHei" w:cs="Microsoft YaHei"/>
          <w:b/>
          <w:bCs/>
          <w:lang w:eastAsia="zh-CN"/>
        </w:rPr>
      </w:pPr>
      <w:r w:rsidRPr="00FB68E0">
        <w:rPr>
          <w:rFonts w:ascii="Times New Roman" w:eastAsia="Times New Roman" w:hAnsi="Times New Roman" w:cs="Times New Roman" w:hint="eastAsia"/>
          <w:b/>
          <w:bCs/>
        </w:rPr>
        <w:t xml:space="preserve">Figure S5. Immunofluorescence staining reveals positive AdipoR1/R2 expression in normal human corneal epithelial cells (HCECs). </w:t>
      </w:r>
      <w:r w:rsidRPr="00FB68E0">
        <w:rPr>
          <w:rFonts w:ascii="Times New Roman" w:eastAsia="Times New Roman" w:hAnsi="Times New Roman" w:cs="Times New Roman" w:hint="eastAsia"/>
        </w:rPr>
        <w:t>Representative immunofluorescence images of AdipoR1 and AdipoR2 staining in normal HCECs are shown. Positive staining (as indicated by fluorescence intensity) was detected in the cytoplasm and/or membrane of HCECs, consistent with the subcellular localization of adiponectin receptors. Images are representative of three independent cell culture experiments.</w:t>
      </w:r>
      <w:r w:rsidR="000B5020" w:rsidRPr="00FB68E0">
        <w:rPr>
          <w:rFonts w:ascii="Times New Roman" w:eastAsia="Times New Roman" w:hAnsi="Times New Roman" w:cs="Times New Roman"/>
        </w:rPr>
        <w:t xml:space="preserve"> </w:t>
      </w:r>
      <w:r w:rsidR="000B5020" w:rsidRPr="00FB68E0">
        <w:rPr>
          <w:rFonts w:ascii="Times New Roman Regular" w:hAnsi="Times New Roman Regular" w:cs="Times New Roman Regular"/>
          <w:szCs w:val="24"/>
          <w:lang w:val="en-US"/>
        </w:rPr>
        <w:t xml:space="preserve">Scale bar represents </w:t>
      </w:r>
      <w:r w:rsidR="003033F7" w:rsidRPr="00FB68E0">
        <w:rPr>
          <w:rFonts w:ascii="Times New Roman Regular" w:hAnsi="Times New Roman Regular" w:cs="Times New Roman Regular"/>
          <w:szCs w:val="24"/>
          <w:lang w:val="en-US"/>
        </w:rPr>
        <w:t>2</w:t>
      </w:r>
      <w:r w:rsidR="000B5020" w:rsidRPr="00FB68E0">
        <w:rPr>
          <w:rFonts w:ascii="Times New Roman Regular" w:hAnsi="Times New Roman Regular" w:cs="Times New Roman Regular"/>
          <w:szCs w:val="24"/>
          <w:lang w:val="en-US"/>
        </w:rPr>
        <w:t>5 μm</w:t>
      </w:r>
      <w:r w:rsidR="000B5020" w:rsidRPr="00FB68E0">
        <w:rPr>
          <w:rFonts w:ascii="Times New Roman" w:eastAsia="Times New Roman" w:hAnsi="Times New Roman" w:cs="Times New Roman" w:hint="eastAsia"/>
        </w:rPr>
        <w:t>.</w:t>
      </w:r>
    </w:p>
    <w:p w14:paraId="2F8B56CC" w14:textId="43D2E166" w:rsidR="00A70943" w:rsidRPr="00FB68E0" w:rsidRDefault="000B5020" w:rsidP="001A6FEB">
      <w:pPr>
        <w:spacing w:line="276" w:lineRule="auto"/>
        <w:jc w:val="left"/>
        <w:rPr>
          <w:rFonts w:ascii="Times New Roman" w:eastAsia="Times New Roman" w:hAnsi="Times New Roman" w:cs="Times New Roman"/>
          <w:sz w:val="22"/>
          <w:szCs w:val="18"/>
          <w:lang w:val="en-US"/>
        </w:rPr>
      </w:pPr>
      <w:r w:rsidRPr="00FB68E0">
        <w:rPr>
          <w:rFonts w:ascii="Times New Roman" w:eastAsia="Times New Roman" w:hAnsi="Times New Roman" w:cs="Times New Roman"/>
          <w:noProof/>
          <w:sz w:val="22"/>
          <w:szCs w:val="18"/>
          <w:lang w:val="en-IN" w:eastAsia="en-IN"/>
        </w:rPr>
        <w:drawing>
          <wp:inline distT="0" distB="0" distL="0" distR="0" wp14:anchorId="0C1DCCDE" wp14:editId="5D5A6BCD">
            <wp:extent cx="5274310" cy="2085975"/>
            <wp:effectExtent l="0" t="0" r="0" b="0"/>
            <wp:docPr id="14652028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202868" name=""/>
                    <pic:cNvPicPr/>
                  </pic:nvPicPr>
                  <pic:blipFill>
                    <a:blip r:embed="rId11"/>
                    <a:stretch>
                      <a:fillRect/>
                    </a:stretch>
                  </pic:blipFill>
                  <pic:spPr>
                    <a:xfrm>
                      <a:off x="0" y="0"/>
                      <a:ext cx="5274310" cy="2085975"/>
                    </a:xfrm>
                    <a:prstGeom prst="rect">
                      <a:avLst/>
                    </a:prstGeom>
                  </pic:spPr>
                </pic:pic>
              </a:graphicData>
            </a:graphic>
          </wp:inline>
        </w:drawing>
      </w:r>
    </w:p>
    <w:bookmarkEnd w:id="5"/>
    <w:p w14:paraId="73A4497D" w14:textId="523BBBF8" w:rsidR="006D7D55" w:rsidRPr="00FB68E0" w:rsidRDefault="006D7D55" w:rsidP="001A6FEB">
      <w:pPr>
        <w:widowControl/>
        <w:spacing w:line="276" w:lineRule="auto"/>
        <w:jc w:val="left"/>
        <w:rPr>
          <w:rFonts w:ascii="Times New Roman" w:eastAsia="Times New Roman" w:hAnsi="Times New Roman" w:cs="Times New Roman"/>
          <w:b/>
          <w:bCs/>
          <w:sz w:val="22"/>
          <w:szCs w:val="18"/>
          <w:lang w:val="en-US"/>
        </w:rPr>
      </w:pPr>
      <w:r w:rsidRPr="00FB68E0">
        <w:rPr>
          <w:rFonts w:ascii="Times New Roman" w:eastAsia="Times New Roman" w:hAnsi="Times New Roman" w:cs="Times New Roman"/>
          <w:b/>
          <w:bCs/>
          <w:sz w:val="22"/>
          <w:szCs w:val="18"/>
          <w:lang w:val="en-US"/>
        </w:rPr>
        <w:br w:type="page"/>
      </w:r>
    </w:p>
    <w:p w14:paraId="47F749DF" w14:textId="42895432" w:rsidR="00A70943" w:rsidRPr="00FB68E0" w:rsidRDefault="00F139DA" w:rsidP="001A6FEB">
      <w:pPr>
        <w:widowControl/>
        <w:spacing w:line="276" w:lineRule="auto"/>
        <w:jc w:val="left"/>
        <w:rPr>
          <w:rFonts w:ascii="Times New Roman" w:eastAsia="Times New Roman" w:hAnsi="Times New Roman" w:cs="Times New Roman"/>
          <w:sz w:val="22"/>
          <w:szCs w:val="18"/>
          <w:lang w:val="en-US"/>
        </w:rPr>
      </w:pPr>
      <w:r w:rsidRPr="00FB68E0">
        <w:rPr>
          <w:rFonts w:ascii="Times New Roman" w:eastAsia="Times New Roman" w:hAnsi="Times New Roman" w:cs="Times New Roman" w:hint="eastAsia"/>
          <w:b/>
          <w:bCs/>
          <w:sz w:val="22"/>
          <w:szCs w:val="18"/>
          <w:lang w:val="en-US"/>
        </w:rPr>
        <w:t xml:space="preserve">Figure S6. Silencing of AdipoR1 or AdipoR2 expression using receptor-specific siRNAs and analysis of their spatial distribution in mouse corneas. </w:t>
      </w:r>
      <w:r w:rsidRPr="00FB68E0">
        <w:rPr>
          <w:rFonts w:ascii="Times New Roman" w:eastAsia="Times New Roman" w:hAnsi="Times New Roman" w:cs="Times New Roman" w:hint="eastAsia"/>
          <w:sz w:val="22"/>
          <w:szCs w:val="18"/>
          <w:lang w:val="en-US"/>
        </w:rPr>
        <w:t>AdipoR1- or AdipoR2-specific siRNAs were transfected into mouse corneas to silence receptor expression. Immunofluorescence staining was performed to visualize the spatial distribution of AdipoR1 and AdipoR2, followed by semi-quantitative analysis of their expression levels. Representative immunofluorescence images from three independent experiments are shown.</w:t>
      </w:r>
    </w:p>
    <w:p w14:paraId="296FC78D" w14:textId="40472757" w:rsidR="001A6FEB" w:rsidRPr="00FB68E0" w:rsidRDefault="001A6FEB" w:rsidP="001A6FEB">
      <w:pPr>
        <w:widowControl/>
        <w:spacing w:line="276" w:lineRule="auto"/>
        <w:jc w:val="left"/>
        <w:rPr>
          <w:rFonts w:ascii="Times New Roman" w:eastAsia="Times New Roman" w:hAnsi="Times New Roman" w:cs="Times New Roman"/>
          <w:sz w:val="22"/>
          <w:szCs w:val="18"/>
          <w:lang w:val="en-US"/>
        </w:rPr>
      </w:pPr>
    </w:p>
    <w:p w14:paraId="04BD1A83" w14:textId="77777777" w:rsidR="001A6FEB" w:rsidRPr="00FB68E0" w:rsidRDefault="001A6FEB" w:rsidP="001A6FEB">
      <w:pPr>
        <w:widowControl/>
        <w:spacing w:line="276" w:lineRule="auto"/>
        <w:jc w:val="left"/>
        <w:rPr>
          <w:rFonts w:ascii="Times New Roman" w:eastAsia="Times New Roman" w:hAnsi="Times New Roman" w:cs="Times New Roman"/>
          <w:sz w:val="22"/>
          <w:szCs w:val="18"/>
          <w:lang w:val="en-US"/>
        </w:rPr>
      </w:pPr>
    </w:p>
    <w:p w14:paraId="74D9D935" w14:textId="1438F220" w:rsidR="00A70943" w:rsidRPr="00FB68E0" w:rsidRDefault="00576985" w:rsidP="001A6FEB">
      <w:pPr>
        <w:widowControl/>
        <w:spacing w:line="276" w:lineRule="auto"/>
        <w:jc w:val="left"/>
        <w:rPr>
          <w:rFonts w:ascii="Times New Roman" w:eastAsia="Times New Roman" w:hAnsi="Times New Roman" w:cs="Times New Roman"/>
          <w:sz w:val="22"/>
          <w:szCs w:val="18"/>
          <w:lang w:val="en-US"/>
        </w:rPr>
      </w:pPr>
      <w:r w:rsidRPr="00FB68E0">
        <w:rPr>
          <w:rFonts w:ascii="Times New Roman" w:eastAsia="Times New Roman" w:hAnsi="Times New Roman" w:cs="Times New Roman"/>
          <w:noProof/>
          <w:sz w:val="22"/>
          <w:szCs w:val="18"/>
          <w:lang w:val="en-IN" w:eastAsia="en-IN"/>
        </w:rPr>
        <w:drawing>
          <wp:inline distT="0" distB="0" distL="0" distR="0" wp14:anchorId="67AD62F4" wp14:editId="45FB4203">
            <wp:extent cx="5589994" cy="3114675"/>
            <wp:effectExtent l="0" t="0" r="0" b="0"/>
            <wp:docPr id="1950914857" name="图片 1" descr="图片包含 背景图案&#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914857" name="图片 1" descr="图片包含 背景图案&#10;&#10;描述已自动生成"/>
                    <pic:cNvPicPr/>
                  </pic:nvPicPr>
                  <pic:blipFill>
                    <a:blip r:embed="rId12"/>
                    <a:stretch>
                      <a:fillRect/>
                    </a:stretch>
                  </pic:blipFill>
                  <pic:spPr>
                    <a:xfrm>
                      <a:off x="0" y="0"/>
                      <a:ext cx="5590883" cy="3115170"/>
                    </a:xfrm>
                    <a:prstGeom prst="rect">
                      <a:avLst/>
                    </a:prstGeom>
                  </pic:spPr>
                </pic:pic>
              </a:graphicData>
            </a:graphic>
          </wp:inline>
        </w:drawing>
      </w:r>
    </w:p>
    <w:p w14:paraId="646EC75A" w14:textId="3F257553" w:rsidR="00A70943" w:rsidRPr="00FB68E0" w:rsidRDefault="00A70943" w:rsidP="001A6FEB">
      <w:pPr>
        <w:spacing w:line="360" w:lineRule="auto"/>
        <w:jc w:val="left"/>
        <w:rPr>
          <w:rFonts w:ascii="Times New Roman" w:eastAsia="Times New Roman" w:hAnsi="Times New Roman" w:cs="Times New Roman"/>
        </w:rPr>
      </w:pPr>
    </w:p>
    <w:p w14:paraId="35EB6B55" w14:textId="77777777" w:rsidR="006D7D55" w:rsidRPr="00FB68E0" w:rsidRDefault="006D7D55" w:rsidP="001A6FEB">
      <w:pPr>
        <w:widowControl/>
        <w:jc w:val="left"/>
        <w:rPr>
          <w:rFonts w:ascii="Times New Roman" w:eastAsia="Times New Roman" w:hAnsi="Times New Roman" w:cs="Times New Roman"/>
          <w:b/>
          <w:bCs/>
        </w:rPr>
      </w:pPr>
      <w:bookmarkStart w:id="6" w:name="_Hlk184325703"/>
      <w:r w:rsidRPr="00FB68E0">
        <w:rPr>
          <w:rFonts w:ascii="Times New Roman" w:eastAsia="Times New Roman" w:hAnsi="Times New Roman" w:cs="Times New Roman"/>
          <w:b/>
          <w:bCs/>
        </w:rPr>
        <w:br w:type="page"/>
      </w:r>
    </w:p>
    <w:p w14:paraId="239462BA" w14:textId="09E8C426" w:rsidR="009E3425" w:rsidRPr="00FB68E0" w:rsidRDefault="00F139DA" w:rsidP="001A6FEB">
      <w:pPr>
        <w:spacing w:line="276" w:lineRule="auto"/>
        <w:jc w:val="left"/>
        <w:rPr>
          <w:rFonts w:ascii="Times New Roman" w:eastAsia="Times New Roman" w:hAnsi="Times New Roman" w:cs="Times New Roman"/>
        </w:rPr>
      </w:pPr>
      <w:r w:rsidRPr="00FB68E0">
        <w:rPr>
          <w:rFonts w:ascii="Times New Roman" w:eastAsia="Times New Roman" w:hAnsi="Times New Roman" w:cs="Times New Roman" w:hint="eastAsia"/>
          <w:b/>
          <w:bCs/>
        </w:rPr>
        <w:t xml:space="preserve">Figure S7. Reduced activation of IRS1 and AKT signaling pathways during corneal injury healing in type 1 diabetic mice.  </w:t>
      </w:r>
      <w:r w:rsidR="00D2757B" w:rsidRPr="00FB68E0">
        <w:rPr>
          <w:rFonts w:ascii="Times New Roman" w:eastAsia="Times New Roman" w:hAnsi="Times New Roman" w:cs="Times New Roman"/>
          <w:b/>
        </w:rPr>
        <w:t>a, c</w:t>
      </w:r>
      <w:r w:rsidRPr="00FB68E0">
        <w:rPr>
          <w:rFonts w:ascii="Times New Roman" w:eastAsia="Times New Roman" w:hAnsi="Times New Roman" w:cs="Times New Roman" w:hint="eastAsia"/>
        </w:rPr>
        <w:t xml:space="preserve"> Western blot analysis of phosphorylated insulin receptor substrate 1 (p-IRS1) and phosphorylated AKT (p-AKT) protein expression in diabetic mice during corneal epithelial injury healing. </w:t>
      </w:r>
      <w:r w:rsidR="00D2757B" w:rsidRPr="00FB68E0">
        <w:rPr>
          <w:rFonts w:ascii="Times New Roman" w:eastAsia="Times New Roman" w:hAnsi="Times New Roman" w:cs="Times New Roman"/>
          <w:b/>
        </w:rPr>
        <w:t>b, d</w:t>
      </w:r>
      <w:r w:rsidRPr="00FB68E0">
        <w:rPr>
          <w:rFonts w:ascii="Times New Roman" w:eastAsia="Times New Roman" w:hAnsi="Times New Roman" w:cs="Times New Roman" w:hint="eastAsia"/>
        </w:rPr>
        <w:t xml:space="preserve"> Immunofluorescence staining of p-IRS1 </w:t>
      </w:r>
      <w:r w:rsidR="00D2757B" w:rsidRPr="00FB68E0">
        <w:rPr>
          <w:rFonts w:ascii="Times New Roman" w:eastAsia="Times New Roman" w:hAnsi="Times New Roman" w:cs="Times New Roman"/>
        </w:rPr>
        <w:t>(</w:t>
      </w:r>
      <w:r w:rsidR="00D2757B" w:rsidRPr="00FB68E0">
        <w:rPr>
          <w:rFonts w:ascii="Times New Roman" w:eastAsia="Times New Roman" w:hAnsi="Times New Roman" w:cs="Times New Roman"/>
          <w:b/>
        </w:rPr>
        <w:t>b</w:t>
      </w:r>
      <w:r w:rsidRPr="00FB68E0">
        <w:rPr>
          <w:rFonts w:ascii="Times New Roman" w:eastAsia="Times New Roman" w:hAnsi="Times New Roman" w:cs="Times New Roman" w:hint="eastAsia"/>
        </w:rPr>
        <w:t>) and p-AKT (</w:t>
      </w:r>
      <w:r w:rsidR="00D2757B" w:rsidRPr="00FB68E0">
        <w:rPr>
          <w:rFonts w:ascii="Times New Roman" w:eastAsia="Times New Roman" w:hAnsi="Times New Roman" w:cs="Times New Roman"/>
          <w:b/>
        </w:rPr>
        <w:t>d</w:t>
      </w:r>
      <w:r w:rsidRPr="00FB68E0">
        <w:rPr>
          <w:rFonts w:ascii="Times New Roman" w:eastAsia="Times New Roman" w:hAnsi="Times New Roman" w:cs="Times New Roman" w:hint="eastAsia"/>
        </w:rPr>
        <w:t>) in corneal epithelia of diabetic mice and normal controls. Fluorescence intensity of p-IRS1 and p-AKT was markedly weaker in diabetic mice compared with normal mice. Representative images from three independent experiments are shown. Reduced activation of IRS1 and AKT signaling correlates with impaired corneal epithelial repair in type 1 diabetes, consistent with the pathological phenotype of delayed wound healing.</w:t>
      </w:r>
      <w:bookmarkStart w:id="7" w:name="_Hlk184325710"/>
      <w:bookmarkEnd w:id="6"/>
    </w:p>
    <w:p w14:paraId="41B999F4" w14:textId="054816D3" w:rsidR="001A6FEB" w:rsidRPr="00FB68E0" w:rsidRDefault="001A6FEB" w:rsidP="001A6FEB">
      <w:pPr>
        <w:spacing w:line="276" w:lineRule="auto"/>
        <w:jc w:val="left"/>
        <w:rPr>
          <w:rFonts w:ascii="Times New Roman" w:eastAsia="Times New Roman" w:hAnsi="Times New Roman" w:cs="Times New Roman"/>
        </w:rPr>
      </w:pPr>
    </w:p>
    <w:p w14:paraId="39A041AB" w14:textId="77777777" w:rsidR="001A6FEB" w:rsidRPr="00FB68E0" w:rsidRDefault="001A6FEB" w:rsidP="001A6FEB">
      <w:pPr>
        <w:spacing w:line="276" w:lineRule="auto"/>
        <w:jc w:val="left"/>
        <w:rPr>
          <w:rFonts w:ascii="Times New Roman" w:eastAsia="Times New Roman" w:hAnsi="Times New Roman" w:cs="Times New Roman"/>
        </w:rPr>
      </w:pPr>
    </w:p>
    <w:p w14:paraId="1A420279" w14:textId="6174D33A" w:rsidR="009E3425" w:rsidRPr="00FB68E0" w:rsidRDefault="00766D88" w:rsidP="001A6FEB">
      <w:pPr>
        <w:widowControl/>
        <w:spacing w:line="276" w:lineRule="auto"/>
        <w:jc w:val="left"/>
        <w:rPr>
          <w:rFonts w:ascii="Times New Roman" w:eastAsia="Times New Roman" w:hAnsi="Times New Roman" w:cs="Times New Roman"/>
          <w:b/>
          <w:bCs/>
        </w:rPr>
      </w:pPr>
      <w:r w:rsidRPr="00FB68E0">
        <w:rPr>
          <w:rFonts w:ascii="Times New Roman" w:eastAsia="Times New Roman" w:hAnsi="Times New Roman" w:cs="Times New Roman"/>
          <w:b/>
          <w:bCs/>
          <w:noProof/>
          <w:lang w:val="en-IN" w:eastAsia="en-IN"/>
        </w:rPr>
        <w:drawing>
          <wp:inline distT="0" distB="0" distL="0" distR="0" wp14:anchorId="59D84B29" wp14:editId="39455059">
            <wp:extent cx="5274310" cy="3286760"/>
            <wp:effectExtent l="0" t="0" r="0" b="2540"/>
            <wp:docPr id="621434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43403" name=""/>
                    <pic:cNvPicPr/>
                  </pic:nvPicPr>
                  <pic:blipFill>
                    <a:blip r:embed="rId13"/>
                    <a:stretch>
                      <a:fillRect/>
                    </a:stretch>
                  </pic:blipFill>
                  <pic:spPr>
                    <a:xfrm>
                      <a:off x="0" y="0"/>
                      <a:ext cx="5274310" cy="3286760"/>
                    </a:xfrm>
                    <a:prstGeom prst="rect">
                      <a:avLst/>
                    </a:prstGeom>
                  </pic:spPr>
                </pic:pic>
              </a:graphicData>
            </a:graphic>
          </wp:inline>
        </w:drawing>
      </w:r>
    </w:p>
    <w:p w14:paraId="5FB54D13" w14:textId="77777777" w:rsidR="009E3425" w:rsidRPr="00FB68E0" w:rsidRDefault="009E3425" w:rsidP="001A6FEB">
      <w:pPr>
        <w:widowControl/>
        <w:spacing w:line="276" w:lineRule="auto"/>
        <w:jc w:val="left"/>
        <w:rPr>
          <w:rFonts w:ascii="Times New Roman" w:eastAsia="Times New Roman" w:hAnsi="Times New Roman" w:cs="Times New Roman"/>
          <w:b/>
          <w:bCs/>
        </w:rPr>
      </w:pPr>
    </w:p>
    <w:p w14:paraId="36B4E71C" w14:textId="77777777" w:rsidR="009E3425" w:rsidRPr="00FB68E0" w:rsidRDefault="009E3425" w:rsidP="001A6FEB">
      <w:pPr>
        <w:widowControl/>
        <w:spacing w:line="276" w:lineRule="auto"/>
        <w:jc w:val="left"/>
        <w:rPr>
          <w:rFonts w:ascii="Times New Roman" w:eastAsia="Times New Roman" w:hAnsi="Times New Roman" w:cs="Times New Roman"/>
          <w:b/>
          <w:bCs/>
        </w:rPr>
      </w:pPr>
    </w:p>
    <w:p w14:paraId="52AF4A5E" w14:textId="77777777" w:rsidR="009E3425" w:rsidRPr="00FB68E0" w:rsidRDefault="009E3425" w:rsidP="001A6FEB">
      <w:pPr>
        <w:widowControl/>
        <w:spacing w:line="276" w:lineRule="auto"/>
        <w:jc w:val="left"/>
        <w:rPr>
          <w:rFonts w:ascii="Times New Roman" w:eastAsia="Times New Roman" w:hAnsi="Times New Roman" w:cs="Times New Roman"/>
          <w:b/>
          <w:bCs/>
        </w:rPr>
      </w:pPr>
    </w:p>
    <w:p w14:paraId="7D8DB607" w14:textId="77777777" w:rsidR="009E3425" w:rsidRPr="00FB68E0" w:rsidRDefault="009E3425" w:rsidP="001A6FEB">
      <w:pPr>
        <w:widowControl/>
        <w:spacing w:line="276" w:lineRule="auto"/>
        <w:jc w:val="left"/>
        <w:rPr>
          <w:rFonts w:ascii="Times New Roman" w:eastAsia="Times New Roman" w:hAnsi="Times New Roman" w:cs="Times New Roman"/>
          <w:b/>
          <w:bCs/>
        </w:rPr>
      </w:pPr>
    </w:p>
    <w:p w14:paraId="03996888" w14:textId="77777777" w:rsidR="009E3425" w:rsidRPr="00FB68E0" w:rsidRDefault="009E3425" w:rsidP="001A6FEB">
      <w:pPr>
        <w:widowControl/>
        <w:spacing w:line="276" w:lineRule="auto"/>
        <w:jc w:val="left"/>
        <w:rPr>
          <w:rFonts w:ascii="Times New Roman" w:eastAsia="Times New Roman" w:hAnsi="Times New Roman" w:cs="Times New Roman"/>
          <w:b/>
          <w:bCs/>
        </w:rPr>
      </w:pPr>
    </w:p>
    <w:p w14:paraId="5AF28A42" w14:textId="77777777" w:rsidR="00766D88" w:rsidRPr="00FB68E0" w:rsidRDefault="00766D88" w:rsidP="001A6FEB">
      <w:pPr>
        <w:widowControl/>
        <w:spacing w:line="276" w:lineRule="auto"/>
        <w:jc w:val="left"/>
        <w:rPr>
          <w:rFonts w:ascii="Times New Roman" w:eastAsia="Times New Roman" w:hAnsi="Times New Roman" w:cs="Times New Roman"/>
          <w:b/>
          <w:bCs/>
        </w:rPr>
      </w:pPr>
    </w:p>
    <w:p w14:paraId="32F6DAC6" w14:textId="77777777" w:rsidR="00766D88" w:rsidRPr="00FB68E0" w:rsidRDefault="00766D88" w:rsidP="001A6FEB">
      <w:pPr>
        <w:widowControl/>
        <w:spacing w:line="276" w:lineRule="auto"/>
        <w:jc w:val="left"/>
        <w:rPr>
          <w:rFonts w:ascii="Times New Roman" w:eastAsia="Times New Roman" w:hAnsi="Times New Roman" w:cs="Times New Roman"/>
          <w:b/>
          <w:bCs/>
        </w:rPr>
      </w:pPr>
    </w:p>
    <w:p w14:paraId="3032485B" w14:textId="77777777" w:rsidR="00766D88" w:rsidRPr="00FB68E0" w:rsidRDefault="00766D88" w:rsidP="001A6FEB">
      <w:pPr>
        <w:widowControl/>
        <w:spacing w:line="276" w:lineRule="auto"/>
        <w:jc w:val="left"/>
        <w:rPr>
          <w:rFonts w:ascii="Times New Roman" w:eastAsia="Times New Roman" w:hAnsi="Times New Roman" w:cs="Times New Roman"/>
          <w:b/>
          <w:bCs/>
        </w:rPr>
      </w:pPr>
    </w:p>
    <w:p w14:paraId="0E7963DA" w14:textId="77777777" w:rsidR="009E3425" w:rsidRPr="00FB68E0" w:rsidRDefault="009E3425" w:rsidP="001A6FEB">
      <w:pPr>
        <w:widowControl/>
        <w:spacing w:line="276" w:lineRule="auto"/>
        <w:jc w:val="left"/>
        <w:rPr>
          <w:rFonts w:ascii="Times New Roman" w:eastAsia="Times New Roman" w:hAnsi="Times New Roman" w:cs="Times New Roman"/>
          <w:b/>
          <w:bCs/>
        </w:rPr>
      </w:pPr>
    </w:p>
    <w:p w14:paraId="0FA51187" w14:textId="77777777" w:rsidR="009E3425" w:rsidRPr="00FB68E0" w:rsidRDefault="009E3425" w:rsidP="001A6FEB">
      <w:pPr>
        <w:widowControl/>
        <w:spacing w:line="276" w:lineRule="auto"/>
        <w:jc w:val="left"/>
        <w:rPr>
          <w:rFonts w:ascii="Times New Roman" w:eastAsia="Times New Roman" w:hAnsi="Times New Roman" w:cs="Times New Roman"/>
          <w:b/>
          <w:bCs/>
        </w:rPr>
      </w:pPr>
    </w:p>
    <w:p w14:paraId="324FC3ED" w14:textId="77777777" w:rsidR="009E3425" w:rsidRPr="00FB68E0" w:rsidRDefault="009E3425" w:rsidP="001A6FEB">
      <w:pPr>
        <w:widowControl/>
        <w:spacing w:line="276" w:lineRule="auto"/>
        <w:jc w:val="left"/>
        <w:rPr>
          <w:rFonts w:ascii="Times New Roman" w:eastAsia="Times New Roman" w:hAnsi="Times New Roman" w:cs="Times New Roman"/>
          <w:b/>
          <w:bCs/>
        </w:rPr>
      </w:pPr>
    </w:p>
    <w:p w14:paraId="05A700B9" w14:textId="77777777" w:rsidR="009E3425" w:rsidRPr="00FB68E0" w:rsidRDefault="009E3425" w:rsidP="001A6FEB">
      <w:pPr>
        <w:widowControl/>
        <w:spacing w:line="276" w:lineRule="auto"/>
        <w:jc w:val="left"/>
        <w:rPr>
          <w:rFonts w:ascii="Times New Roman" w:eastAsia="Times New Roman" w:hAnsi="Times New Roman" w:cs="Times New Roman"/>
          <w:b/>
          <w:bCs/>
        </w:rPr>
      </w:pPr>
    </w:p>
    <w:p w14:paraId="345C22FB" w14:textId="77777777" w:rsidR="009E3425" w:rsidRPr="00FB68E0" w:rsidRDefault="009E3425" w:rsidP="001A6FEB">
      <w:pPr>
        <w:widowControl/>
        <w:spacing w:line="276" w:lineRule="auto"/>
        <w:jc w:val="left"/>
        <w:rPr>
          <w:rFonts w:ascii="Times New Roman" w:eastAsia="Times New Roman" w:hAnsi="Times New Roman" w:cs="Times New Roman"/>
          <w:b/>
          <w:bCs/>
        </w:rPr>
      </w:pPr>
    </w:p>
    <w:p w14:paraId="359C7584" w14:textId="4F931D1C" w:rsidR="00A70943" w:rsidRPr="00FB68E0" w:rsidRDefault="00F139DA" w:rsidP="001A6FEB">
      <w:pPr>
        <w:spacing w:line="276" w:lineRule="auto"/>
        <w:jc w:val="left"/>
        <w:rPr>
          <w:rFonts w:ascii="Times New Roman" w:eastAsia="Times New Roman" w:hAnsi="Times New Roman" w:cs="Times New Roman"/>
          <w:b/>
          <w:bCs/>
        </w:rPr>
      </w:pPr>
      <w:r w:rsidRPr="00FB68E0">
        <w:rPr>
          <w:rFonts w:ascii="Times New Roman" w:eastAsia="Times New Roman" w:hAnsi="Times New Roman" w:cs="Times New Roman" w:hint="eastAsia"/>
          <w:b/>
          <w:bCs/>
        </w:rPr>
        <w:t>Figure S8. Local application of adiponectin (ADPN) eye drops promotes activation of the p-IRS1 and p-AKT signaling pathways in the corneas of type 1 and type 2 diabetic mice.</w:t>
      </w:r>
      <w:bookmarkEnd w:id="7"/>
    </w:p>
    <w:p w14:paraId="59D0A26C" w14:textId="33F3EE9D" w:rsidR="001A6FEB" w:rsidRPr="00FB68E0" w:rsidRDefault="001A6FEB" w:rsidP="001A6FEB">
      <w:pPr>
        <w:spacing w:line="276" w:lineRule="auto"/>
        <w:jc w:val="left"/>
        <w:rPr>
          <w:rFonts w:ascii="Times New Roman" w:eastAsia="Times New Roman" w:hAnsi="Times New Roman" w:cs="Times New Roman"/>
          <w:b/>
          <w:bCs/>
        </w:rPr>
      </w:pPr>
    </w:p>
    <w:p w14:paraId="3015CDA9" w14:textId="77777777" w:rsidR="001A6FEB" w:rsidRPr="00FB68E0" w:rsidRDefault="001A6FEB" w:rsidP="001A6FEB">
      <w:pPr>
        <w:spacing w:line="276" w:lineRule="auto"/>
        <w:jc w:val="left"/>
        <w:rPr>
          <w:rFonts w:ascii="Times New Roman" w:eastAsia="Times New Roman" w:hAnsi="Times New Roman" w:cs="Times New Roman"/>
          <w:b/>
          <w:bCs/>
        </w:rPr>
      </w:pPr>
    </w:p>
    <w:p w14:paraId="01B96E29" w14:textId="5D8C0B29" w:rsidR="006D7D55" w:rsidRPr="00FB68E0" w:rsidRDefault="006D7D55" w:rsidP="001A6FEB">
      <w:pPr>
        <w:spacing w:line="276" w:lineRule="auto"/>
        <w:jc w:val="left"/>
        <w:rPr>
          <w:rFonts w:ascii="Times New Roman" w:eastAsia="Times New Roman" w:hAnsi="Times New Roman" w:cs="Times New Roman"/>
          <w:b/>
          <w:bCs/>
        </w:rPr>
      </w:pPr>
      <w:r w:rsidRPr="00FB68E0">
        <w:rPr>
          <w:rFonts w:ascii="Times New Roman" w:eastAsia="Times New Roman" w:hAnsi="Times New Roman" w:cs="Times New Roman"/>
          <w:noProof/>
          <w:lang w:val="en-IN" w:eastAsia="en-IN"/>
        </w:rPr>
        <w:drawing>
          <wp:inline distT="0" distB="0" distL="114300" distR="114300" wp14:anchorId="60950B38" wp14:editId="4B4FF736">
            <wp:extent cx="5274310" cy="2142136"/>
            <wp:effectExtent l="0" t="0" r="2540" b="0"/>
            <wp:docPr id="5" name="图片 6" descr="Figure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FigureS5"/>
                    <pic:cNvPicPr>
                      <a:picLocks noChangeAspect="1"/>
                    </pic:cNvPicPr>
                  </pic:nvPicPr>
                  <pic:blipFill>
                    <a:blip r:embed="rId14"/>
                    <a:stretch>
                      <a:fillRect/>
                    </a:stretch>
                  </pic:blipFill>
                  <pic:spPr>
                    <a:xfrm>
                      <a:off x="0" y="0"/>
                      <a:ext cx="5274310" cy="2142136"/>
                    </a:xfrm>
                    <a:prstGeom prst="rect">
                      <a:avLst/>
                    </a:prstGeom>
                  </pic:spPr>
                </pic:pic>
              </a:graphicData>
            </a:graphic>
          </wp:inline>
        </w:drawing>
      </w:r>
    </w:p>
    <w:sectPr w:rsidR="006D7D55" w:rsidRPr="00FB68E0" w:rsidSect="00FB68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91B53E" w14:textId="77777777" w:rsidR="007D57CE" w:rsidRDefault="007D57CE" w:rsidP="00CD7EC9">
      <w:r>
        <w:separator/>
      </w:r>
    </w:p>
  </w:endnote>
  <w:endnote w:type="continuationSeparator" w:id="0">
    <w:p w14:paraId="40018CE5" w14:textId="77777777" w:rsidR="007D57CE" w:rsidRDefault="007D57CE" w:rsidP="00CD7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Times New Roman Regular">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4715C2" w14:textId="77777777" w:rsidR="007D57CE" w:rsidRDefault="007D57CE" w:rsidP="00CD7EC9">
      <w:r>
        <w:separator/>
      </w:r>
    </w:p>
  </w:footnote>
  <w:footnote w:type="continuationSeparator" w:id="0">
    <w:p w14:paraId="512A25E0" w14:textId="77777777" w:rsidR="007D57CE" w:rsidRDefault="007D57CE" w:rsidP="00CD7E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FB70D91"/>
    <w:multiLevelType w:val="singleLevel"/>
    <w:tmpl w:val="DFB70D91"/>
    <w:lvl w:ilvl="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bordersDoNotSurroundHeader/>
  <w:bordersDoNotSurroundFooter/>
  <w:hideSpellingErrors/>
  <w:hideGrammaticalErrors/>
  <w:revisionView w:markup="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zUyNTazMLe0MDKzNLZQ0lEKTi0uzszPAykwrAUAIzpCHywAAAA="/>
  </w:docVars>
  <w:rsids>
    <w:rsidRoot w:val="00347828"/>
    <w:rsid w:val="8FEE7713"/>
    <w:rsid w:val="EF4BEC2A"/>
    <w:rsid w:val="F47DE941"/>
    <w:rsid w:val="FBFFC34C"/>
    <w:rsid w:val="00000DB4"/>
    <w:rsid w:val="00011B21"/>
    <w:rsid w:val="000510EA"/>
    <w:rsid w:val="00064B03"/>
    <w:rsid w:val="00085340"/>
    <w:rsid w:val="000A65C1"/>
    <w:rsid w:val="000B5020"/>
    <w:rsid w:val="000F1F9A"/>
    <w:rsid w:val="001335D4"/>
    <w:rsid w:val="001A11DB"/>
    <w:rsid w:val="001A6FEB"/>
    <w:rsid w:val="001B285C"/>
    <w:rsid w:val="001D4975"/>
    <w:rsid w:val="001D551F"/>
    <w:rsid w:val="001D79C4"/>
    <w:rsid w:val="001E56E7"/>
    <w:rsid w:val="0022172F"/>
    <w:rsid w:val="002848AB"/>
    <w:rsid w:val="002F3174"/>
    <w:rsid w:val="003033F7"/>
    <w:rsid w:val="00344264"/>
    <w:rsid w:val="00347828"/>
    <w:rsid w:val="00360697"/>
    <w:rsid w:val="003647FD"/>
    <w:rsid w:val="00375ED5"/>
    <w:rsid w:val="00381AB6"/>
    <w:rsid w:val="004060ED"/>
    <w:rsid w:val="004131A4"/>
    <w:rsid w:val="00471659"/>
    <w:rsid w:val="004E1275"/>
    <w:rsid w:val="00526A2E"/>
    <w:rsid w:val="00566730"/>
    <w:rsid w:val="00576985"/>
    <w:rsid w:val="00634C93"/>
    <w:rsid w:val="006361CE"/>
    <w:rsid w:val="00644E67"/>
    <w:rsid w:val="00651CB3"/>
    <w:rsid w:val="006929BE"/>
    <w:rsid w:val="006D7D55"/>
    <w:rsid w:val="0070006C"/>
    <w:rsid w:val="00703B93"/>
    <w:rsid w:val="00707596"/>
    <w:rsid w:val="00707B5E"/>
    <w:rsid w:val="00740754"/>
    <w:rsid w:val="00756502"/>
    <w:rsid w:val="007605F1"/>
    <w:rsid w:val="00766D88"/>
    <w:rsid w:val="00767390"/>
    <w:rsid w:val="007C38E7"/>
    <w:rsid w:val="007D57CE"/>
    <w:rsid w:val="007D5ECA"/>
    <w:rsid w:val="007E6678"/>
    <w:rsid w:val="007F2533"/>
    <w:rsid w:val="00805278"/>
    <w:rsid w:val="00806BF0"/>
    <w:rsid w:val="008106EC"/>
    <w:rsid w:val="00824522"/>
    <w:rsid w:val="00843DD3"/>
    <w:rsid w:val="008447A4"/>
    <w:rsid w:val="00887F4A"/>
    <w:rsid w:val="008A1D0A"/>
    <w:rsid w:val="008C504F"/>
    <w:rsid w:val="008D6ED4"/>
    <w:rsid w:val="008F58DA"/>
    <w:rsid w:val="009071CF"/>
    <w:rsid w:val="00925EDE"/>
    <w:rsid w:val="00942B36"/>
    <w:rsid w:val="00956D5B"/>
    <w:rsid w:val="0096249E"/>
    <w:rsid w:val="00962B6E"/>
    <w:rsid w:val="00983261"/>
    <w:rsid w:val="009947A0"/>
    <w:rsid w:val="009A52F4"/>
    <w:rsid w:val="009C2C4B"/>
    <w:rsid w:val="009C4440"/>
    <w:rsid w:val="009C61E5"/>
    <w:rsid w:val="009E3425"/>
    <w:rsid w:val="009F248B"/>
    <w:rsid w:val="00A13544"/>
    <w:rsid w:val="00A654EC"/>
    <w:rsid w:val="00A70943"/>
    <w:rsid w:val="00AB4B02"/>
    <w:rsid w:val="00AD4A81"/>
    <w:rsid w:val="00AF6A9E"/>
    <w:rsid w:val="00B16D87"/>
    <w:rsid w:val="00B44D66"/>
    <w:rsid w:val="00B92B09"/>
    <w:rsid w:val="00BB7E2E"/>
    <w:rsid w:val="00BF0BD4"/>
    <w:rsid w:val="00BF2B12"/>
    <w:rsid w:val="00C0606D"/>
    <w:rsid w:val="00C50A4F"/>
    <w:rsid w:val="00C6194E"/>
    <w:rsid w:val="00C716DE"/>
    <w:rsid w:val="00C837BC"/>
    <w:rsid w:val="00C85E7F"/>
    <w:rsid w:val="00CC4F77"/>
    <w:rsid w:val="00CD7EC9"/>
    <w:rsid w:val="00D0044C"/>
    <w:rsid w:val="00D07B5E"/>
    <w:rsid w:val="00D2757B"/>
    <w:rsid w:val="00D624B7"/>
    <w:rsid w:val="00D7507F"/>
    <w:rsid w:val="00D82ED9"/>
    <w:rsid w:val="00E23C96"/>
    <w:rsid w:val="00E4403B"/>
    <w:rsid w:val="00E72931"/>
    <w:rsid w:val="00E8562A"/>
    <w:rsid w:val="00EC7A01"/>
    <w:rsid w:val="00EE00E0"/>
    <w:rsid w:val="00EF023D"/>
    <w:rsid w:val="00F056D7"/>
    <w:rsid w:val="00F139DA"/>
    <w:rsid w:val="00F358F4"/>
    <w:rsid w:val="00F73919"/>
    <w:rsid w:val="00FA52C8"/>
    <w:rsid w:val="00FB34BE"/>
    <w:rsid w:val="00FB624E"/>
    <w:rsid w:val="00FB68E0"/>
    <w:rsid w:val="00FC7532"/>
    <w:rsid w:val="72FE797A"/>
    <w:rsid w:val="75FA63BE"/>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7E6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toc 1" w:uiPriority="0" w:qFormat="1"/>
    <w:lsdException w:name="toc 2" w:uiPriority="0"/>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uiPriority="0" w:qFormat="1"/>
    <w:lsdException w:name="caption" w:uiPriority="0"/>
    <w:lsdException w:name="footnote reference" w:uiPriority="0"/>
    <w:lsdException w:name="annotation reference" w:uiPriority="0" w:qFormat="1"/>
    <w:lsdException w:name="endnote reference" w:uiPriority="0" w:qFormat="1"/>
    <w:lsdException w:name="endnote text" w:uiPriority="0" w:qFormat="1"/>
    <w:lsdException w:name="List" w:uiPriority="0" w:qFormat="1"/>
    <w:lsdException w:name="List 2" w:uiPriority="0" w:qFormat="1"/>
    <w:lsdException w:name="List 3" w:uiPriority="0" w:qFormat="1"/>
    <w:lsdException w:name="List 4" w:uiPriority="0" w:qFormat="1"/>
    <w:lsdException w:name="List 5" w:uiPriority="0" w:qFormat="1"/>
    <w:lsdException w:name="Default Paragraph Font" w:uiPriority="1" w:unhideWhenUsed="1" w:qFormat="1"/>
    <w:lsdException w:name="Subtitle" w:uiPriority="0" w:qFormat="1"/>
    <w:lsdException w:name="Block Text" w:uiPriority="0" w:qFormat="1"/>
    <w:lsdException w:name="Hyperlink" w:uiPriority="0" w:qFormat="1"/>
    <w:lsdException w:name="HTML Top of Form" w:semiHidden="1" w:unhideWhenUsed="1"/>
    <w:lsdException w:name="HTML Bottom of Form"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Calibri" w:eastAsia="Calibri" w:hAnsi="Calibri" w:cs="Calibri"/>
      <w:sz w:val="21"/>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3">
    <w:name w:val="List 3"/>
    <w:basedOn w:val="Normal"/>
    <w:qFormat/>
    <w:pPr>
      <w:spacing w:line="360" w:lineRule="auto"/>
      <w:ind w:left="1200" w:hanging="400"/>
    </w:pPr>
    <w:rPr>
      <w:sz w:val="22"/>
    </w:rPr>
  </w:style>
  <w:style w:type="paragraph" w:styleId="TOC7">
    <w:name w:val="toc 7"/>
    <w:basedOn w:val="Normal"/>
    <w:qFormat/>
    <w:pPr>
      <w:spacing w:line="330" w:lineRule="exact"/>
    </w:pPr>
  </w:style>
  <w:style w:type="paragraph" w:styleId="NormalIndent">
    <w:name w:val="Normal Indent"/>
    <w:basedOn w:val="Normal"/>
    <w:qFormat/>
    <w:pPr>
      <w:ind w:firstLine="480"/>
    </w:pPr>
    <w:rPr>
      <w:sz w:val="22"/>
    </w:rPr>
  </w:style>
  <w:style w:type="paragraph" w:styleId="Caption">
    <w:name w:val="caption"/>
    <w:basedOn w:val="Normal"/>
    <w:pPr>
      <w:shd w:val="clear" w:color="auto" w:fill="FFF5ED"/>
      <w:spacing w:before="240" w:line="349" w:lineRule="auto"/>
    </w:pPr>
    <w:rPr>
      <w:sz w:val="22"/>
    </w:rPr>
  </w:style>
  <w:style w:type="paragraph" w:styleId="CommentText">
    <w:name w:val="annotation text"/>
    <w:basedOn w:val="Normal"/>
    <w:link w:val="CommentTextChar"/>
    <w:qFormat/>
    <w:pPr>
      <w:jc w:val="left"/>
    </w:pPr>
    <w:rPr>
      <w:sz w:val="20"/>
    </w:rPr>
  </w:style>
  <w:style w:type="paragraph" w:styleId="List2">
    <w:name w:val="List 2"/>
    <w:basedOn w:val="Normal"/>
    <w:qFormat/>
    <w:pPr>
      <w:spacing w:line="360" w:lineRule="auto"/>
      <w:ind w:left="800" w:hanging="400"/>
    </w:pPr>
    <w:rPr>
      <w:sz w:val="22"/>
    </w:rPr>
  </w:style>
  <w:style w:type="paragraph" w:styleId="BlockText">
    <w:name w:val="Block Text"/>
    <w:basedOn w:val="Normal"/>
    <w:qFormat/>
    <w:pPr>
      <w:spacing w:after="160" w:line="360" w:lineRule="auto"/>
      <w:ind w:left="1200"/>
    </w:pPr>
    <w:rPr>
      <w:sz w:val="22"/>
    </w:rPr>
  </w:style>
  <w:style w:type="paragraph" w:styleId="TOC5">
    <w:name w:val="toc 5"/>
    <w:basedOn w:val="Normal"/>
    <w:qFormat/>
    <w:pPr>
      <w:spacing w:line="330" w:lineRule="exact"/>
    </w:pPr>
  </w:style>
  <w:style w:type="paragraph" w:styleId="TOC3">
    <w:name w:val="toc 3"/>
    <w:basedOn w:val="Normal"/>
    <w:qFormat/>
    <w:pPr>
      <w:spacing w:line="360" w:lineRule="auto"/>
    </w:pPr>
    <w:rPr>
      <w:sz w:val="22"/>
    </w:rPr>
  </w:style>
  <w:style w:type="paragraph" w:styleId="TOC8">
    <w:name w:val="toc 8"/>
    <w:basedOn w:val="Normal"/>
    <w:qFormat/>
    <w:pPr>
      <w:spacing w:line="330" w:lineRule="exact"/>
    </w:pPr>
  </w:style>
  <w:style w:type="paragraph" w:styleId="EndnoteText">
    <w:name w:val="endnote text"/>
    <w:basedOn w:val="Normal"/>
    <w:qFormat/>
  </w:style>
  <w:style w:type="paragraph" w:styleId="BalloonText">
    <w:name w:val="Balloon Text"/>
    <w:basedOn w:val="Normal"/>
    <w:qFormat/>
    <w:rPr>
      <w:color w:val="000000"/>
      <w:sz w:val="16"/>
    </w:rPr>
  </w:style>
  <w:style w:type="paragraph" w:styleId="TOC1">
    <w:name w:val="toc 1"/>
    <w:basedOn w:val="Normal"/>
    <w:qFormat/>
    <w:pPr>
      <w:spacing w:line="305" w:lineRule="auto"/>
    </w:pPr>
    <w:rPr>
      <w:sz w:val="26"/>
    </w:rPr>
  </w:style>
  <w:style w:type="paragraph" w:styleId="TOC4">
    <w:name w:val="toc 4"/>
    <w:basedOn w:val="Normal"/>
    <w:qFormat/>
    <w:pPr>
      <w:spacing w:line="330" w:lineRule="exact"/>
    </w:pPr>
  </w:style>
  <w:style w:type="paragraph" w:styleId="Subtitle">
    <w:name w:val="Subtitle"/>
    <w:basedOn w:val="Normal"/>
    <w:qFormat/>
    <w:pPr>
      <w:spacing w:after="160" w:line="208" w:lineRule="auto"/>
      <w:jc w:val="left"/>
    </w:pPr>
    <w:rPr>
      <w:sz w:val="38"/>
    </w:rPr>
  </w:style>
  <w:style w:type="paragraph" w:styleId="List">
    <w:name w:val="List"/>
    <w:basedOn w:val="Normal"/>
    <w:qFormat/>
    <w:pPr>
      <w:spacing w:line="360" w:lineRule="auto"/>
      <w:ind w:left="400" w:hanging="400"/>
    </w:pPr>
    <w:rPr>
      <w:sz w:val="22"/>
    </w:rPr>
  </w:style>
  <w:style w:type="paragraph" w:styleId="FootnoteText">
    <w:name w:val="footnote text"/>
    <w:basedOn w:val="Normal"/>
    <w:qFormat/>
  </w:style>
  <w:style w:type="paragraph" w:styleId="TOC6">
    <w:name w:val="toc 6"/>
    <w:basedOn w:val="Normal"/>
    <w:qFormat/>
    <w:pPr>
      <w:spacing w:line="330" w:lineRule="exact"/>
    </w:pPr>
  </w:style>
  <w:style w:type="paragraph" w:styleId="List5">
    <w:name w:val="List 5"/>
    <w:basedOn w:val="Normal"/>
    <w:qFormat/>
    <w:pPr>
      <w:spacing w:line="360" w:lineRule="auto"/>
      <w:ind w:left="1800" w:hanging="400"/>
    </w:pPr>
    <w:rPr>
      <w:sz w:val="22"/>
    </w:rPr>
  </w:style>
  <w:style w:type="paragraph" w:styleId="TOC2">
    <w:name w:val="toc 2"/>
    <w:basedOn w:val="Normal"/>
    <w:pPr>
      <w:spacing w:line="330" w:lineRule="auto"/>
    </w:pPr>
    <w:rPr>
      <w:sz w:val="24"/>
    </w:rPr>
  </w:style>
  <w:style w:type="paragraph" w:styleId="TOC9">
    <w:name w:val="toc 9"/>
    <w:basedOn w:val="Normal"/>
    <w:qFormat/>
    <w:pPr>
      <w:spacing w:line="330" w:lineRule="exact"/>
    </w:pPr>
  </w:style>
  <w:style w:type="paragraph" w:styleId="List4">
    <w:name w:val="List 4"/>
    <w:basedOn w:val="Normal"/>
    <w:qFormat/>
    <w:pPr>
      <w:spacing w:line="360" w:lineRule="auto"/>
      <w:ind w:left="1600" w:hanging="400"/>
    </w:pPr>
    <w:rPr>
      <w:sz w:val="22"/>
    </w:rPr>
  </w:style>
  <w:style w:type="paragraph" w:styleId="NormalWeb">
    <w:name w:val="Normal (Web)"/>
    <w:basedOn w:val="Normal"/>
    <w:uiPriority w:val="99"/>
    <w:pPr>
      <w:spacing w:beforeAutospacing="1" w:afterAutospacing="1"/>
      <w:jc w:val="left"/>
    </w:pPr>
    <w:rPr>
      <w:rFonts w:cs="Times New Roman"/>
      <w:sz w:val="24"/>
      <w:lang w:val="en-US" w:eastAsia="zh-CN"/>
    </w:rPr>
  </w:style>
  <w:style w:type="paragraph" w:styleId="CommentSubject">
    <w:name w:val="annotation subject"/>
    <w:basedOn w:val="CommentText"/>
    <w:qFormat/>
    <w:rPr>
      <w:b/>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99"/>
    <w:rPr>
      <w:b/>
    </w:rPr>
  </w:style>
  <w:style w:type="character" w:styleId="EndnoteReference">
    <w:name w:val="endnote reference"/>
    <w:basedOn w:val="DefaultParagraphFont"/>
    <w:qFormat/>
    <w:rPr>
      <w:vertAlign w:val="superscript"/>
    </w:rPr>
  </w:style>
  <w:style w:type="character" w:styleId="Hyperlink">
    <w:name w:val="Hyperlink"/>
    <w:basedOn w:val="DefaultParagraphFont"/>
    <w:qFormat/>
    <w:rPr>
      <w:color w:val="0563C1"/>
    </w:rPr>
  </w:style>
  <w:style w:type="character" w:styleId="CommentReference">
    <w:name w:val="annotation reference"/>
    <w:basedOn w:val="DefaultParagraphFont"/>
    <w:qFormat/>
    <w:rPr>
      <w:sz w:val="16"/>
    </w:rPr>
  </w:style>
  <w:style w:type="character" w:styleId="FootnoteReference">
    <w:name w:val="footnote reference"/>
    <w:basedOn w:val="DefaultParagraphFont"/>
    <w:rPr>
      <w:vertAlign w:val="superscript"/>
    </w:rPr>
  </w:style>
  <w:style w:type="table" w:customStyle="1" w:styleId="OldDefaultTableStyle">
    <w:name w:val="Old Default Table Style"/>
    <w:qFormat/>
    <w:tblPr>
      <w:tblCellMar>
        <w:top w:w="0" w:type="dxa"/>
        <w:left w:w="10" w:type="dxa"/>
        <w:bottom w:w="0" w:type="dxa"/>
        <w:right w:w="10" w:type="dxa"/>
      </w:tblCellMar>
    </w:tblPr>
  </w:style>
  <w:style w:type="paragraph" w:customStyle="1" w:styleId="1">
    <w:name w:val="修订1"/>
    <w:rPr>
      <w:rFonts w:ascii="Calibri" w:eastAsia="Calibri" w:hAnsi="Calibri" w:cs="Calibri"/>
      <w:sz w:val="21"/>
      <w:lang w:val="en-AU" w:eastAsia="en-AU"/>
    </w:rPr>
  </w:style>
  <w:style w:type="character" w:customStyle="1" w:styleId="DatabaseLink">
    <w:name w:val="Database Link"/>
    <w:basedOn w:val="DefaultParagraphFont"/>
  </w:style>
  <w:style w:type="paragraph" w:customStyle="1" w:styleId="List7">
    <w:name w:val="List 7"/>
    <w:basedOn w:val="Normal"/>
    <w:pPr>
      <w:spacing w:line="360" w:lineRule="auto"/>
      <w:ind w:left="1920" w:hanging="400"/>
    </w:pPr>
    <w:rPr>
      <w:sz w:val="22"/>
    </w:rPr>
  </w:style>
  <w:style w:type="paragraph" w:customStyle="1" w:styleId="Authors">
    <w:name w:val="Authors"/>
    <w:basedOn w:val="Normal"/>
    <w:pPr>
      <w:spacing w:before="360" w:after="120" w:line="283" w:lineRule="auto"/>
      <w:jc w:val="left"/>
    </w:pPr>
    <w:rPr>
      <w:sz w:val="28"/>
    </w:rPr>
  </w:style>
  <w:style w:type="character" w:customStyle="1" w:styleId="IssueNumber">
    <w:name w:val="Issue Number"/>
    <w:basedOn w:val="DefaultParagraphFont"/>
  </w:style>
  <w:style w:type="paragraph" w:customStyle="1" w:styleId="Correspondence">
    <w:name w:val="Correspondence"/>
    <w:basedOn w:val="Normal"/>
    <w:pPr>
      <w:shd w:val="clear" w:color="auto" w:fill="F3F7F9"/>
      <w:spacing w:before="240" w:after="120" w:line="396" w:lineRule="auto"/>
      <w:ind w:left="400" w:hanging="400"/>
      <w:jc w:val="left"/>
    </w:pPr>
    <w:rPr>
      <w:sz w:val="20"/>
    </w:rPr>
  </w:style>
  <w:style w:type="character" w:customStyle="1" w:styleId="GivenName">
    <w:name w:val="Given Name"/>
    <w:basedOn w:val="DefaultParagraphFont"/>
    <w:qFormat/>
  </w:style>
  <w:style w:type="paragraph" w:customStyle="1" w:styleId="Glossary">
    <w:name w:val="Glossary"/>
    <w:basedOn w:val="Normal"/>
    <w:qFormat/>
    <w:pPr>
      <w:shd w:val="clear" w:color="auto" w:fill="FFEDF0"/>
      <w:spacing w:before="120" w:after="120" w:line="432" w:lineRule="auto"/>
    </w:pPr>
    <w:rPr>
      <w:sz w:val="20"/>
    </w:rPr>
  </w:style>
  <w:style w:type="paragraph" w:customStyle="1" w:styleId="Surtitle">
    <w:name w:val="Surtitle"/>
    <w:basedOn w:val="Normal"/>
    <w:qFormat/>
    <w:pPr>
      <w:spacing w:after="160" w:line="208" w:lineRule="auto"/>
      <w:jc w:val="left"/>
    </w:pPr>
    <w:rPr>
      <w:sz w:val="38"/>
    </w:rPr>
  </w:style>
  <w:style w:type="paragraph" w:customStyle="1" w:styleId="Biography">
    <w:name w:val="Biography"/>
    <w:basedOn w:val="Normal"/>
    <w:qFormat/>
    <w:pPr>
      <w:shd w:val="clear" w:color="auto" w:fill="EEFEF4"/>
      <w:spacing w:after="160" w:line="396" w:lineRule="auto"/>
    </w:pPr>
    <w:rPr>
      <w:sz w:val="20"/>
    </w:rPr>
  </w:style>
  <w:style w:type="character" w:customStyle="1" w:styleId="Edition">
    <w:name w:val="Edition"/>
    <w:basedOn w:val="DefaultParagraphFont"/>
  </w:style>
  <w:style w:type="character" w:customStyle="1" w:styleId="Region">
    <w:name w:val="Region"/>
    <w:basedOn w:val="DefaultParagraphFont"/>
    <w:qFormat/>
  </w:style>
  <w:style w:type="character" w:customStyle="1" w:styleId="NameScientific">
    <w:name w:val="Name Scientific"/>
    <w:basedOn w:val="DefaultParagraphFont"/>
    <w:qFormat/>
  </w:style>
  <w:style w:type="character" w:customStyle="1" w:styleId="Country">
    <w:name w:val="Country"/>
    <w:basedOn w:val="DefaultParagraphFont"/>
    <w:qFormat/>
  </w:style>
  <w:style w:type="paragraph" w:customStyle="1" w:styleId="Keywords">
    <w:name w:val="Keywords"/>
    <w:basedOn w:val="Normal"/>
    <w:qFormat/>
    <w:pPr>
      <w:spacing w:line="396" w:lineRule="auto"/>
      <w:ind w:left="1000"/>
      <w:jc w:val="left"/>
    </w:pPr>
    <w:rPr>
      <w:sz w:val="20"/>
    </w:rPr>
  </w:style>
  <w:style w:type="character" w:customStyle="1" w:styleId="VolumeNumber">
    <w:name w:val="Volume Number"/>
    <w:basedOn w:val="DefaultParagraphFont"/>
    <w:qFormat/>
  </w:style>
  <w:style w:type="paragraph" w:customStyle="1" w:styleId="Abstract">
    <w:name w:val="Abstract"/>
    <w:basedOn w:val="Normal"/>
    <w:qFormat/>
    <w:pPr>
      <w:spacing w:after="160" w:line="360" w:lineRule="auto"/>
      <w:ind w:left="1440" w:right="1440"/>
    </w:pPr>
    <w:rPr>
      <w:sz w:val="22"/>
    </w:rPr>
  </w:style>
  <w:style w:type="paragraph" w:customStyle="1" w:styleId="Quotation">
    <w:name w:val="Quotation"/>
    <w:basedOn w:val="Normal"/>
    <w:qFormat/>
    <w:pPr>
      <w:spacing w:after="160" w:line="360" w:lineRule="auto"/>
      <w:ind w:left="1200" w:right="1200"/>
    </w:pPr>
    <w:rPr>
      <w:sz w:val="22"/>
    </w:rPr>
  </w:style>
  <w:style w:type="paragraph" w:customStyle="1" w:styleId="QuotationSource">
    <w:name w:val="Quotation Source"/>
    <w:basedOn w:val="Normal"/>
    <w:qFormat/>
    <w:pPr>
      <w:spacing w:after="170" w:line="360" w:lineRule="auto"/>
      <w:ind w:left="1200"/>
      <w:jc w:val="right"/>
    </w:pPr>
    <w:rPr>
      <w:sz w:val="22"/>
    </w:rPr>
  </w:style>
  <w:style w:type="character" w:customStyle="1" w:styleId="Label">
    <w:name w:val="Label"/>
    <w:basedOn w:val="DefaultParagraphFont"/>
    <w:qFormat/>
    <w:rPr>
      <w:vertAlign w:val="baseline"/>
    </w:rPr>
  </w:style>
  <w:style w:type="character" w:customStyle="1" w:styleId="Location">
    <w:name w:val="Location"/>
    <w:basedOn w:val="DefaultParagraphFont"/>
    <w:qFormat/>
  </w:style>
  <w:style w:type="paragraph" w:customStyle="1" w:styleId="Note">
    <w:name w:val="Note"/>
    <w:basedOn w:val="Normal"/>
    <w:qFormat/>
    <w:pPr>
      <w:shd w:val="clear" w:color="auto" w:fill="EDF0FF"/>
      <w:spacing w:line="432" w:lineRule="auto"/>
    </w:pPr>
    <w:rPr>
      <w:sz w:val="20"/>
    </w:rPr>
  </w:style>
  <w:style w:type="paragraph" w:customStyle="1" w:styleId="List8">
    <w:name w:val="List 8"/>
    <w:basedOn w:val="Normal"/>
    <w:qFormat/>
    <w:pPr>
      <w:spacing w:line="360" w:lineRule="auto"/>
      <w:ind w:left="1980" w:hanging="400"/>
    </w:pPr>
    <w:rPr>
      <w:sz w:val="22"/>
    </w:rPr>
  </w:style>
  <w:style w:type="paragraph" w:customStyle="1" w:styleId="TableHead">
    <w:name w:val="Table Head"/>
    <w:basedOn w:val="Normal"/>
    <w:qFormat/>
    <w:pPr>
      <w:shd w:val="clear" w:color="auto" w:fill="FFEDFA"/>
      <w:jc w:val="left"/>
    </w:pPr>
    <w:rPr>
      <w:sz w:val="20"/>
    </w:rPr>
  </w:style>
  <w:style w:type="paragraph" w:customStyle="1" w:styleId="Acknowledgements">
    <w:name w:val="Acknowledgements"/>
    <w:basedOn w:val="Normal"/>
    <w:qFormat/>
    <w:pPr>
      <w:shd w:val="clear" w:color="auto" w:fill="F9EDFF"/>
      <w:spacing w:after="160" w:line="396" w:lineRule="auto"/>
    </w:pPr>
    <w:rPr>
      <w:sz w:val="20"/>
    </w:rPr>
  </w:style>
  <w:style w:type="character" w:customStyle="1" w:styleId="Miscellaneous">
    <w:name w:val="Miscellaneous"/>
    <w:basedOn w:val="DefaultParagraphFont"/>
    <w:qFormat/>
  </w:style>
  <w:style w:type="paragraph" w:customStyle="1" w:styleId="Formula">
    <w:name w:val="Formula"/>
    <w:basedOn w:val="Normal"/>
    <w:qFormat/>
    <w:pPr>
      <w:shd w:val="clear" w:color="auto" w:fill="FFF5ED"/>
      <w:spacing w:before="120" w:after="120" w:line="360" w:lineRule="auto"/>
      <w:jc w:val="left"/>
    </w:pPr>
    <w:rPr>
      <w:sz w:val="22"/>
    </w:rPr>
  </w:style>
  <w:style w:type="character" w:customStyle="1" w:styleId="FamilyName">
    <w:name w:val="Family Name"/>
    <w:basedOn w:val="DefaultParagraphFont"/>
    <w:qFormat/>
  </w:style>
  <w:style w:type="paragraph" w:customStyle="1" w:styleId="ChapterNumber">
    <w:name w:val="Chapter Number"/>
    <w:basedOn w:val="Normal"/>
    <w:qFormat/>
  </w:style>
  <w:style w:type="paragraph" w:customStyle="1" w:styleId="TableList">
    <w:name w:val="Table List"/>
    <w:basedOn w:val="Normal"/>
    <w:qFormat/>
    <w:pPr>
      <w:ind w:left="300" w:hanging="300"/>
      <w:jc w:val="left"/>
    </w:pPr>
    <w:rPr>
      <w:sz w:val="20"/>
    </w:rPr>
  </w:style>
  <w:style w:type="character" w:customStyle="1" w:styleId="Source">
    <w:name w:val="Source"/>
    <w:basedOn w:val="DefaultParagraphFont"/>
    <w:qFormat/>
  </w:style>
  <w:style w:type="paragraph" w:customStyle="1" w:styleId="TableBody">
    <w:name w:val="Table Body"/>
    <w:basedOn w:val="Normal"/>
    <w:qFormat/>
    <w:pPr>
      <w:spacing w:after="160" w:line="396" w:lineRule="auto"/>
      <w:jc w:val="left"/>
    </w:pPr>
    <w:rPr>
      <w:sz w:val="20"/>
    </w:rPr>
  </w:style>
  <w:style w:type="paragraph" w:customStyle="1" w:styleId="Reference">
    <w:name w:val="Reference"/>
    <w:basedOn w:val="Normal"/>
    <w:qFormat/>
    <w:pPr>
      <w:spacing w:after="320" w:line="360" w:lineRule="auto"/>
      <w:ind w:left="400" w:hanging="400"/>
    </w:pPr>
    <w:rPr>
      <w:sz w:val="22"/>
    </w:rPr>
  </w:style>
  <w:style w:type="character" w:customStyle="1" w:styleId="Organization">
    <w:name w:val="Organization"/>
    <w:basedOn w:val="DefaultParagraphFont"/>
    <w:qFormat/>
  </w:style>
  <w:style w:type="character" w:customStyle="1" w:styleId="Conference">
    <w:name w:val="Conference"/>
    <w:basedOn w:val="DefaultParagraphFont"/>
    <w:qFormat/>
  </w:style>
  <w:style w:type="character" w:customStyle="1" w:styleId="Cross-reference">
    <w:name w:val="Cross-reference"/>
    <w:basedOn w:val="DefaultParagraphFont"/>
    <w:qFormat/>
  </w:style>
  <w:style w:type="character" w:customStyle="1" w:styleId="ArticleTitle">
    <w:name w:val="Article Title"/>
    <w:basedOn w:val="DefaultParagraphFont"/>
    <w:qFormat/>
  </w:style>
  <w:style w:type="paragraph" w:customStyle="1" w:styleId="TableHeadSpan">
    <w:name w:val="Table Head Span"/>
    <w:basedOn w:val="Normal"/>
    <w:qFormat/>
    <w:pPr>
      <w:shd w:val="clear" w:color="auto" w:fill="FFEDFA"/>
      <w:jc w:val="left"/>
    </w:pPr>
  </w:style>
  <w:style w:type="paragraph" w:customStyle="1" w:styleId="Affiliation">
    <w:name w:val="Affiliation"/>
    <w:basedOn w:val="Normal"/>
    <w:qFormat/>
    <w:pPr>
      <w:shd w:val="clear" w:color="auto" w:fill="F4FFED"/>
      <w:spacing w:before="240" w:after="120" w:line="396" w:lineRule="auto"/>
      <w:ind w:left="400" w:hanging="400"/>
      <w:jc w:val="left"/>
    </w:pPr>
    <w:rPr>
      <w:sz w:val="20"/>
    </w:rPr>
  </w:style>
  <w:style w:type="paragraph" w:customStyle="1" w:styleId="TableNote">
    <w:name w:val="Table Note"/>
    <w:basedOn w:val="Normal"/>
    <w:qFormat/>
    <w:rPr>
      <w:sz w:val="18"/>
    </w:rPr>
  </w:style>
  <w:style w:type="character" w:customStyle="1" w:styleId="GlossaryTerm">
    <w:name w:val="Glossary Term"/>
    <w:basedOn w:val="DefaultParagraphFont"/>
    <w:qFormat/>
  </w:style>
  <w:style w:type="paragraph" w:customStyle="1" w:styleId="AbstractSubheading">
    <w:name w:val="Abstract Subheading"/>
    <w:basedOn w:val="Normal"/>
    <w:qFormat/>
    <w:pPr>
      <w:ind w:left="1440"/>
      <w:outlineLvl w:val="8"/>
    </w:pPr>
    <w:rPr>
      <w:sz w:val="22"/>
    </w:rPr>
  </w:style>
  <w:style w:type="character" w:customStyle="1" w:styleId="PageNumbers">
    <w:name w:val="Page Numbers"/>
    <w:basedOn w:val="DefaultParagraphFont"/>
    <w:qFormat/>
  </w:style>
  <w:style w:type="paragraph" w:customStyle="1" w:styleId="List6">
    <w:name w:val="List 6"/>
    <w:basedOn w:val="Normal"/>
    <w:qFormat/>
    <w:pPr>
      <w:spacing w:line="360" w:lineRule="auto"/>
      <w:ind w:left="1860" w:hanging="400"/>
    </w:pPr>
    <w:rPr>
      <w:sz w:val="22"/>
    </w:rPr>
  </w:style>
  <w:style w:type="character" w:customStyle="1" w:styleId="Publisher">
    <w:name w:val="Publisher"/>
    <w:basedOn w:val="DefaultParagraphFont"/>
    <w:qFormat/>
  </w:style>
  <w:style w:type="character" w:customStyle="1" w:styleId="Year">
    <w:name w:val="Year"/>
    <w:basedOn w:val="DefaultParagraphFont"/>
    <w:qFormat/>
  </w:style>
  <w:style w:type="paragraph" w:customStyle="1" w:styleId="Copyright">
    <w:name w:val="Copyright"/>
    <w:basedOn w:val="Normal"/>
    <w:qFormat/>
    <w:pPr>
      <w:shd w:val="clear" w:color="auto" w:fill="E9F9FF"/>
    </w:pPr>
    <w:rPr>
      <w:sz w:val="18"/>
    </w:rPr>
  </w:style>
  <w:style w:type="character" w:customStyle="1" w:styleId="GrantID">
    <w:name w:val="Grant ID"/>
    <w:basedOn w:val="DefaultParagraphFont"/>
    <w:qFormat/>
  </w:style>
  <w:style w:type="character" w:customStyle="1" w:styleId="City">
    <w:name w:val="City"/>
    <w:basedOn w:val="DefaultParagraphFont"/>
    <w:qFormat/>
  </w:style>
  <w:style w:type="character" w:customStyle="1" w:styleId="Postcode">
    <w:name w:val="Postcode"/>
    <w:basedOn w:val="DefaultParagraphFont"/>
    <w:qFormat/>
  </w:style>
  <w:style w:type="character" w:customStyle="1" w:styleId="GeneSequence">
    <w:name w:val="Gene Sequence"/>
    <w:basedOn w:val="DefaultParagraphFont"/>
    <w:qFormat/>
  </w:style>
  <w:style w:type="paragraph" w:customStyle="1" w:styleId="Annotation">
    <w:name w:val="Annotation"/>
    <w:basedOn w:val="Normal"/>
    <w:qFormat/>
    <w:pPr>
      <w:spacing w:after="160" w:line="360" w:lineRule="auto"/>
      <w:ind w:left="400"/>
      <w:jc w:val="left"/>
    </w:pPr>
    <w:rPr>
      <w:sz w:val="22"/>
    </w:rPr>
  </w:style>
  <w:style w:type="character" w:customStyle="1" w:styleId="Heading">
    <w:name w:val="Heading:"/>
    <w:basedOn w:val="DefaultParagraphFont"/>
    <w:qFormat/>
    <w:rPr>
      <w:color w:val="5B89C1"/>
    </w:rPr>
  </w:style>
  <w:style w:type="paragraph" w:customStyle="1" w:styleId="Statement">
    <w:name w:val="Statement"/>
    <w:basedOn w:val="Normal"/>
    <w:qFormat/>
    <w:pPr>
      <w:ind w:left="900"/>
    </w:pPr>
    <w:rPr>
      <w:sz w:val="22"/>
    </w:rPr>
  </w:style>
  <w:style w:type="paragraph" w:customStyle="1" w:styleId="List1">
    <w:name w:val="List 1"/>
    <w:basedOn w:val="Normal"/>
    <w:qFormat/>
    <w:pPr>
      <w:ind w:left="1200" w:hanging="600"/>
    </w:pPr>
    <w:rPr>
      <w:rFonts w:ascii="Times New Roman" w:eastAsia="Times New Roman" w:hAnsi="Times New Roman" w:cs="Times New Roman"/>
      <w:sz w:val="22"/>
    </w:rPr>
  </w:style>
  <w:style w:type="paragraph" w:customStyle="1" w:styleId="List9">
    <w:name w:val="List 9"/>
    <w:basedOn w:val="Normal"/>
    <w:qFormat/>
    <w:pPr>
      <w:ind w:left="1200" w:hanging="600"/>
    </w:pPr>
    <w:rPr>
      <w:rFonts w:ascii="Times New Roman" w:eastAsia="Times New Roman" w:hAnsi="Times New Roman" w:cs="Times New Roman"/>
      <w:sz w:val="22"/>
    </w:rPr>
  </w:style>
  <w:style w:type="paragraph" w:customStyle="1" w:styleId="2">
    <w:name w:val="修订2"/>
    <w:hidden/>
    <w:uiPriority w:val="99"/>
    <w:unhideWhenUsed/>
    <w:rPr>
      <w:rFonts w:ascii="Calibri" w:eastAsia="Calibri" w:hAnsi="Calibri" w:cs="Calibri"/>
      <w:sz w:val="21"/>
      <w:lang w:val="en-AU" w:eastAsia="en-AU"/>
    </w:rPr>
  </w:style>
  <w:style w:type="paragraph" w:styleId="Header">
    <w:name w:val="header"/>
    <w:basedOn w:val="Normal"/>
    <w:link w:val="HeaderChar"/>
    <w:uiPriority w:val="99"/>
    <w:rsid w:val="00CD7EC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CD7EC9"/>
    <w:rPr>
      <w:rFonts w:ascii="Calibri" w:eastAsia="Calibri" w:hAnsi="Calibri" w:cs="Calibri"/>
      <w:sz w:val="18"/>
      <w:szCs w:val="18"/>
      <w:lang w:val="en-AU" w:eastAsia="en-AU"/>
    </w:rPr>
  </w:style>
  <w:style w:type="paragraph" w:styleId="Footer">
    <w:name w:val="footer"/>
    <w:basedOn w:val="Normal"/>
    <w:link w:val="FooterChar"/>
    <w:uiPriority w:val="99"/>
    <w:rsid w:val="00CD7EC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CD7EC9"/>
    <w:rPr>
      <w:rFonts w:ascii="Calibri" w:eastAsia="Calibri" w:hAnsi="Calibri" w:cs="Calibri"/>
      <w:sz w:val="18"/>
      <w:szCs w:val="18"/>
      <w:lang w:val="en-AU" w:eastAsia="en-AU"/>
    </w:rPr>
  </w:style>
  <w:style w:type="character" w:customStyle="1" w:styleId="CommentTextChar">
    <w:name w:val="Comment Text Char"/>
    <w:basedOn w:val="DefaultParagraphFont"/>
    <w:link w:val="CommentText"/>
    <w:rsid w:val="002F3174"/>
    <w:rPr>
      <w:rFonts w:ascii="Calibri" w:eastAsia="Calibri" w:hAnsi="Calibri" w:cs="Calibri"/>
      <w:lang w:val="en-AU" w:eastAsia="en-AU"/>
    </w:rPr>
  </w:style>
  <w:style w:type="paragraph" w:styleId="Revision">
    <w:name w:val="Revision"/>
    <w:hidden/>
    <w:uiPriority w:val="99"/>
    <w:semiHidden/>
    <w:rsid w:val="00983261"/>
    <w:rPr>
      <w:rFonts w:ascii="Calibri" w:eastAsia="Calibri" w:hAnsi="Calibri" w:cs="Calibri"/>
      <w:sz w:val="21"/>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841</Words>
  <Characters>4798</Characters>
  <Application>Microsoft Office Word</Application>
  <DocSecurity>0</DocSecurity>
  <Lines>39</Lines>
  <Paragraphs>11</Paragraphs>
  <ScaleCrop>false</ScaleCrop>
  <Company/>
  <LinksUpToDate>false</LinksUpToDate>
  <CharactersWithSpaces>5628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2025-09-26T02:40:00Z</dcterms:created>
  <dcterms:modified xsi:type="dcterms:W3CDTF">2025-09-27T05:44:00Z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Date">
    <vt:lpwstr/>
  </property>
  <property fmtid="{D5CDD505-2E9C-101B-9397-08002B2CF9AE}" pid="3" name="DOI">
    <vt:lpwstr/>
  </property>
  <property fmtid="{D5CDD505-2E9C-101B-9397-08002B2CF9AE}" pid="4" name="epub">
    <vt:lpwstr/>
  </property>
  <property fmtid="{D5CDD505-2E9C-101B-9397-08002B2CF9AE}" pid="5" name="ICV">
    <vt:lpwstr>9D159BF056F7F55861887368A9C4171A_43</vt:lpwstr>
  </property>
  <property fmtid="{D5CDD505-2E9C-101B-9397-08002B2CF9AE}" pid="6" name="JournalID">
    <vt:lpwstr/>
  </property>
  <property fmtid="{D5CDD505-2E9C-101B-9397-08002B2CF9AE}" pid="7" name="KSOProductBuildVer">
    <vt:lpwstr>2052-6.8.2.8850</vt:lpwstr>
  </property>
  <property fmtid="{D5CDD505-2E9C-101B-9397-08002B2CF9AE}" pid="8" name="Merops -Original extension">
    <vt:lpwstr>docx</vt:lpwstr>
  </property>
  <property fmtid="{D5CDD505-2E9C-101B-9397-08002B2CF9AE}" pid="9" name="Merops change count">
    <vt:lpwstr>0</vt:lpwstr>
  </property>
  <property fmtid="{D5CDD505-2E9C-101B-9397-08002B2CF9AE}" pid="10" name="Merops client version">
    <vt:lpwstr/>
  </property>
  <property fmtid="{D5CDD505-2E9C-101B-9397-08002B2CF9AE}" pid="11" name="Merops comment count">
    <vt:lpwstr>0</vt:lpwstr>
  </property>
  <property fmtid="{D5CDD505-2E9C-101B-9397-08002B2CF9AE}" pid="12" name="Merops DOI links count">
    <vt:lpwstr>0</vt:lpwstr>
  </property>
  <property fmtid="{D5CDD505-2E9C-101B-9397-08002B2CF9AE}" pid="13" name="Merops email addresses count">
    <vt:lpwstr>0</vt:lpwstr>
  </property>
  <property fmtid="{D5CDD505-2E9C-101B-9397-08002B2CF9AE}" pid="14" name="Merops figures count">
    <vt:lpwstr>5</vt:lpwstr>
  </property>
  <property fmtid="{D5CDD505-2E9C-101B-9397-08002B2CF9AE}" pid="15" name="Merops footnotes/endnotes count">
    <vt:lpwstr>0</vt:lpwstr>
  </property>
  <property fmtid="{D5CDD505-2E9C-101B-9397-08002B2CF9AE}" pid="16" name="Merops graphics count">
    <vt:lpwstr>5</vt:lpwstr>
  </property>
  <property fmtid="{D5CDD505-2E9C-101B-9397-08002B2CF9AE}" pid="17" name="Merops input file path">
    <vt:lpwstr>2441c6c2-551c-4d2c-a01e-c9446aa46937.docx</vt:lpwstr>
  </property>
  <property fmtid="{D5CDD505-2E9C-101B-9397-08002B2CF9AE}" pid="18" name="Merops intra-document links count">
    <vt:lpwstr>0</vt:lpwstr>
  </property>
  <property fmtid="{D5CDD505-2E9C-101B-9397-08002B2CF9AE}" pid="19" name="Merops item path">
    <vt:lpwstr>MG-Session/On-20241101/I:4acf0e7a-b3fa-4fa9-a39a-4e9117376a94</vt:lpwstr>
  </property>
  <property fmtid="{D5CDD505-2E9C-101B-9397-08002B2CF9AE}" pid="20" name="Merops processed date">
    <vt:lpwstr>2024/11/01 04:44:09 AM</vt:lpwstr>
  </property>
  <property fmtid="{D5CDD505-2E9C-101B-9397-08002B2CF9AE}" pid="21" name="Merops PubMed links count">
    <vt:lpwstr>0</vt:lpwstr>
  </property>
  <property fmtid="{D5CDD505-2E9C-101B-9397-08002B2CF9AE}" pid="22" name="Merops references count">
    <vt:lpwstr>0</vt:lpwstr>
  </property>
  <property fmtid="{D5CDD505-2E9C-101B-9397-08002B2CF9AE}" pid="23" name="Merops Scopus links count">
    <vt:lpwstr>0</vt:lpwstr>
  </property>
  <property fmtid="{D5CDD505-2E9C-101B-9397-08002B2CF9AE}" pid="24" name="Merops server path">
    <vt:lpwstr/>
  </property>
  <property fmtid="{D5CDD505-2E9C-101B-9397-08002B2CF9AE}" pid="25" name="Merops Standard Set">
    <vt:lpwstr>merops/preset-v1/springer-vancouver-brackets</vt:lpwstr>
  </property>
  <property fmtid="{D5CDD505-2E9C-101B-9397-08002B2CF9AE}" pid="26" name="Merops Standard Set modified">
    <vt:lpwstr/>
  </property>
  <property fmtid="{D5CDD505-2E9C-101B-9397-08002B2CF9AE}" pid="27" name="Merops tables count">
    <vt:lpwstr>0</vt:lpwstr>
  </property>
  <property fmtid="{D5CDD505-2E9C-101B-9397-08002B2CF9AE}" pid="28" name="Merops word count">
    <vt:lpwstr>388</vt:lpwstr>
  </property>
  <property fmtid="{D5CDD505-2E9C-101B-9397-08002B2CF9AE}" pid="29" name="Merops WorldCat links count">
    <vt:lpwstr>0</vt:lpwstr>
  </property>
  <property fmtid="{D5CDD505-2E9C-101B-9397-08002B2CF9AE}" pid="30" name="ppub">
    <vt:lpwstr/>
  </property>
  <property fmtid="{D5CDD505-2E9C-101B-9397-08002B2CF9AE}" pid="31" name="Publisher">
    <vt:lpwstr/>
  </property>
  <property fmtid="{D5CDD505-2E9C-101B-9397-08002B2CF9AE}" pid="32" name="Publisher-location">
    <vt:lpwstr/>
  </property>
  <property fmtid="{D5CDD505-2E9C-101B-9397-08002B2CF9AE}" pid="33" name="ReceivedDate">
    <vt:lpwstr/>
  </property>
  <property fmtid="{D5CDD505-2E9C-101B-9397-08002B2CF9AE}" pid="34" name="Reference citation style">
    <vt:lpwstr>numerical</vt:lpwstr>
  </property>
  <property fmtid="{D5CDD505-2E9C-101B-9397-08002B2CF9AE}" pid="35" name="Source">
    <vt:lpwstr/>
  </property>
  <property fmtid="{D5CDD505-2E9C-101B-9397-08002B2CF9AE}" pid="36" name="Source-abbreviated">
    <vt:lpwstr/>
  </property>
  <property fmtid="{D5CDD505-2E9C-101B-9397-08002B2CF9AE}" pid="37" name="Source-short">
    <vt:lpwstr/>
  </property>
  <property fmtid="{D5CDD505-2E9C-101B-9397-08002B2CF9AE}" pid="38" name="Subject">
    <vt:lpwstr/>
  </property>
</Properties>
</file>