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8D9C2F" w14:textId="77777777" w:rsidR="00331973" w:rsidRPr="0092758A" w:rsidRDefault="0092758A">
      <w:pPr>
        <w:rPr>
          <w:rFonts w:ascii="Times New Roman" w:hAnsi="Times New Roman" w:cs="Times New Roman"/>
          <w:b/>
          <w:bCs/>
          <w:sz w:val="24"/>
        </w:rPr>
      </w:pPr>
      <w:r w:rsidRPr="0092758A">
        <w:rPr>
          <w:rFonts w:ascii="Times New Roman" w:hAnsi="Times New Roman" w:cs="Times New Roman"/>
          <w:b/>
          <w:bCs/>
          <w:sz w:val="24"/>
        </w:rPr>
        <w:t>Supplemental Table S1. Primary antibodies for Western blot and immunofluorescence</w:t>
      </w:r>
      <w:bookmarkStart w:id="0" w:name="_GoBack"/>
      <w:bookmarkEnd w:id="0"/>
    </w:p>
    <w:tbl>
      <w:tblPr>
        <w:tblStyle w:val="a"/>
        <w:tblW w:w="8872" w:type="dxa"/>
        <w:jc w:val="center"/>
        <w:tblLayout w:type="fixed"/>
        <w:tblLook w:val="04A0" w:firstRow="1" w:lastRow="0" w:firstColumn="1" w:lastColumn="0" w:noHBand="0" w:noVBand="1"/>
      </w:tblPr>
      <w:tblGrid>
        <w:gridCol w:w="2716"/>
        <w:gridCol w:w="2487"/>
        <w:gridCol w:w="3669"/>
      </w:tblGrid>
      <w:tr w:rsidR="0092758A" w:rsidRPr="0092758A" w14:paraId="64FB8736" w14:textId="77777777" w:rsidTr="00331973">
        <w:trPr>
          <w:cnfStyle w:val="100000000000" w:firstRow="1" w:lastRow="0" w:firstColumn="0" w:lastColumn="0" w:oddVBand="0" w:evenVBand="0" w:oddHBand="0" w:evenHBand="0" w:firstRowFirstColumn="0" w:firstRowLastColumn="0" w:lastRowFirstColumn="0" w:lastRowLastColumn="0"/>
          <w:trHeight w:val="567"/>
          <w:jc w:val="center"/>
        </w:trPr>
        <w:tc>
          <w:tcPr>
            <w:tcW w:w="2716" w:type="dxa"/>
            <w:tcBorders>
              <w:top w:val="single" w:sz="8" w:space="0" w:color="auto"/>
              <w:left w:val="nil"/>
              <w:bottom w:val="single" w:sz="8" w:space="0" w:color="auto"/>
              <w:right w:val="nil"/>
            </w:tcBorders>
          </w:tcPr>
          <w:p w14:paraId="1BADAB24" w14:textId="77777777" w:rsidR="00331973" w:rsidRPr="0092758A" w:rsidRDefault="0092758A">
            <w:pPr>
              <w:spacing w:line="360" w:lineRule="auto"/>
              <w:jc w:val="center"/>
              <w:rPr>
                <w:rFonts w:ascii="Times New Roman" w:hAnsi="Times New Roman" w:cs="Times New Roman"/>
                <w:sz w:val="24"/>
              </w:rPr>
            </w:pPr>
            <w:r w:rsidRPr="0092758A">
              <w:rPr>
                <w:rFonts w:ascii="Times New Roman" w:hAnsi="Times New Roman" w:cs="Times New Roman"/>
                <w:sz w:val="24"/>
              </w:rPr>
              <w:t>Antibody</w:t>
            </w:r>
          </w:p>
        </w:tc>
        <w:tc>
          <w:tcPr>
            <w:tcW w:w="2487" w:type="dxa"/>
            <w:tcBorders>
              <w:top w:val="single" w:sz="8" w:space="0" w:color="auto"/>
              <w:left w:val="nil"/>
              <w:bottom w:val="single" w:sz="8" w:space="0" w:color="auto"/>
              <w:right w:val="nil"/>
            </w:tcBorders>
          </w:tcPr>
          <w:p w14:paraId="708B456A" w14:textId="77777777" w:rsidR="00331973" w:rsidRPr="0092758A" w:rsidRDefault="0092758A">
            <w:pPr>
              <w:spacing w:line="360" w:lineRule="auto"/>
              <w:jc w:val="center"/>
              <w:rPr>
                <w:rFonts w:ascii="Times New Roman" w:hAnsi="Times New Roman" w:cs="Times New Roman"/>
                <w:sz w:val="24"/>
              </w:rPr>
            </w:pPr>
            <w:r w:rsidRPr="0092758A">
              <w:rPr>
                <w:rFonts w:ascii="Times New Roman" w:hAnsi="Times New Roman" w:cs="Times New Roman"/>
                <w:sz w:val="24"/>
              </w:rPr>
              <w:t>Catalog number</w:t>
            </w:r>
          </w:p>
        </w:tc>
        <w:tc>
          <w:tcPr>
            <w:tcW w:w="3669" w:type="dxa"/>
            <w:tcBorders>
              <w:top w:val="single" w:sz="8" w:space="0" w:color="auto"/>
              <w:left w:val="nil"/>
              <w:bottom w:val="single" w:sz="8" w:space="0" w:color="auto"/>
              <w:right w:val="nil"/>
            </w:tcBorders>
          </w:tcPr>
          <w:p w14:paraId="29F2DC56" w14:textId="77777777" w:rsidR="00331973" w:rsidRPr="0092758A" w:rsidRDefault="0092758A">
            <w:pPr>
              <w:spacing w:line="360" w:lineRule="auto"/>
              <w:jc w:val="center"/>
              <w:rPr>
                <w:rFonts w:ascii="Times New Roman" w:hAnsi="Times New Roman" w:cs="Times New Roman"/>
                <w:sz w:val="24"/>
              </w:rPr>
            </w:pPr>
            <w:r w:rsidRPr="0092758A">
              <w:rPr>
                <w:rFonts w:ascii="Times New Roman" w:hAnsi="Times New Roman" w:cs="Times New Roman"/>
                <w:sz w:val="24"/>
              </w:rPr>
              <w:t>Manufacturers</w:t>
            </w:r>
          </w:p>
        </w:tc>
      </w:tr>
      <w:tr w:rsidR="0092758A" w:rsidRPr="0092758A" w14:paraId="43F4890E" w14:textId="77777777" w:rsidTr="00331973">
        <w:trPr>
          <w:trHeight w:hRule="exact" w:val="567"/>
          <w:jc w:val="center"/>
        </w:trPr>
        <w:tc>
          <w:tcPr>
            <w:tcW w:w="2716" w:type="dxa"/>
            <w:tcBorders>
              <w:top w:val="single" w:sz="8" w:space="0" w:color="auto"/>
              <w:left w:val="nil"/>
              <w:bottom w:val="nil"/>
              <w:right w:val="nil"/>
            </w:tcBorders>
            <w:vAlign w:val="bottom"/>
          </w:tcPr>
          <w:p w14:paraId="207F16C2"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anti-HK2</w:t>
            </w:r>
          </w:p>
        </w:tc>
        <w:tc>
          <w:tcPr>
            <w:tcW w:w="2487" w:type="dxa"/>
            <w:tcBorders>
              <w:top w:val="single" w:sz="8" w:space="0" w:color="auto"/>
              <w:left w:val="nil"/>
              <w:bottom w:val="nil"/>
              <w:right w:val="nil"/>
            </w:tcBorders>
            <w:vAlign w:val="bottom"/>
          </w:tcPr>
          <w:p w14:paraId="4698D8C8"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2867</w:t>
            </w:r>
          </w:p>
        </w:tc>
        <w:tc>
          <w:tcPr>
            <w:tcW w:w="3669" w:type="dxa"/>
            <w:tcBorders>
              <w:top w:val="single" w:sz="8" w:space="0" w:color="auto"/>
              <w:left w:val="nil"/>
              <w:bottom w:val="nil"/>
              <w:right w:val="nil"/>
            </w:tcBorders>
            <w:vAlign w:val="bottom"/>
          </w:tcPr>
          <w:p w14:paraId="70C1555B"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CST, USA</w:t>
            </w:r>
          </w:p>
        </w:tc>
      </w:tr>
      <w:tr w:rsidR="0092758A" w:rsidRPr="0092758A" w14:paraId="198D6638" w14:textId="77777777" w:rsidTr="00331973">
        <w:trPr>
          <w:trHeight w:hRule="exact" w:val="567"/>
          <w:jc w:val="center"/>
        </w:trPr>
        <w:tc>
          <w:tcPr>
            <w:tcW w:w="2716" w:type="dxa"/>
            <w:tcBorders>
              <w:top w:val="nil"/>
              <w:left w:val="nil"/>
              <w:bottom w:val="nil"/>
              <w:right w:val="nil"/>
            </w:tcBorders>
            <w:vAlign w:val="bottom"/>
          </w:tcPr>
          <w:p w14:paraId="173AC7D0"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anti-Brg1</w:t>
            </w:r>
          </w:p>
        </w:tc>
        <w:tc>
          <w:tcPr>
            <w:tcW w:w="2487" w:type="dxa"/>
            <w:tcBorders>
              <w:top w:val="nil"/>
              <w:left w:val="nil"/>
              <w:bottom w:val="nil"/>
              <w:right w:val="nil"/>
            </w:tcBorders>
            <w:vAlign w:val="bottom"/>
          </w:tcPr>
          <w:p w14:paraId="4510355A"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49360</w:t>
            </w:r>
          </w:p>
        </w:tc>
        <w:tc>
          <w:tcPr>
            <w:tcW w:w="3669" w:type="dxa"/>
            <w:tcBorders>
              <w:top w:val="nil"/>
              <w:left w:val="nil"/>
              <w:bottom w:val="nil"/>
              <w:right w:val="nil"/>
            </w:tcBorders>
            <w:vAlign w:val="bottom"/>
          </w:tcPr>
          <w:p w14:paraId="19DB9FC7"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CST, USA</w:t>
            </w:r>
          </w:p>
        </w:tc>
      </w:tr>
      <w:tr w:rsidR="0092758A" w:rsidRPr="0092758A" w14:paraId="74FE9A8B" w14:textId="77777777" w:rsidTr="00331973">
        <w:trPr>
          <w:trHeight w:hRule="exact" w:val="567"/>
          <w:jc w:val="center"/>
        </w:trPr>
        <w:tc>
          <w:tcPr>
            <w:tcW w:w="2716" w:type="dxa"/>
            <w:tcBorders>
              <w:top w:val="nil"/>
              <w:left w:val="nil"/>
              <w:bottom w:val="nil"/>
              <w:right w:val="nil"/>
            </w:tcBorders>
            <w:vAlign w:val="bottom"/>
          </w:tcPr>
          <w:p w14:paraId="60972C69"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anti-AKT</w:t>
            </w:r>
          </w:p>
        </w:tc>
        <w:tc>
          <w:tcPr>
            <w:tcW w:w="2487" w:type="dxa"/>
            <w:tcBorders>
              <w:top w:val="nil"/>
              <w:left w:val="nil"/>
              <w:bottom w:val="nil"/>
              <w:right w:val="nil"/>
            </w:tcBorders>
            <w:vAlign w:val="bottom"/>
          </w:tcPr>
          <w:p w14:paraId="228FAF95"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9272</w:t>
            </w:r>
          </w:p>
        </w:tc>
        <w:tc>
          <w:tcPr>
            <w:tcW w:w="3669" w:type="dxa"/>
            <w:tcBorders>
              <w:top w:val="nil"/>
              <w:left w:val="nil"/>
              <w:bottom w:val="nil"/>
              <w:right w:val="nil"/>
            </w:tcBorders>
            <w:vAlign w:val="bottom"/>
          </w:tcPr>
          <w:p w14:paraId="7D4FAF22"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CST, USA</w:t>
            </w:r>
          </w:p>
        </w:tc>
      </w:tr>
      <w:tr w:rsidR="0092758A" w:rsidRPr="0092758A" w14:paraId="31ABF0C2" w14:textId="77777777" w:rsidTr="00331973">
        <w:trPr>
          <w:trHeight w:hRule="exact" w:val="567"/>
          <w:jc w:val="center"/>
        </w:trPr>
        <w:tc>
          <w:tcPr>
            <w:tcW w:w="2716" w:type="dxa"/>
            <w:tcBorders>
              <w:top w:val="nil"/>
              <w:left w:val="nil"/>
              <w:bottom w:val="nil"/>
              <w:right w:val="nil"/>
            </w:tcBorders>
            <w:vAlign w:val="bottom"/>
          </w:tcPr>
          <w:p w14:paraId="667BB59D"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eastAsia="SimSun" w:hAnsi="Times New Roman" w:cs="Times New Roman"/>
                <w:kern w:val="0"/>
                <w:sz w:val="24"/>
                <w:lang w:bidi="ar"/>
              </w:rPr>
              <w:t>anti-pSer472 AKT</w:t>
            </w:r>
          </w:p>
        </w:tc>
        <w:tc>
          <w:tcPr>
            <w:tcW w:w="2487" w:type="dxa"/>
            <w:tcBorders>
              <w:top w:val="nil"/>
              <w:left w:val="nil"/>
              <w:bottom w:val="nil"/>
              <w:right w:val="nil"/>
            </w:tcBorders>
            <w:vAlign w:val="bottom"/>
          </w:tcPr>
          <w:p w14:paraId="32F33043"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4060</w:t>
            </w:r>
          </w:p>
        </w:tc>
        <w:tc>
          <w:tcPr>
            <w:tcW w:w="3669" w:type="dxa"/>
            <w:tcBorders>
              <w:top w:val="nil"/>
              <w:left w:val="nil"/>
              <w:bottom w:val="nil"/>
              <w:right w:val="nil"/>
            </w:tcBorders>
            <w:vAlign w:val="bottom"/>
          </w:tcPr>
          <w:p w14:paraId="368F4738"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CST, USA</w:t>
            </w:r>
          </w:p>
        </w:tc>
      </w:tr>
      <w:tr w:rsidR="0092758A" w:rsidRPr="0092758A" w14:paraId="1A0774C7" w14:textId="77777777" w:rsidTr="00331973">
        <w:trPr>
          <w:trHeight w:hRule="exact" w:val="567"/>
          <w:jc w:val="center"/>
        </w:trPr>
        <w:tc>
          <w:tcPr>
            <w:tcW w:w="2716" w:type="dxa"/>
            <w:tcBorders>
              <w:top w:val="nil"/>
              <w:left w:val="nil"/>
              <w:bottom w:val="nil"/>
              <w:right w:val="nil"/>
            </w:tcBorders>
            <w:vAlign w:val="bottom"/>
          </w:tcPr>
          <w:p w14:paraId="2C400BE8"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eastAsia="SimSun" w:hAnsi="Times New Roman" w:cs="Times New Roman"/>
                <w:kern w:val="0"/>
                <w:sz w:val="24"/>
                <w:lang w:bidi="ar"/>
              </w:rPr>
              <w:t>anti-PI3K</w:t>
            </w:r>
          </w:p>
        </w:tc>
        <w:tc>
          <w:tcPr>
            <w:tcW w:w="2487" w:type="dxa"/>
            <w:tcBorders>
              <w:top w:val="nil"/>
              <w:left w:val="nil"/>
              <w:bottom w:val="nil"/>
              <w:right w:val="nil"/>
            </w:tcBorders>
            <w:vAlign w:val="bottom"/>
          </w:tcPr>
          <w:p w14:paraId="30159D6C"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4249</w:t>
            </w:r>
          </w:p>
        </w:tc>
        <w:tc>
          <w:tcPr>
            <w:tcW w:w="3669" w:type="dxa"/>
            <w:tcBorders>
              <w:top w:val="nil"/>
              <w:left w:val="nil"/>
              <w:bottom w:val="nil"/>
              <w:right w:val="nil"/>
            </w:tcBorders>
            <w:vAlign w:val="bottom"/>
          </w:tcPr>
          <w:p w14:paraId="4844FF6B"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CST, USA</w:t>
            </w:r>
          </w:p>
        </w:tc>
      </w:tr>
      <w:tr w:rsidR="0092758A" w:rsidRPr="0092758A" w14:paraId="2F0690E4" w14:textId="77777777" w:rsidTr="00331973">
        <w:trPr>
          <w:trHeight w:hRule="exact" w:val="567"/>
          <w:jc w:val="center"/>
        </w:trPr>
        <w:tc>
          <w:tcPr>
            <w:tcW w:w="2716" w:type="dxa"/>
            <w:tcBorders>
              <w:top w:val="nil"/>
              <w:left w:val="nil"/>
              <w:bottom w:val="nil"/>
              <w:right w:val="nil"/>
            </w:tcBorders>
            <w:vAlign w:val="bottom"/>
          </w:tcPr>
          <w:p w14:paraId="2B17C605" w14:textId="77777777" w:rsidR="00331973" w:rsidRPr="0092758A" w:rsidRDefault="0092758A">
            <w:pPr>
              <w:widowControl/>
              <w:jc w:val="center"/>
              <w:textAlignment w:val="bottom"/>
              <w:rPr>
                <w:rFonts w:ascii="Times New Roman" w:eastAsia="SimSun" w:hAnsi="Times New Roman" w:cs="Times New Roman"/>
                <w:kern w:val="0"/>
                <w:sz w:val="24"/>
                <w:lang w:bidi="ar"/>
              </w:rPr>
            </w:pPr>
            <w:r w:rsidRPr="0092758A">
              <w:rPr>
                <w:rFonts w:ascii="Times New Roman" w:eastAsia="SimSun" w:hAnsi="Times New Roman" w:cs="Times New Roman"/>
                <w:kern w:val="0"/>
                <w:sz w:val="24"/>
                <w:lang w:bidi="ar"/>
              </w:rPr>
              <w:t>anti-Phospho-PI3K</w:t>
            </w:r>
          </w:p>
        </w:tc>
        <w:tc>
          <w:tcPr>
            <w:tcW w:w="2487" w:type="dxa"/>
            <w:tcBorders>
              <w:top w:val="nil"/>
              <w:left w:val="nil"/>
              <w:bottom w:val="nil"/>
              <w:right w:val="nil"/>
            </w:tcBorders>
            <w:vAlign w:val="bottom"/>
          </w:tcPr>
          <w:p w14:paraId="4A146B7B"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13857</w:t>
            </w:r>
          </w:p>
        </w:tc>
        <w:tc>
          <w:tcPr>
            <w:tcW w:w="3669" w:type="dxa"/>
            <w:tcBorders>
              <w:top w:val="nil"/>
              <w:left w:val="nil"/>
              <w:bottom w:val="nil"/>
              <w:right w:val="nil"/>
            </w:tcBorders>
            <w:vAlign w:val="bottom"/>
          </w:tcPr>
          <w:p w14:paraId="0C6C3A55"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CST, USA</w:t>
            </w:r>
          </w:p>
        </w:tc>
      </w:tr>
      <w:tr w:rsidR="0092758A" w:rsidRPr="0092758A" w14:paraId="29DA8D94" w14:textId="77777777" w:rsidTr="00331973">
        <w:trPr>
          <w:trHeight w:hRule="exact" w:val="567"/>
          <w:jc w:val="center"/>
        </w:trPr>
        <w:tc>
          <w:tcPr>
            <w:tcW w:w="2716" w:type="dxa"/>
            <w:tcBorders>
              <w:top w:val="nil"/>
              <w:left w:val="nil"/>
              <w:bottom w:val="nil"/>
              <w:right w:val="nil"/>
            </w:tcBorders>
            <w:vAlign w:val="bottom"/>
          </w:tcPr>
          <w:p w14:paraId="29F155A5"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eastAsia="SimSun" w:hAnsi="Times New Roman" w:cs="Times New Roman"/>
                <w:kern w:val="0"/>
                <w:sz w:val="24"/>
                <w:lang w:bidi="ar"/>
              </w:rPr>
              <w:t>anti-β-actin</w:t>
            </w:r>
          </w:p>
        </w:tc>
        <w:tc>
          <w:tcPr>
            <w:tcW w:w="2487" w:type="dxa"/>
            <w:tcBorders>
              <w:top w:val="nil"/>
              <w:left w:val="nil"/>
              <w:bottom w:val="nil"/>
              <w:right w:val="nil"/>
            </w:tcBorders>
            <w:vAlign w:val="bottom"/>
          </w:tcPr>
          <w:p w14:paraId="2A6F541D"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ab8226</w:t>
            </w:r>
          </w:p>
        </w:tc>
        <w:tc>
          <w:tcPr>
            <w:tcW w:w="3669" w:type="dxa"/>
            <w:tcBorders>
              <w:top w:val="nil"/>
              <w:left w:val="nil"/>
              <w:bottom w:val="nil"/>
              <w:right w:val="nil"/>
            </w:tcBorders>
            <w:vAlign w:val="bottom"/>
          </w:tcPr>
          <w:p w14:paraId="0BFAA6B8"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Abcam, USA</w:t>
            </w:r>
          </w:p>
        </w:tc>
      </w:tr>
      <w:tr w:rsidR="0092758A" w:rsidRPr="0092758A" w14:paraId="4C28AC6F" w14:textId="77777777" w:rsidTr="00331973">
        <w:trPr>
          <w:trHeight w:hRule="exact" w:val="567"/>
          <w:jc w:val="center"/>
        </w:trPr>
        <w:tc>
          <w:tcPr>
            <w:tcW w:w="2716" w:type="dxa"/>
            <w:tcBorders>
              <w:top w:val="nil"/>
              <w:left w:val="nil"/>
              <w:bottom w:val="nil"/>
              <w:right w:val="nil"/>
            </w:tcBorders>
            <w:vAlign w:val="bottom"/>
          </w:tcPr>
          <w:p w14:paraId="40762B1A"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anti-PKM2</w:t>
            </w:r>
          </w:p>
        </w:tc>
        <w:tc>
          <w:tcPr>
            <w:tcW w:w="2487" w:type="dxa"/>
            <w:tcBorders>
              <w:top w:val="nil"/>
              <w:left w:val="nil"/>
              <w:bottom w:val="nil"/>
              <w:right w:val="nil"/>
            </w:tcBorders>
            <w:vAlign w:val="bottom"/>
          </w:tcPr>
          <w:p w14:paraId="1060511A"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15822</w:t>
            </w:r>
          </w:p>
        </w:tc>
        <w:tc>
          <w:tcPr>
            <w:tcW w:w="3669" w:type="dxa"/>
            <w:tcBorders>
              <w:top w:val="nil"/>
              <w:left w:val="nil"/>
              <w:bottom w:val="nil"/>
              <w:right w:val="nil"/>
            </w:tcBorders>
            <w:vAlign w:val="bottom"/>
          </w:tcPr>
          <w:p w14:paraId="5A13FEF4"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Proteintech, Wuhan, China</w:t>
            </w:r>
          </w:p>
        </w:tc>
      </w:tr>
      <w:tr w:rsidR="0092758A" w:rsidRPr="0092758A" w14:paraId="1B807258" w14:textId="77777777" w:rsidTr="00331973">
        <w:trPr>
          <w:trHeight w:hRule="exact" w:val="567"/>
          <w:jc w:val="center"/>
        </w:trPr>
        <w:tc>
          <w:tcPr>
            <w:tcW w:w="2716" w:type="dxa"/>
            <w:tcBorders>
              <w:top w:val="nil"/>
              <w:left w:val="nil"/>
              <w:bottom w:val="single" w:sz="8" w:space="0" w:color="auto"/>
              <w:right w:val="nil"/>
            </w:tcBorders>
            <w:vAlign w:val="bottom"/>
          </w:tcPr>
          <w:p w14:paraId="4F6BF757"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anti-LDHA</w:t>
            </w:r>
          </w:p>
        </w:tc>
        <w:tc>
          <w:tcPr>
            <w:tcW w:w="2487" w:type="dxa"/>
            <w:tcBorders>
              <w:top w:val="nil"/>
              <w:left w:val="nil"/>
              <w:bottom w:val="single" w:sz="8" w:space="0" w:color="auto"/>
              <w:right w:val="nil"/>
            </w:tcBorders>
            <w:vAlign w:val="bottom"/>
          </w:tcPr>
          <w:p w14:paraId="7BFC9659"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21799</w:t>
            </w:r>
          </w:p>
        </w:tc>
        <w:tc>
          <w:tcPr>
            <w:tcW w:w="3669" w:type="dxa"/>
            <w:tcBorders>
              <w:top w:val="nil"/>
              <w:left w:val="nil"/>
              <w:bottom w:val="single" w:sz="8" w:space="0" w:color="auto"/>
              <w:right w:val="nil"/>
            </w:tcBorders>
            <w:vAlign w:val="bottom"/>
          </w:tcPr>
          <w:p w14:paraId="2420DB0E" w14:textId="77777777" w:rsidR="00331973" w:rsidRPr="0092758A" w:rsidRDefault="0092758A">
            <w:pPr>
              <w:widowControl/>
              <w:jc w:val="center"/>
              <w:textAlignment w:val="bottom"/>
              <w:rPr>
                <w:rFonts w:ascii="Times New Roman" w:hAnsi="Times New Roman" w:cs="Times New Roman"/>
                <w:sz w:val="24"/>
              </w:rPr>
            </w:pPr>
            <w:r w:rsidRPr="0092758A">
              <w:rPr>
                <w:rFonts w:ascii="Times New Roman" w:hAnsi="Times New Roman" w:cs="Times New Roman"/>
                <w:sz w:val="24"/>
              </w:rPr>
              <w:t>Proteintech, Wuhan, China</w:t>
            </w:r>
          </w:p>
        </w:tc>
      </w:tr>
    </w:tbl>
    <w:p w14:paraId="29AF4DAC" w14:textId="0B9D46F2" w:rsidR="00331973" w:rsidRPr="0092758A" w:rsidRDefault="0092758A">
      <w:pPr>
        <w:rPr>
          <w:rFonts w:ascii="Times New Roman" w:hAnsi="Times New Roman" w:cs="Times New Roman"/>
          <w:b/>
          <w:bCs/>
          <w:sz w:val="24"/>
        </w:rPr>
      </w:pPr>
      <w:r w:rsidRPr="0092758A">
        <w:rPr>
          <w:rFonts w:ascii="Times New Roman" w:hAnsi="Times New Roman" w:cs="Times New Roman" w:hint="eastAsia"/>
          <w:sz w:val="24"/>
        </w:rPr>
        <w:t>CST denotes Cell Signaling Technology, Inc.</w:t>
      </w:r>
    </w:p>
    <w:p w14:paraId="45437FB3" w14:textId="77777777" w:rsidR="00331973" w:rsidRPr="0092758A" w:rsidRDefault="00331973">
      <w:pPr>
        <w:rPr>
          <w:rFonts w:ascii="Times New Roman" w:hAnsi="Times New Roman" w:cs="Times New Roman"/>
          <w:b/>
          <w:bCs/>
          <w:sz w:val="24"/>
        </w:rPr>
      </w:pPr>
    </w:p>
    <w:p w14:paraId="4986C30E" w14:textId="77777777" w:rsidR="00331973" w:rsidRPr="0092758A" w:rsidRDefault="00331973">
      <w:pPr>
        <w:rPr>
          <w:rFonts w:ascii="Times New Roman" w:hAnsi="Times New Roman" w:cs="Times New Roman"/>
          <w:b/>
          <w:bCs/>
          <w:sz w:val="24"/>
        </w:rPr>
      </w:pPr>
    </w:p>
    <w:p w14:paraId="51F5BF6F" w14:textId="77777777" w:rsidR="00331973" w:rsidRPr="0092758A" w:rsidRDefault="0092758A">
      <w:pPr>
        <w:widowControl/>
        <w:jc w:val="left"/>
        <w:rPr>
          <w:rFonts w:ascii="Times New Roman" w:hAnsi="Times New Roman" w:cs="Times New Roman"/>
          <w:b/>
          <w:bCs/>
          <w:sz w:val="24"/>
        </w:rPr>
      </w:pPr>
      <w:r w:rsidRPr="0092758A">
        <w:rPr>
          <w:rFonts w:ascii="Times New Roman" w:hAnsi="Times New Roman" w:cs="Times New Roman"/>
          <w:b/>
          <w:bCs/>
          <w:sz w:val="24"/>
        </w:rPr>
        <w:br w:type="page"/>
      </w:r>
    </w:p>
    <w:p w14:paraId="5BBDECE0" w14:textId="3DA95BC4" w:rsidR="00331973" w:rsidRPr="0092758A" w:rsidRDefault="0092758A">
      <w:pPr>
        <w:rPr>
          <w:rFonts w:ascii="Times New Roman" w:hAnsi="Times New Roman" w:cs="Times New Roman"/>
          <w:b/>
          <w:bCs/>
          <w:sz w:val="24"/>
        </w:rPr>
      </w:pPr>
      <w:r w:rsidRPr="0092758A">
        <w:rPr>
          <w:rFonts w:ascii="Times New Roman" w:hAnsi="Times New Roman" w:cs="Times New Roman"/>
          <w:b/>
          <w:bCs/>
          <w:sz w:val="24"/>
        </w:rPr>
        <w:t xml:space="preserve">Supplemental Table S2. Primer sequences for conventional </w:t>
      </w:r>
      <w:r w:rsidR="007C4034" w:rsidRPr="0092758A">
        <w:rPr>
          <w:rFonts w:ascii="Times New Roman" w:hAnsi="Times New Roman" w:cs="Times New Roman" w:hint="eastAsia"/>
          <w:b/>
          <w:bCs/>
          <w:sz w:val="24"/>
        </w:rPr>
        <w:t>quantitative real-time polymerase chain reaction</w:t>
      </w:r>
      <w:r w:rsidR="007C4034" w:rsidRPr="0092758A">
        <w:rPr>
          <w:rFonts w:ascii="Times New Roman" w:hAnsi="Times New Roman" w:cs="Times New Roman"/>
          <w:b/>
          <w:bCs/>
          <w:sz w:val="24"/>
        </w:rPr>
        <w:t xml:space="preserve"> </w:t>
      </w:r>
      <w:r w:rsidR="007C4034" w:rsidRPr="0092758A">
        <w:rPr>
          <w:rFonts w:ascii="Times New Roman" w:hAnsi="Times New Roman" w:cs="Times New Roman" w:hint="eastAsia"/>
          <w:b/>
          <w:bCs/>
          <w:sz w:val="24"/>
        </w:rPr>
        <w:t>(</w:t>
      </w:r>
      <w:proofErr w:type="spellStart"/>
      <w:r w:rsidR="007C4034" w:rsidRPr="0092758A">
        <w:rPr>
          <w:rFonts w:ascii="Times New Roman" w:hAnsi="Times New Roman" w:cs="Times New Roman"/>
          <w:b/>
          <w:bCs/>
          <w:sz w:val="24"/>
        </w:rPr>
        <w:t>q</w:t>
      </w:r>
      <w:r w:rsidRPr="0092758A">
        <w:rPr>
          <w:rFonts w:ascii="Times New Roman" w:hAnsi="Times New Roman" w:cs="Times New Roman"/>
          <w:b/>
          <w:bCs/>
          <w:sz w:val="24"/>
        </w:rPr>
        <w:t>RT</w:t>
      </w:r>
      <w:proofErr w:type="spellEnd"/>
      <w:r w:rsidRPr="0092758A">
        <w:rPr>
          <w:rFonts w:ascii="Times New Roman" w:hAnsi="Times New Roman" w:cs="Times New Roman"/>
          <w:b/>
          <w:bCs/>
          <w:sz w:val="24"/>
        </w:rPr>
        <w:t>-PCR</w:t>
      </w:r>
      <w:r w:rsidR="007C4034" w:rsidRPr="0092758A">
        <w:rPr>
          <w:rFonts w:ascii="Times New Roman" w:hAnsi="Times New Roman" w:cs="Times New Roman" w:hint="eastAsia"/>
          <w:b/>
          <w:bCs/>
          <w:sz w:val="24"/>
        </w:rPr>
        <w:t>)</w:t>
      </w:r>
    </w:p>
    <w:tbl>
      <w:tblPr>
        <w:tblStyle w:val="a"/>
        <w:tblW w:w="9322" w:type="dxa"/>
        <w:tblLayout w:type="fixed"/>
        <w:tblLook w:val="04A0" w:firstRow="1" w:lastRow="0" w:firstColumn="1" w:lastColumn="0" w:noHBand="0" w:noVBand="1"/>
      </w:tblPr>
      <w:tblGrid>
        <w:gridCol w:w="1418"/>
        <w:gridCol w:w="3827"/>
        <w:gridCol w:w="4077"/>
      </w:tblGrid>
      <w:tr w:rsidR="0092758A" w:rsidRPr="0092758A" w14:paraId="125B5A84" w14:textId="77777777" w:rsidTr="00331973">
        <w:trPr>
          <w:cnfStyle w:val="100000000000" w:firstRow="1" w:lastRow="0" w:firstColumn="0" w:lastColumn="0" w:oddVBand="0" w:evenVBand="0" w:oddHBand="0" w:evenHBand="0" w:firstRowFirstColumn="0" w:firstRowLastColumn="0" w:lastRowFirstColumn="0" w:lastRowLastColumn="0"/>
          <w:trHeight w:val="534"/>
        </w:trPr>
        <w:tc>
          <w:tcPr>
            <w:tcW w:w="1418" w:type="dxa"/>
            <w:tcBorders>
              <w:top w:val="single" w:sz="8" w:space="0" w:color="auto"/>
              <w:left w:val="nil"/>
              <w:bottom w:val="single" w:sz="8" w:space="0" w:color="auto"/>
              <w:right w:val="nil"/>
            </w:tcBorders>
          </w:tcPr>
          <w:p w14:paraId="20352844"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Gene</w:t>
            </w:r>
          </w:p>
        </w:tc>
        <w:tc>
          <w:tcPr>
            <w:tcW w:w="3827" w:type="dxa"/>
            <w:tcBorders>
              <w:top w:val="single" w:sz="8" w:space="0" w:color="auto"/>
              <w:left w:val="nil"/>
              <w:bottom w:val="single" w:sz="8" w:space="0" w:color="auto"/>
              <w:right w:val="nil"/>
            </w:tcBorders>
          </w:tcPr>
          <w:p w14:paraId="325678D8"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Forward primer (5′-3′)</w:t>
            </w:r>
          </w:p>
        </w:tc>
        <w:tc>
          <w:tcPr>
            <w:tcW w:w="4077" w:type="dxa"/>
            <w:tcBorders>
              <w:top w:val="single" w:sz="8" w:space="0" w:color="auto"/>
              <w:left w:val="nil"/>
              <w:bottom w:val="single" w:sz="8" w:space="0" w:color="auto"/>
              <w:right w:val="nil"/>
            </w:tcBorders>
          </w:tcPr>
          <w:p w14:paraId="3A66BC87"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Reverse primer (5′-3′)</w:t>
            </w:r>
          </w:p>
        </w:tc>
      </w:tr>
      <w:tr w:rsidR="0092758A" w:rsidRPr="0092758A" w14:paraId="6AC1D2D7" w14:textId="77777777" w:rsidTr="00331973">
        <w:trPr>
          <w:trHeight w:val="567"/>
        </w:trPr>
        <w:tc>
          <w:tcPr>
            <w:tcW w:w="1418" w:type="dxa"/>
            <w:tcBorders>
              <w:top w:val="nil"/>
              <w:left w:val="nil"/>
              <w:bottom w:val="nil"/>
              <w:right w:val="nil"/>
            </w:tcBorders>
          </w:tcPr>
          <w:p w14:paraId="55AC3AC4" w14:textId="77777777" w:rsidR="00331973" w:rsidRPr="0092758A" w:rsidRDefault="0092758A">
            <w:pPr>
              <w:spacing w:line="360" w:lineRule="auto"/>
              <w:rPr>
                <w:rFonts w:ascii="Times New Roman" w:hAnsi="Times New Roman" w:cs="Times New Roman"/>
                <w:sz w:val="24"/>
              </w:rPr>
            </w:pPr>
            <w:r w:rsidRPr="0092758A">
              <w:rPr>
                <w:rFonts w:ascii="Times New Roman" w:hAnsi="Times New Roman" w:cs="Times New Roman"/>
                <w:sz w:val="24"/>
              </w:rPr>
              <w:t>PI3KCA</w:t>
            </w:r>
          </w:p>
        </w:tc>
        <w:tc>
          <w:tcPr>
            <w:tcW w:w="3827" w:type="dxa"/>
            <w:tcBorders>
              <w:top w:val="nil"/>
              <w:left w:val="nil"/>
              <w:bottom w:val="nil"/>
              <w:right w:val="nil"/>
            </w:tcBorders>
          </w:tcPr>
          <w:p w14:paraId="4B574F9D"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GGACTGTGTGGGTCTCATCG</w:t>
            </w:r>
          </w:p>
        </w:tc>
        <w:tc>
          <w:tcPr>
            <w:tcW w:w="4077" w:type="dxa"/>
            <w:tcBorders>
              <w:top w:val="nil"/>
              <w:left w:val="nil"/>
              <w:bottom w:val="nil"/>
              <w:right w:val="nil"/>
            </w:tcBorders>
          </w:tcPr>
          <w:p w14:paraId="6F960EC7"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TCTCGCCCTTGTTCTTGTCC</w:t>
            </w:r>
          </w:p>
        </w:tc>
      </w:tr>
      <w:tr w:rsidR="0092758A" w:rsidRPr="0092758A" w14:paraId="0F93B627" w14:textId="77777777" w:rsidTr="00331973">
        <w:trPr>
          <w:trHeight w:val="567"/>
        </w:trPr>
        <w:tc>
          <w:tcPr>
            <w:tcW w:w="1418" w:type="dxa"/>
            <w:tcBorders>
              <w:top w:val="nil"/>
              <w:left w:val="nil"/>
              <w:bottom w:val="nil"/>
              <w:right w:val="nil"/>
            </w:tcBorders>
          </w:tcPr>
          <w:p w14:paraId="28C26756" w14:textId="77777777" w:rsidR="00331973" w:rsidRPr="0092758A" w:rsidRDefault="0092758A">
            <w:pPr>
              <w:spacing w:line="360" w:lineRule="auto"/>
              <w:rPr>
                <w:rFonts w:ascii="Times New Roman" w:hAnsi="Times New Roman" w:cs="Times New Roman"/>
                <w:sz w:val="24"/>
              </w:rPr>
            </w:pPr>
            <w:r w:rsidRPr="0092758A">
              <w:rPr>
                <w:rFonts w:ascii="Times New Roman" w:hAnsi="Times New Roman" w:cs="Times New Roman"/>
                <w:sz w:val="24"/>
              </w:rPr>
              <w:t>AKT1</w:t>
            </w:r>
          </w:p>
        </w:tc>
        <w:tc>
          <w:tcPr>
            <w:tcW w:w="3827" w:type="dxa"/>
            <w:tcBorders>
              <w:top w:val="nil"/>
              <w:left w:val="nil"/>
              <w:bottom w:val="nil"/>
              <w:right w:val="nil"/>
            </w:tcBorders>
          </w:tcPr>
          <w:p w14:paraId="450310EE"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CCTCAAGAACGATGGCACCT</w:t>
            </w:r>
          </w:p>
        </w:tc>
        <w:tc>
          <w:tcPr>
            <w:tcW w:w="4077" w:type="dxa"/>
            <w:tcBorders>
              <w:top w:val="nil"/>
              <w:left w:val="nil"/>
              <w:bottom w:val="nil"/>
              <w:right w:val="nil"/>
            </w:tcBorders>
          </w:tcPr>
          <w:p w14:paraId="21AD4744"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TGCAGGCAGCGGATGATAAA</w:t>
            </w:r>
          </w:p>
        </w:tc>
      </w:tr>
      <w:tr w:rsidR="0092758A" w:rsidRPr="0092758A" w14:paraId="78901291" w14:textId="77777777" w:rsidTr="00331973">
        <w:trPr>
          <w:trHeight w:val="567"/>
        </w:trPr>
        <w:tc>
          <w:tcPr>
            <w:tcW w:w="1418" w:type="dxa"/>
            <w:tcBorders>
              <w:top w:val="nil"/>
              <w:left w:val="nil"/>
              <w:bottom w:val="nil"/>
              <w:right w:val="nil"/>
            </w:tcBorders>
          </w:tcPr>
          <w:p w14:paraId="30BF9D5B" w14:textId="77777777" w:rsidR="00331973" w:rsidRPr="0092758A" w:rsidRDefault="0092758A">
            <w:pPr>
              <w:spacing w:line="360" w:lineRule="auto"/>
              <w:rPr>
                <w:rFonts w:ascii="Times New Roman" w:eastAsia="DengXian" w:hAnsi="Times New Roman" w:cs="Times New Roman"/>
                <w:sz w:val="24"/>
              </w:rPr>
            </w:pPr>
            <w:proofErr w:type="spellStart"/>
            <w:r w:rsidRPr="0092758A">
              <w:rPr>
                <w:rFonts w:ascii="Times New Roman" w:hAnsi="Times New Roman" w:cs="Times New Roman"/>
                <w:sz w:val="24"/>
              </w:rPr>
              <w:t>cGAS</w:t>
            </w:r>
            <w:proofErr w:type="spellEnd"/>
          </w:p>
        </w:tc>
        <w:tc>
          <w:tcPr>
            <w:tcW w:w="3827" w:type="dxa"/>
            <w:tcBorders>
              <w:top w:val="nil"/>
              <w:left w:val="nil"/>
              <w:bottom w:val="nil"/>
              <w:right w:val="nil"/>
            </w:tcBorders>
          </w:tcPr>
          <w:p w14:paraId="420485D3" w14:textId="77777777" w:rsidR="00331973" w:rsidRPr="0092758A" w:rsidRDefault="0092758A">
            <w:pPr>
              <w:spacing w:line="360" w:lineRule="auto"/>
              <w:jc w:val="left"/>
              <w:rPr>
                <w:rFonts w:ascii="Times New Roman" w:eastAsia="DengXian" w:hAnsi="Times New Roman" w:cs="Times New Roman"/>
                <w:sz w:val="24"/>
              </w:rPr>
            </w:pPr>
            <w:r w:rsidRPr="0092758A">
              <w:rPr>
                <w:rFonts w:ascii="Times New Roman" w:hAnsi="Times New Roman" w:cs="Times New Roman"/>
                <w:sz w:val="24"/>
              </w:rPr>
              <w:t>GGGCACAAAAGTGAGGACCA</w:t>
            </w:r>
          </w:p>
        </w:tc>
        <w:tc>
          <w:tcPr>
            <w:tcW w:w="4077" w:type="dxa"/>
            <w:tcBorders>
              <w:top w:val="nil"/>
              <w:left w:val="nil"/>
              <w:bottom w:val="nil"/>
              <w:right w:val="nil"/>
            </w:tcBorders>
          </w:tcPr>
          <w:p w14:paraId="428EBA5B" w14:textId="77777777" w:rsidR="00331973" w:rsidRPr="0092758A" w:rsidRDefault="0092758A">
            <w:pPr>
              <w:spacing w:line="360" w:lineRule="auto"/>
              <w:jc w:val="left"/>
              <w:rPr>
                <w:rFonts w:ascii="Times New Roman" w:eastAsia="DengXian" w:hAnsi="Times New Roman" w:cs="Times New Roman"/>
                <w:sz w:val="24"/>
              </w:rPr>
            </w:pPr>
            <w:r w:rsidRPr="0092758A">
              <w:rPr>
                <w:rFonts w:ascii="Times New Roman" w:hAnsi="Times New Roman" w:cs="Times New Roman"/>
                <w:sz w:val="24"/>
              </w:rPr>
              <w:t>CGCCAGGTCTCTCCTTGAAA</w:t>
            </w:r>
          </w:p>
        </w:tc>
      </w:tr>
      <w:tr w:rsidR="0092758A" w:rsidRPr="0092758A" w14:paraId="16BEA572" w14:textId="77777777" w:rsidTr="00331973">
        <w:trPr>
          <w:trHeight w:val="567"/>
        </w:trPr>
        <w:tc>
          <w:tcPr>
            <w:tcW w:w="1418" w:type="dxa"/>
            <w:tcBorders>
              <w:top w:val="nil"/>
              <w:left w:val="nil"/>
              <w:bottom w:val="nil"/>
              <w:right w:val="nil"/>
            </w:tcBorders>
          </w:tcPr>
          <w:p w14:paraId="4A2538E4" w14:textId="77777777" w:rsidR="00331973" w:rsidRPr="0092758A" w:rsidRDefault="0092758A">
            <w:pPr>
              <w:spacing w:line="360" w:lineRule="auto"/>
              <w:rPr>
                <w:rFonts w:ascii="Times New Roman" w:hAnsi="Times New Roman" w:cs="Times New Roman"/>
                <w:sz w:val="24"/>
              </w:rPr>
            </w:pPr>
            <w:r w:rsidRPr="0092758A">
              <w:rPr>
                <w:rFonts w:ascii="Times New Roman" w:hAnsi="Times New Roman" w:cs="Times New Roman"/>
                <w:sz w:val="24"/>
              </w:rPr>
              <w:t>STING</w:t>
            </w:r>
          </w:p>
        </w:tc>
        <w:tc>
          <w:tcPr>
            <w:tcW w:w="3827" w:type="dxa"/>
            <w:tcBorders>
              <w:top w:val="nil"/>
              <w:left w:val="nil"/>
              <w:bottom w:val="nil"/>
              <w:right w:val="nil"/>
            </w:tcBorders>
          </w:tcPr>
          <w:p w14:paraId="1104522E" w14:textId="77777777" w:rsidR="00331973" w:rsidRPr="0092758A" w:rsidRDefault="0092758A">
            <w:pPr>
              <w:spacing w:line="360" w:lineRule="auto"/>
              <w:jc w:val="left"/>
              <w:rPr>
                <w:rFonts w:ascii="Times New Roman" w:hAnsi="Times New Roman" w:cs="Times New Roman"/>
                <w:sz w:val="24"/>
              </w:rPr>
            </w:pPr>
            <w:r w:rsidRPr="0092758A">
              <w:rPr>
                <w:rFonts w:ascii="Times New Roman" w:eastAsia="SimSun" w:hAnsi="Times New Roman" w:cs="Times New Roman"/>
                <w:sz w:val="24"/>
              </w:rPr>
              <w:t>ACTCTTCTGCCGGACACTTG</w:t>
            </w:r>
          </w:p>
        </w:tc>
        <w:tc>
          <w:tcPr>
            <w:tcW w:w="4077" w:type="dxa"/>
            <w:tcBorders>
              <w:top w:val="nil"/>
              <w:left w:val="nil"/>
              <w:bottom w:val="nil"/>
              <w:right w:val="nil"/>
            </w:tcBorders>
          </w:tcPr>
          <w:p w14:paraId="6DD16FE5" w14:textId="77777777" w:rsidR="00331973" w:rsidRPr="0092758A" w:rsidRDefault="0092758A">
            <w:pPr>
              <w:spacing w:line="360" w:lineRule="auto"/>
              <w:jc w:val="left"/>
              <w:rPr>
                <w:rFonts w:ascii="Times New Roman" w:hAnsi="Times New Roman" w:cs="Times New Roman"/>
                <w:sz w:val="24"/>
              </w:rPr>
            </w:pPr>
            <w:r w:rsidRPr="0092758A">
              <w:rPr>
                <w:rFonts w:ascii="Times New Roman" w:eastAsia="SimSun" w:hAnsi="Times New Roman" w:cs="Times New Roman"/>
                <w:sz w:val="24"/>
              </w:rPr>
              <w:t>TTCCGTCTGTGGGTTCTTGG</w:t>
            </w:r>
          </w:p>
        </w:tc>
      </w:tr>
      <w:tr w:rsidR="0092758A" w:rsidRPr="0092758A" w14:paraId="7D553F85" w14:textId="77777777" w:rsidTr="00331973">
        <w:trPr>
          <w:trHeight w:val="567"/>
        </w:trPr>
        <w:tc>
          <w:tcPr>
            <w:tcW w:w="1418" w:type="dxa"/>
            <w:tcBorders>
              <w:top w:val="nil"/>
              <w:left w:val="nil"/>
              <w:bottom w:val="nil"/>
              <w:right w:val="nil"/>
            </w:tcBorders>
          </w:tcPr>
          <w:p w14:paraId="2ADDC6A1" w14:textId="77777777" w:rsidR="00331973" w:rsidRPr="0092758A" w:rsidRDefault="0092758A">
            <w:pPr>
              <w:spacing w:line="360" w:lineRule="auto"/>
              <w:rPr>
                <w:rFonts w:ascii="Times New Roman" w:hAnsi="Times New Roman" w:cs="Times New Roman"/>
                <w:sz w:val="24"/>
              </w:rPr>
            </w:pPr>
            <w:r w:rsidRPr="0092758A">
              <w:rPr>
                <w:rFonts w:ascii="Times New Roman" w:hAnsi="Times New Roman" w:cs="Times New Roman"/>
                <w:sz w:val="24"/>
              </w:rPr>
              <w:t>Wnt1</w:t>
            </w:r>
          </w:p>
        </w:tc>
        <w:tc>
          <w:tcPr>
            <w:tcW w:w="3827" w:type="dxa"/>
            <w:tcBorders>
              <w:top w:val="nil"/>
              <w:left w:val="nil"/>
              <w:bottom w:val="nil"/>
              <w:right w:val="nil"/>
            </w:tcBorders>
          </w:tcPr>
          <w:p w14:paraId="1919DB84" w14:textId="77777777" w:rsidR="00331973" w:rsidRPr="0092758A" w:rsidRDefault="0092758A">
            <w:pPr>
              <w:spacing w:line="360" w:lineRule="auto"/>
              <w:jc w:val="left"/>
              <w:rPr>
                <w:rFonts w:ascii="Times New Roman" w:hAnsi="Times New Roman" w:cs="Times New Roman"/>
                <w:sz w:val="24"/>
              </w:rPr>
            </w:pPr>
            <w:r w:rsidRPr="0092758A">
              <w:rPr>
                <w:rFonts w:ascii="Times New Roman" w:eastAsia="SimSun" w:hAnsi="Times New Roman" w:cs="Times New Roman"/>
                <w:sz w:val="24"/>
              </w:rPr>
              <w:t>TGACAACATCGATTTTGGTCGC</w:t>
            </w:r>
          </w:p>
        </w:tc>
        <w:tc>
          <w:tcPr>
            <w:tcW w:w="4077" w:type="dxa"/>
            <w:tcBorders>
              <w:top w:val="nil"/>
              <w:left w:val="nil"/>
              <w:bottom w:val="nil"/>
              <w:right w:val="nil"/>
            </w:tcBorders>
          </w:tcPr>
          <w:p w14:paraId="1007264E" w14:textId="77777777" w:rsidR="00331973" w:rsidRPr="0092758A" w:rsidRDefault="0092758A">
            <w:pPr>
              <w:spacing w:line="360" w:lineRule="auto"/>
              <w:jc w:val="left"/>
              <w:rPr>
                <w:rFonts w:ascii="Times New Roman" w:hAnsi="Times New Roman" w:cs="Times New Roman"/>
                <w:sz w:val="24"/>
              </w:rPr>
            </w:pPr>
            <w:r w:rsidRPr="0092758A">
              <w:rPr>
                <w:rFonts w:ascii="Times New Roman" w:eastAsia="SimSun" w:hAnsi="Times New Roman" w:cs="Times New Roman"/>
                <w:sz w:val="24"/>
              </w:rPr>
              <w:t>CCTCGTTGTTGTGAAGGTTCATG</w:t>
            </w:r>
          </w:p>
        </w:tc>
      </w:tr>
      <w:tr w:rsidR="0092758A" w:rsidRPr="0092758A" w14:paraId="072D07EE" w14:textId="77777777" w:rsidTr="00331973">
        <w:trPr>
          <w:trHeight w:val="567"/>
        </w:trPr>
        <w:tc>
          <w:tcPr>
            <w:tcW w:w="1418" w:type="dxa"/>
            <w:tcBorders>
              <w:top w:val="nil"/>
              <w:left w:val="nil"/>
              <w:bottom w:val="nil"/>
              <w:right w:val="nil"/>
            </w:tcBorders>
          </w:tcPr>
          <w:p w14:paraId="4A72D291" w14:textId="77777777" w:rsidR="00331973" w:rsidRPr="0092758A" w:rsidRDefault="0092758A">
            <w:pPr>
              <w:spacing w:line="360" w:lineRule="auto"/>
              <w:rPr>
                <w:rFonts w:ascii="Times New Roman" w:hAnsi="Times New Roman" w:cs="Times New Roman"/>
                <w:sz w:val="24"/>
              </w:rPr>
            </w:pPr>
            <w:r w:rsidRPr="0092758A">
              <w:rPr>
                <w:rFonts w:ascii="Times New Roman" w:hAnsi="Times New Roman" w:cs="Times New Roman"/>
                <w:sz w:val="24"/>
              </w:rPr>
              <w:t>β-catenin</w:t>
            </w:r>
          </w:p>
        </w:tc>
        <w:tc>
          <w:tcPr>
            <w:tcW w:w="3827" w:type="dxa"/>
            <w:tcBorders>
              <w:top w:val="nil"/>
              <w:left w:val="nil"/>
              <w:bottom w:val="nil"/>
              <w:right w:val="nil"/>
            </w:tcBorders>
          </w:tcPr>
          <w:p w14:paraId="3204EB41" w14:textId="77777777" w:rsidR="00331973" w:rsidRPr="0092758A" w:rsidRDefault="0092758A">
            <w:pPr>
              <w:spacing w:line="360" w:lineRule="auto"/>
              <w:jc w:val="left"/>
              <w:rPr>
                <w:rFonts w:ascii="Times New Roman" w:hAnsi="Times New Roman" w:cs="Times New Roman"/>
                <w:sz w:val="24"/>
              </w:rPr>
            </w:pPr>
            <w:r w:rsidRPr="0092758A">
              <w:rPr>
                <w:rFonts w:ascii="Times New Roman" w:eastAsia="SimSun" w:hAnsi="Times New Roman" w:cs="Times New Roman"/>
                <w:sz w:val="24"/>
              </w:rPr>
              <w:t>AGACAGCTCGTTGTACTGCT</w:t>
            </w:r>
          </w:p>
        </w:tc>
        <w:tc>
          <w:tcPr>
            <w:tcW w:w="4077" w:type="dxa"/>
            <w:tcBorders>
              <w:top w:val="nil"/>
              <w:left w:val="nil"/>
              <w:bottom w:val="nil"/>
              <w:right w:val="nil"/>
            </w:tcBorders>
          </w:tcPr>
          <w:p w14:paraId="01C1E9A5" w14:textId="77777777" w:rsidR="00331973" w:rsidRPr="0092758A" w:rsidRDefault="0092758A">
            <w:pPr>
              <w:spacing w:line="360" w:lineRule="auto"/>
              <w:jc w:val="left"/>
              <w:rPr>
                <w:rFonts w:ascii="Times New Roman" w:hAnsi="Times New Roman" w:cs="Times New Roman"/>
                <w:sz w:val="24"/>
              </w:rPr>
            </w:pPr>
            <w:r w:rsidRPr="0092758A">
              <w:rPr>
                <w:rFonts w:ascii="Times New Roman" w:eastAsia="SimSun" w:hAnsi="Times New Roman" w:cs="Times New Roman"/>
                <w:sz w:val="24"/>
              </w:rPr>
              <w:t>GTGTCGTGATGGCGTAGAAC</w:t>
            </w:r>
          </w:p>
        </w:tc>
      </w:tr>
      <w:tr w:rsidR="0092758A" w:rsidRPr="0092758A" w14:paraId="3A1AB8A4" w14:textId="77777777" w:rsidTr="00331973">
        <w:trPr>
          <w:trHeight w:val="567"/>
        </w:trPr>
        <w:tc>
          <w:tcPr>
            <w:tcW w:w="1418" w:type="dxa"/>
            <w:tcBorders>
              <w:top w:val="nil"/>
              <w:left w:val="nil"/>
              <w:bottom w:val="nil"/>
              <w:right w:val="nil"/>
            </w:tcBorders>
          </w:tcPr>
          <w:p w14:paraId="6595F6A6" w14:textId="77777777" w:rsidR="00331973" w:rsidRPr="0092758A" w:rsidRDefault="0092758A">
            <w:pPr>
              <w:spacing w:line="360" w:lineRule="auto"/>
              <w:rPr>
                <w:rFonts w:ascii="Times New Roman" w:hAnsi="Times New Roman" w:cs="Times New Roman"/>
                <w:sz w:val="24"/>
              </w:rPr>
            </w:pPr>
            <w:r w:rsidRPr="0092758A">
              <w:rPr>
                <w:rFonts w:ascii="Times New Roman" w:eastAsia="SimSun" w:hAnsi="Times New Roman" w:cs="Times New Roman"/>
                <w:sz w:val="24"/>
              </w:rPr>
              <w:t>Nrf2</w:t>
            </w:r>
          </w:p>
        </w:tc>
        <w:tc>
          <w:tcPr>
            <w:tcW w:w="3827" w:type="dxa"/>
            <w:tcBorders>
              <w:top w:val="nil"/>
              <w:left w:val="nil"/>
              <w:bottom w:val="nil"/>
              <w:right w:val="nil"/>
            </w:tcBorders>
          </w:tcPr>
          <w:p w14:paraId="45243030" w14:textId="77777777" w:rsidR="00331973" w:rsidRPr="0092758A" w:rsidRDefault="0092758A">
            <w:pPr>
              <w:spacing w:line="360" w:lineRule="auto"/>
              <w:jc w:val="left"/>
              <w:rPr>
                <w:rFonts w:ascii="Times New Roman" w:hAnsi="Times New Roman" w:cs="Times New Roman"/>
                <w:sz w:val="24"/>
              </w:rPr>
            </w:pPr>
            <w:r w:rsidRPr="0092758A">
              <w:rPr>
                <w:rFonts w:ascii="Times New Roman" w:eastAsia="Cambria" w:hAnsi="Times New Roman" w:cs="Times New Roman"/>
                <w:sz w:val="24"/>
                <w:shd w:val="clear" w:color="auto" w:fill="FFFFFF"/>
              </w:rPr>
              <w:t>CACATCCAGTCAGAAACCAGTGG</w:t>
            </w:r>
          </w:p>
        </w:tc>
        <w:tc>
          <w:tcPr>
            <w:tcW w:w="4077" w:type="dxa"/>
            <w:tcBorders>
              <w:top w:val="nil"/>
              <w:left w:val="nil"/>
              <w:bottom w:val="nil"/>
              <w:right w:val="nil"/>
            </w:tcBorders>
          </w:tcPr>
          <w:p w14:paraId="18596F97" w14:textId="77777777" w:rsidR="00331973" w:rsidRPr="0092758A" w:rsidRDefault="0092758A">
            <w:pPr>
              <w:spacing w:line="360" w:lineRule="auto"/>
              <w:jc w:val="left"/>
              <w:rPr>
                <w:rFonts w:ascii="Times New Roman" w:hAnsi="Times New Roman" w:cs="Times New Roman"/>
                <w:sz w:val="24"/>
              </w:rPr>
            </w:pPr>
            <w:r w:rsidRPr="0092758A">
              <w:rPr>
                <w:rFonts w:ascii="Times New Roman" w:eastAsia="Cambria" w:hAnsi="Times New Roman" w:cs="Times New Roman"/>
                <w:sz w:val="24"/>
                <w:shd w:val="clear" w:color="auto" w:fill="FFFFFF"/>
              </w:rPr>
              <w:t>GGAATGTCTGCGCCAAAAGCTG</w:t>
            </w:r>
          </w:p>
        </w:tc>
      </w:tr>
      <w:tr w:rsidR="0092758A" w:rsidRPr="0092758A" w14:paraId="51AC7454" w14:textId="77777777" w:rsidTr="00331973">
        <w:trPr>
          <w:trHeight w:val="567"/>
        </w:trPr>
        <w:tc>
          <w:tcPr>
            <w:tcW w:w="1418" w:type="dxa"/>
            <w:tcBorders>
              <w:top w:val="nil"/>
              <w:left w:val="nil"/>
              <w:bottom w:val="nil"/>
              <w:right w:val="nil"/>
            </w:tcBorders>
          </w:tcPr>
          <w:p w14:paraId="2E2A3BAE" w14:textId="77777777" w:rsidR="00331973" w:rsidRPr="0092758A" w:rsidRDefault="0092758A">
            <w:pPr>
              <w:spacing w:line="360" w:lineRule="auto"/>
              <w:rPr>
                <w:rFonts w:ascii="Times New Roman" w:hAnsi="Times New Roman" w:cs="Times New Roman"/>
                <w:sz w:val="24"/>
              </w:rPr>
            </w:pPr>
            <w:r w:rsidRPr="0092758A">
              <w:rPr>
                <w:rFonts w:ascii="Times New Roman" w:hAnsi="Times New Roman" w:cs="Times New Roman"/>
                <w:sz w:val="24"/>
              </w:rPr>
              <w:t>HO-1</w:t>
            </w:r>
          </w:p>
        </w:tc>
        <w:tc>
          <w:tcPr>
            <w:tcW w:w="3827" w:type="dxa"/>
            <w:tcBorders>
              <w:top w:val="nil"/>
              <w:left w:val="nil"/>
              <w:bottom w:val="nil"/>
              <w:right w:val="nil"/>
            </w:tcBorders>
          </w:tcPr>
          <w:p w14:paraId="25403C5B" w14:textId="77777777" w:rsidR="00331973" w:rsidRPr="0092758A" w:rsidRDefault="0092758A">
            <w:pPr>
              <w:spacing w:line="360" w:lineRule="auto"/>
              <w:jc w:val="left"/>
              <w:rPr>
                <w:rFonts w:ascii="Times New Roman" w:eastAsia="SimSun" w:hAnsi="Times New Roman" w:cs="Times New Roman"/>
                <w:sz w:val="24"/>
              </w:rPr>
            </w:pPr>
            <w:r w:rsidRPr="0092758A">
              <w:rPr>
                <w:rFonts w:ascii="Times New Roman" w:hAnsi="Times New Roman" w:cs="Times New Roman"/>
                <w:sz w:val="24"/>
              </w:rPr>
              <w:t xml:space="preserve">TGCTCGCATGAACACTCTG </w:t>
            </w:r>
          </w:p>
        </w:tc>
        <w:tc>
          <w:tcPr>
            <w:tcW w:w="4077" w:type="dxa"/>
            <w:tcBorders>
              <w:top w:val="nil"/>
              <w:left w:val="nil"/>
              <w:bottom w:val="nil"/>
              <w:right w:val="nil"/>
            </w:tcBorders>
          </w:tcPr>
          <w:p w14:paraId="2C58471A" w14:textId="77777777" w:rsidR="00331973" w:rsidRPr="0092758A" w:rsidRDefault="0092758A">
            <w:pPr>
              <w:spacing w:line="360" w:lineRule="auto"/>
              <w:jc w:val="left"/>
              <w:rPr>
                <w:rFonts w:ascii="Times New Roman" w:eastAsia="SimSun" w:hAnsi="Times New Roman" w:cs="Times New Roman"/>
                <w:sz w:val="24"/>
              </w:rPr>
            </w:pPr>
            <w:r w:rsidRPr="0092758A">
              <w:rPr>
                <w:rFonts w:ascii="Times New Roman" w:hAnsi="Times New Roman" w:cs="Times New Roman"/>
                <w:sz w:val="24"/>
              </w:rPr>
              <w:t>TCCTCTGTCAGCAGTGCCT</w:t>
            </w:r>
          </w:p>
        </w:tc>
      </w:tr>
      <w:tr w:rsidR="0092758A" w:rsidRPr="0092758A" w14:paraId="695E142D" w14:textId="77777777" w:rsidTr="00331973">
        <w:trPr>
          <w:trHeight w:val="567"/>
        </w:trPr>
        <w:tc>
          <w:tcPr>
            <w:tcW w:w="1418" w:type="dxa"/>
            <w:tcBorders>
              <w:top w:val="nil"/>
              <w:left w:val="nil"/>
              <w:bottom w:val="single" w:sz="8" w:space="0" w:color="auto"/>
              <w:right w:val="nil"/>
            </w:tcBorders>
          </w:tcPr>
          <w:p w14:paraId="5FF7AA15" w14:textId="77777777" w:rsidR="00331973" w:rsidRPr="0092758A" w:rsidRDefault="0092758A">
            <w:pPr>
              <w:spacing w:line="360" w:lineRule="auto"/>
              <w:rPr>
                <w:rFonts w:ascii="Times New Roman" w:hAnsi="Times New Roman" w:cs="Times New Roman"/>
                <w:sz w:val="24"/>
              </w:rPr>
            </w:pPr>
            <w:r w:rsidRPr="0092758A">
              <w:rPr>
                <w:rFonts w:ascii="Times New Roman" w:eastAsia="SimSun" w:hAnsi="Times New Roman" w:cs="Times New Roman"/>
                <w:sz w:val="24"/>
              </w:rPr>
              <w:t>β-actin</w:t>
            </w:r>
          </w:p>
        </w:tc>
        <w:tc>
          <w:tcPr>
            <w:tcW w:w="3827" w:type="dxa"/>
            <w:tcBorders>
              <w:top w:val="nil"/>
              <w:left w:val="nil"/>
              <w:bottom w:val="single" w:sz="8" w:space="0" w:color="auto"/>
              <w:right w:val="nil"/>
            </w:tcBorders>
          </w:tcPr>
          <w:p w14:paraId="3B44D33A"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GTACCACCATGTACCCAGGC</w:t>
            </w:r>
          </w:p>
        </w:tc>
        <w:tc>
          <w:tcPr>
            <w:tcW w:w="4077" w:type="dxa"/>
            <w:tcBorders>
              <w:top w:val="nil"/>
              <w:left w:val="nil"/>
              <w:bottom w:val="single" w:sz="8" w:space="0" w:color="auto"/>
              <w:right w:val="nil"/>
            </w:tcBorders>
          </w:tcPr>
          <w:p w14:paraId="5A682B9D" w14:textId="77777777" w:rsidR="00331973" w:rsidRPr="0092758A" w:rsidRDefault="0092758A">
            <w:pPr>
              <w:spacing w:line="360" w:lineRule="auto"/>
              <w:jc w:val="left"/>
              <w:rPr>
                <w:rFonts w:ascii="Times New Roman" w:hAnsi="Times New Roman" w:cs="Times New Roman"/>
                <w:sz w:val="24"/>
              </w:rPr>
            </w:pPr>
            <w:r w:rsidRPr="0092758A">
              <w:rPr>
                <w:rFonts w:ascii="Times New Roman" w:hAnsi="Times New Roman" w:cs="Times New Roman"/>
                <w:sz w:val="24"/>
              </w:rPr>
              <w:t>AACGCAGCTCAGTAACAGTCC</w:t>
            </w:r>
          </w:p>
        </w:tc>
      </w:tr>
    </w:tbl>
    <w:p w14:paraId="59390300" w14:textId="778991A9" w:rsidR="00331973" w:rsidRPr="0092758A" w:rsidRDefault="00331973">
      <w:pPr>
        <w:jc w:val="left"/>
        <w:rPr>
          <w:rFonts w:ascii="Times New Roman" w:hAnsi="Times New Roman" w:cs="Times New Roman"/>
          <w:b/>
          <w:bCs/>
          <w:sz w:val="24"/>
        </w:rPr>
      </w:pPr>
    </w:p>
    <w:p w14:paraId="7B34EC1E" w14:textId="77777777" w:rsidR="00331973" w:rsidRPr="0092758A" w:rsidRDefault="00331973">
      <w:pPr>
        <w:jc w:val="left"/>
        <w:rPr>
          <w:rFonts w:ascii="Times New Roman" w:hAnsi="Times New Roman" w:cs="Times New Roman"/>
          <w:bCs/>
          <w:sz w:val="24"/>
        </w:rPr>
      </w:pPr>
    </w:p>
    <w:p w14:paraId="385321ED" w14:textId="77777777" w:rsidR="00331973" w:rsidRPr="0092758A" w:rsidRDefault="0092758A">
      <w:pPr>
        <w:widowControl/>
        <w:jc w:val="left"/>
        <w:rPr>
          <w:rFonts w:ascii="Times New Roman" w:hAnsi="Times New Roman" w:cs="Times New Roman"/>
          <w:b/>
          <w:bCs/>
          <w:sz w:val="24"/>
        </w:rPr>
      </w:pPr>
      <w:r w:rsidRPr="0092758A">
        <w:rPr>
          <w:rFonts w:ascii="Times New Roman" w:hAnsi="Times New Roman" w:cs="Times New Roman"/>
          <w:b/>
          <w:bCs/>
          <w:sz w:val="24"/>
        </w:rPr>
        <w:br w:type="page"/>
      </w:r>
    </w:p>
    <w:p w14:paraId="684951A5" w14:textId="77777777" w:rsidR="00331973" w:rsidRPr="0092758A" w:rsidRDefault="0092758A">
      <w:pPr>
        <w:jc w:val="left"/>
        <w:rPr>
          <w:rFonts w:ascii="Times New Roman" w:hAnsi="Times New Roman" w:cs="Times New Roman"/>
          <w:b/>
          <w:bCs/>
          <w:sz w:val="24"/>
        </w:rPr>
      </w:pPr>
      <w:r w:rsidRPr="0092758A">
        <w:rPr>
          <w:rFonts w:ascii="Times New Roman" w:hAnsi="Times New Roman" w:cs="Times New Roman"/>
          <w:b/>
          <w:bCs/>
          <w:sz w:val="24"/>
        </w:rPr>
        <w:t>Supplemental Table S3.</w:t>
      </w:r>
      <w:r w:rsidRPr="0092758A">
        <w:rPr>
          <w:rFonts w:ascii="Times New Roman" w:hAnsi="Times New Roman" w:cs="Times New Roman" w:hint="eastAsia"/>
          <w:b/>
          <w:bCs/>
          <w:sz w:val="24"/>
        </w:rPr>
        <w:t xml:space="preserve"> </w:t>
      </w:r>
      <w:r w:rsidRPr="0092758A">
        <w:rPr>
          <w:rFonts w:ascii="Times New Roman" w:hAnsi="Times New Roman" w:cs="Times New Roman"/>
          <w:b/>
          <w:bCs/>
          <w:sz w:val="24"/>
        </w:rPr>
        <w:t>Pathway screening literature summary</w:t>
      </w:r>
    </w:p>
    <w:tbl>
      <w:tblPr>
        <w:tblStyle w:val="a"/>
        <w:tblW w:w="8879" w:type="dxa"/>
        <w:jc w:val="center"/>
        <w:tblLayout w:type="fixed"/>
        <w:tblLook w:val="04A0" w:firstRow="1" w:lastRow="0" w:firstColumn="1" w:lastColumn="0" w:noHBand="0" w:noVBand="1"/>
      </w:tblPr>
      <w:tblGrid>
        <w:gridCol w:w="3048"/>
        <w:gridCol w:w="2479"/>
        <w:gridCol w:w="3352"/>
      </w:tblGrid>
      <w:tr w:rsidR="0092758A" w:rsidRPr="0092758A" w14:paraId="67E5CAE1" w14:textId="77777777" w:rsidTr="00331973">
        <w:trPr>
          <w:cnfStyle w:val="100000000000" w:firstRow="1" w:lastRow="0" w:firstColumn="0" w:lastColumn="0" w:oddVBand="0" w:evenVBand="0" w:oddHBand="0" w:evenHBand="0" w:firstRowFirstColumn="0" w:firstRowLastColumn="0" w:lastRowFirstColumn="0" w:lastRowLastColumn="0"/>
          <w:trHeight w:val="672"/>
          <w:jc w:val="center"/>
        </w:trPr>
        <w:tc>
          <w:tcPr>
            <w:tcW w:w="3048" w:type="dxa"/>
            <w:tcBorders>
              <w:top w:val="single" w:sz="12" w:space="0" w:color="000000"/>
              <w:left w:val="nil"/>
              <w:bottom w:val="single" w:sz="4" w:space="0" w:color="000000"/>
              <w:right w:val="nil"/>
              <w:tl2br w:val="nil"/>
            </w:tcBorders>
            <w:shd w:val="clear" w:color="auto" w:fill="FFFFFF"/>
          </w:tcPr>
          <w:p w14:paraId="5FCE0AE5"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Study</w:t>
            </w:r>
          </w:p>
        </w:tc>
        <w:tc>
          <w:tcPr>
            <w:tcW w:w="2479" w:type="dxa"/>
            <w:tcBorders>
              <w:top w:val="single" w:sz="12" w:space="0" w:color="000000"/>
              <w:left w:val="nil"/>
              <w:bottom w:val="single" w:sz="4" w:space="0" w:color="000000"/>
              <w:right w:val="nil"/>
            </w:tcBorders>
            <w:shd w:val="clear" w:color="auto" w:fill="FFFFFF"/>
          </w:tcPr>
          <w:p w14:paraId="7E84D8DE"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Annotation</w:t>
            </w:r>
          </w:p>
        </w:tc>
        <w:tc>
          <w:tcPr>
            <w:tcW w:w="3352" w:type="dxa"/>
            <w:tcBorders>
              <w:top w:val="single" w:sz="12" w:space="0" w:color="000000"/>
              <w:left w:val="nil"/>
              <w:bottom w:val="single" w:sz="4" w:space="0" w:color="000000"/>
              <w:right w:val="nil"/>
            </w:tcBorders>
            <w:shd w:val="clear" w:color="auto" w:fill="FFFFFF"/>
          </w:tcPr>
          <w:p w14:paraId="4980A925" w14:textId="78FCA486" w:rsidR="00331973" w:rsidRPr="0092758A" w:rsidRDefault="0092758A">
            <w:pPr>
              <w:jc w:val="left"/>
              <w:rPr>
                <w:rFonts w:ascii="Times New Roman" w:hAnsi="Times New Roman" w:cs="Times New Roman"/>
                <w:szCs w:val="21"/>
              </w:rPr>
            </w:pPr>
            <w:r w:rsidRPr="0092758A">
              <w:rPr>
                <w:rFonts w:ascii="Times New Roman" w:hAnsi="Times New Roman" w:cs="Times New Roman" w:hint="eastAsia"/>
                <w:szCs w:val="21"/>
              </w:rPr>
              <w:t xml:space="preserve">Main </w:t>
            </w:r>
            <w:r w:rsidR="00495871" w:rsidRPr="0092758A">
              <w:rPr>
                <w:rFonts w:ascii="Times New Roman" w:hAnsi="Times New Roman" w:cs="Times New Roman"/>
                <w:szCs w:val="21"/>
              </w:rPr>
              <w:t>c</w:t>
            </w:r>
            <w:r w:rsidRPr="0092758A">
              <w:rPr>
                <w:rFonts w:ascii="Times New Roman" w:hAnsi="Times New Roman" w:cs="Times New Roman" w:hint="eastAsia"/>
                <w:szCs w:val="21"/>
              </w:rPr>
              <w:t>onclusion</w:t>
            </w:r>
          </w:p>
        </w:tc>
      </w:tr>
      <w:tr w:rsidR="0092758A" w:rsidRPr="0092758A" w14:paraId="440D9ACE" w14:textId="77777777" w:rsidTr="00331973">
        <w:trPr>
          <w:trHeight w:hRule="exact" w:val="1054"/>
          <w:jc w:val="center"/>
        </w:trPr>
        <w:tc>
          <w:tcPr>
            <w:tcW w:w="3048" w:type="dxa"/>
            <w:tcBorders>
              <w:top w:val="single" w:sz="4" w:space="0" w:color="000000"/>
              <w:left w:val="nil"/>
              <w:bottom w:val="nil"/>
              <w:right w:val="nil"/>
            </w:tcBorders>
            <w:shd w:val="clear" w:color="auto" w:fill="FFFFFF"/>
          </w:tcPr>
          <w:p w14:paraId="75A4FCCA" w14:textId="453261CC"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Xuan et al. 2024</w:t>
            </w:r>
            <w:r w:rsidR="00495871" w:rsidRPr="0092758A">
              <w:rPr>
                <w:rFonts w:ascii="Times New Roman" w:hAnsi="Times New Roman" w:cs="Times New Roman" w:hint="eastAsia"/>
                <w:szCs w:val="21"/>
              </w:rPr>
              <w:t xml:space="preserve"> </w:t>
            </w:r>
            <w:r w:rsidRPr="0092758A">
              <w:rPr>
                <w:rFonts w:ascii="Times New Roman" w:hAnsi="Times New Roman" w:cs="Times New Roman"/>
                <w:szCs w:val="21"/>
              </w:rPr>
              <w:fldChar w:fldCharType="begin"/>
            </w:r>
            <w:r w:rsidRPr="0092758A">
              <w:rPr>
                <w:rFonts w:ascii="Times New Roman" w:hAnsi="Times New Roman" w:cs="Times New Roman"/>
                <w:szCs w:val="21"/>
              </w:rPr>
              <w:instrText xml:space="preserve"> ADDIN ZOTERO_ITEM CSL_CITATION {"citationID":"RuX8JGNq","properties":{"formattedCitation":"(1)","plainCitation":"(1)","noteIndex":0},"citationItems":[{"id":229,"uris":["http://zotero.org/users/local/Vfylx43J/items/5JEVPHT5"],"itemData":{"id":229,"type":"a</w:instrText>
            </w:r>
            <w:r w:rsidRPr="0092758A">
              <w:rPr>
                <w:rFonts w:ascii="Times New Roman" w:hAnsi="Times New Roman" w:cs="Times New Roman"/>
                <w:szCs w:val="21"/>
              </w:rPr>
              <w:instrText>rticle-journal","abstract":"BRG1 has been found to promote the generation of induced pluripotent stem cells (iPSCs) by regulating epigenetic modifications or binding to transcription factors, however, the role of BRG1 on the cellular metabolism during repr</w:instrText>
            </w:r>
            <w:r w:rsidRPr="0092758A">
              <w:rPr>
                <w:rFonts w:ascii="Times New Roman" w:hAnsi="Times New Roman" w:cs="Times New Roman"/>
                <w:szCs w:val="21"/>
              </w:rPr>
              <w:instrText>ogramming has not been reported. In this study, we found that BRG1 improved the efficiency of porcine iPSC generation, and upregulated the expression of pluripotency-related factors. Further analysis revealed that BRG1 promoted cellular glycolysis, and inc</w:instrText>
            </w:r>
            <w:r w:rsidRPr="0092758A">
              <w:rPr>
                <w:rFonts w:ascii="Times New Roman" w:hAnsi="Times New Roman" w:cs="Times New Roman"/>
                <w:szCs w:val="21"/>
              </w:rPr>
              <w:instrText>reased levels of glycolysis-related metabolites. It enhanced the transcriptional activity of glycolysis-related gene HK2, PKM2, and PFK-1 promoters, and decreased the enrichment of H3K9me3 in glycolysis- and pluripotency-related gene promoters. BRG1 also i</w:instrText>
            </w:r>
            <w:r w:rsidRPr="0092758A">
              <w:rPr>
                <w:rFonts w:ascii="Times New Roman" w:hAnsi="Times New Roman" w:cs="Times New Roman"/>
                <w:szCs w:val="21"/>
              </w:rPr>
              <w:instrText>ncreased the phosphorylation level at the Ser473 site of AKT protein. The specific PI3K/AKT signaling pathway inhibitor, LY294002, impaired the generation of porcine iPSCs, downregulated the expression of pluripotency-related factors, and inhibited cellula</w:instrText>
            </w:r>
            <w:r w:rsidRPr="0092758A">
              <w:rPr>
                <w:rFonts w:ascii="Times New Roman" w:hAnsi="Times New Roman" w:cs="Times New Roman"/>
                <w:szCs w:val="21"/>
              </w:rPr>
              <w:instrText>r glycolysis, overexpressing BRG1 rescued those changes caused by LY294002 treatment. In addition, the glycolysis inhibitor 2-DG and BRG1 inhibitor PFI-3 had similar effects to LY294002. The above results suggest that overexpression of BRG1 promotes the ge</w:instrText>
            </w:r>
            <w:r w:rsidRPr="0092758A">
              <w:rPr>
                <w:rFonts w:ascii="Times New Roman" w:hAnsi="Times New Roman" w:cs="Times New Roman"/>
                <w:szCs w:val="21"/>
              </w:rPr>
              <w:instrText>neration of porcine iPSCs by facilitating glycolytic reprogramming through the PI3K/AKT signaling pathway.","container-title":"Cellular and Molecular LIFE Sciences: CMLS","DOI":"10.1007/s00018-024-05527-2","ISSN":"1420-9071","issue":"1","journalAbbreviatio</w:instrText>
            </w:r>
            <w:r w:rsidRPr="0092758A">
              <w:rPr>
                <w:rFonts w:ascii="Times New Roman" w:hAnsi="Times New Roman" w:cs="Times New Roman"/>
                <w:szCs w:val="21"/>
              </w:rPr>
              <w:instrText>n":"Cell. Mol. LIFE Sci.: CMLS","language":"en","note":"PMCID: PMC11624181\nPMID: 39643758\nTLDR: The results suggest that overexpression of BRG1 promotes the generation of porcine iPSCs by facilitating glycolytic reprogramming through the PI3K/AKT signali</w:instrText>
            </w:r>
            <w:r w:rsidRPr="0092758A">
              <w:rPr>
                <w:rFonts w:ascii="Times New Roman" w:hAnsi="Times New Roman" w:cs="Times New Roman"/>
                <w:szCs w:val="21"/>
              </w:rPr>
              <w:instrText>ng pathway.","page":"482","source":"PubMed","title":"BRG1 improves reprogramming efficiency by enhancing glycolytic metabolism","volume":"81","author":[{"family":"Ren","given":"Xuan"},{"family":"Huang","given":"Shihai"},{"family":"Xu","given":"Jianchun"},{</w:instrText>
            </w:r>
            <w:r w:rsidRPr="0092758A">
              <w:rPr>
                <w:rFonts w:ascii="Times New Roman" w:hAnsi="Times New Roman" w:cs="Times New Roman"/>
                <w:szCs w:val="21"/>
              </w:rPr>
              <w:instrText>"family":"Xue","given":"Qingsong"},{"family":"Xu","given":"Tairan"},{"family":"Shi","given":"Deshun"},{"family":"Ma","given":"Shinan"},{"family":"Li","given":"Xiangping"}],"issued":{"date-parts":[["2024",12,6]]}}}],"schema":"https://github.com/citation-sty</w:instrText>
            </w:r>
            <w:r w:rsidRPr="0092758A">
              <w:rPr>
                <w:rFonts w:ascii="Times New Roman" w:hAnsi="Times New Roman" w:cs="Times New Roman"/>
                <w:szCs w:val="21"/>
              </w:rPr>
              <w:instrText xml:space="preserve">le-language/schema/raw/master/csl-citation.json"} </w:instrText>
            </w:r>
            <w:r w:rsidRPr="0092758A">
              <w:rPr>
                <w:rFonts w:ascii="Times New Roman" w:hAnsi="Times New Roman" w:cs="Times New Roman"/>
                <w:szCs w:val="21"/>
              </w:rPr>
              <w:fldChar w:fldCharType="separate"/>
            </w:r>
            <w:r w:rsidRPr="0092758A">
              <w:rPr>
                <w:rFonts w:ascii="Times New Roman" w:hAnsi="Times New Roman" w:cs="Times New Roman" w:hint="eastAsia"/>
                <w:szCs w:val="21"/>
              </w:rPr>
              <w:t>[</w:t>
            </w:r>
            <w:r w:rsidRPr="0092758A">
              <w:rPr>
                <w:rFonts w:ascii="Times New Roman" w:hAnsi="Times New Roman" w:cs="Times New Roman"/>
              </w:rPr>
              <w:t>1</w:t>
            </w:r>
            <w:r w:rsidRPr="0092758A">
              <w:rPr>
                <w:rFonts w:ascii="Times New Roman" w:hAnsi="Times New Roman" w:cs="Times New Roman"/>
                <w:szCs w:val="21"/>
              </w:rPr>
              <w:fldChar w:fldCharType="end"/>
            </w:r>
            <w:r w:rsidRPr="0092758A">
              <w:rPr>
                <w:rFonts w:ascii="Times New Roman" w:hAnsi="Times New Roman" w:cs="Times New Roman" w:hint="eastAsia"/>
              </w:rPr>
              <w:t>]</w:t>
            </w:r>
          </w:p>
        </w:tc>
        <w:tc>
          <w:tcPr>
            <w:tcW w:w="2479" w:type="dxa"/>
            <w:tcBorders>
              <w:top w:val="single" w:sz="4" w:space="0" w:color="000000"/>
              <w:left w:val="nil"/>
              <w:bottom w:val="nil"/>
              <w:right w:val="nil"/>
            </w:tcBorders>
            <w:shd w:val="clear" w:color="auto" w:fill="FFFFFF"/>
          </w:tcPr>
          <w:p w14:paraId="5582D688"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PI3K/AKT</w:t>
            </w:r>
          </w:p>
        </w:tc>
        <w:tc>
          <w:tcPr>
            <w:tcW w:w="3352" w:type="dxa"/>
            <w:tcBorders>
              <w:top w:val="single" w:sz="4" w:space="0" w:color="000000"/>
              <w:left w:val="nil"/>
              <w:bottom w:val="nil"/>
              <w:right w:val="nil"/>
            </w:tcBorders>
            <w:shd w:val="clear" w:color="auto" w:fill="FFFFFF"/>
          </w:tcPr>
          <w:p w14:paraId="176CF0B5"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 xml:space="preserve">BRG1 improves reprogramming efficiency by enhancing glycolytic </w:t>
            </w:r>
          </w:p>
          <w:p w14:paraId="495B064D"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metabolism.</w:t>
            </w:r>
          </w:p>
        </w:tc>
      </w:tr>
      <w:tr w:rsidR="0092758A" w:rsidRPr="0092758A" w14:paraId="30500F57" w14:textId="77777777" w:rsidTr="00331973">
        <w:trPr>
          <w:trHeight w:hRule="exact" w:val="1475"/>
          <w:jc w:val="center"/>
        </w:trPr>
        <w:tc>
          <w:tcPr>
            <w:tcW w:w="3048" w:type="dxa"/>
            <w:tcBorders>
              <w:top w:val="nil"/>
              <w:left w:val="nil"/>
              <w:bottom w:val="nil"/>
              <w:right w:val="nil"/>
            </w:tcBorders>
            <w:shd w:val="clear" w:color="auto" w:fill="FFFFFF"/>
          </w:tcPr>
          <w:p w14:paraId="58F89AB7" w14:textId="215A6742" w:rsidR="00331973" w:rsidRPr="0092758A" w:rsidRDefault="0092758A">
            <w:pPr>
              <w:jc w:val="left"/>
              <w:rPr>
                <w:rFonts w:ascii="Times New Roman" w:hAnsi="Times New Roman" w:cs="Times New Roman"/>
                <w:szCs w:val="21"/>
              </w:rPr>
            </w:pPr>
            <w:proofErr w:type="spellStart"/>
            <w:r w:rsidRPr="0092758A">
              <w:rPr>
                <w:rFonts w:ascii="Times New Roman" w:hAnsi="Times New Roman" w:cs="Times New Roman"/>
                <w:szCs w:val="21"/>
              </w:rPr>
              <w:t>Wenjing</w:t>
            </w:r>
            <w:proofErr w:type="spellEnd"/>
            <w:r w:rsidRPr="0092758A">
              <w:rPr>
                <w:rFonts w:ascii="Times New Roman" w:hAnsi="Times New Roman" w:cs="Times New Roman"/>
                <w:szCs w:val="21"/>
              </w:rPr>
              <w:t xml:space="preserve"> et al. 2018</w:t>
            </w:r>
            <w:r w:rsidR="00495871" w:rsidRPr="0092758A">
              <w:rPr>
                <w:rFonts w:ascii="Times New Roman" w:hAnsi="Times New Roman" w:cs="Times New Roman" w:hint="eastAsia"/>
                <w:szCs w:val="21"/>
              </w:rPr>
              <w:t xml:space="preserve"> </w:t>
            </w:r>
            <w:r w:rsidRPr="0092758A">
              <w:rPr>
                <w:rFonts w:ascii="Times New Roman" w:hAnsi="Times New Roman" w:cs="Times New Roman"/>
                <w:szCs w:val="21"/>
              </w:rPr>
              <w:fldChar w:fldCharType="begin"/>
            </w:r>
            <w:r w:rsidRPr="0092758A">
              <w:rPr>
                <w:rFonts w:ascii="Times New Roman" w:hAnsi="Times New Roman" w:cs="Times New Roman"/>
                <w:szCs w:val="21"/>
              </w:rPr>
              <w:instrText xml:space="preserve"> ADDIN ZOTERO_ITEM CSL_CITATION {"citationID":"qJ6GfFqM","properties":{"formattedCitation":"(</w:instrText>
            </w:r>
            <w:r w:rsidRPr="0092758A">
              <w:rPr>
                <w:rFonts w:ascii="Times New Roman" w:hAnsi="Times New Roman" w:cs="Times New Roman"/>
                <w:szCs w:val="21"/>
              </w:rPr>
              <w:instrText>2)","plainCitation":"(2)","noteIndex":0},"citationItems":[{"id":231,"uris":["http://zotero.org/users/local/Vfylx43J/items/UCRQ97CL"],"itemData":{"id":231,"type":"article-journal","abstract":"The PI3K/Akt/mTOR pathway is thought to be closely associated wit</w:instrText>
            </w:r>
            <w:r w:rsidRPr="0092758A">
              <w:rPr>
                <w:rFonts w:ascii="Times New Roman" w:hAnsi="Times New Roman" w:cs="Times New Roman"/>
                <w:szCs w:val="21"/>
              </w:rPr>
              <w:instrText>h airway inflammation and is regulated by various upstream proteins. Brahma-related gene 1 (Brg1) plays an important role in chromatin remodeling and facilitates recruitment of essential transcription factors, leading to regulation of gene expression. Thus</w:instrText>
            </w:r>
            <w:r w:rsidRPr="0092758A">
              <w:rPr>
                <w:rFonts w:ascii="Times New Roman" w:hAnsi="Times New Roman" w:cs="Times New Roman"/>
                <w:szCs w:val="21"/>
              </w:rPr>
              <w:instrText xml:space="preserve">, the present study aimed at evaluating the anti-inflammatory role of Brg1 on house dust mite (HDM)-induced asthma through regulating the PI3K/Akt/mTOR pathway. The Brgfl/fl mice were crossbred with the SFTPC-Cre mice to generate bronchial epithelial cell </w:instrText>
            </w:r>
            <w:r w:rsidRPr="0092758A">
              <w:rPr>
                <w:rFonts w:ascii="Times New Roman" w:hAnsi="Times New Roman" w:cs="Times New Roman"/>
                <w:szCs w:val="21"/>
              </w:rPr>
              <w:instrText>specific Brg1 knockout mice, and LY294002 was used to inhibit PI3K. Western blot, immunofluorescence, immunoprecipitation, and immunohistochemical staining were used to detect the expression of proteins. An increase in Brg1 and a decrease in the PI3K/Akt/m</w:instrText>
            </w:r>
            <w:r w:rsidRPr="0092758A">
              <w:rPr>
                <w:rFonts w:ascii="Times New Roman" w:hAnsi="Times New Roman" w:cs="Times New Roman"/>
                <w:szCs w:val="21"/>
              </w:rPr>
              <w:instrText>TOR pathway activity were detected in asthmatic mice, but not in control mice. When Brg1 was knocked out, the asthma severity was ameliorated and the PI3K/Akt/mTOR pathway was activated. However, this protective effect could be suppressed by LY294002. Addi</w:instrText>
            </w:r>
            <w:r w:rsidRPr="0092758A">
              <w:rPr>
                <w:rFonts w:ascii="Times New Roman" w:hAnsi="Times New Roman" w:cs="Times New Roman"/>
                <w:szCs w:val="21"/>
              </w:rPr>
              <w:instrText>tionally, we observed that Brg1 was co-localized and co-immunoprecipitated with PI3K, using immunofluorescence and immunoprecipitation assays. Our results suggest that Brg1 might play an essential role in maintaining airway inflammation and affect the PI3K</w:instrText>
            </w:r>
            <w:r w:rsidRPr="0092758A">
              <w:rPr>
                <w:rFonts w:ascii="Times New Roman" w:hAnsi="Times New Roman" w:cs="Times New Roman"/>
                <w:szCs w:val="21"/>
              </w:rPr>
              <w:instrText>/Akt/mTOR pathway in asthma.","container-title":"Biochemical and Biophysical Research Communications","DOI":"10.1016/j.bbrc.2018.08.127","ISSN":"1090-2104","issue":"4","journalAbbreviation":"Biochem. Biophys. Res. Commun.","language":"en","note":"PMID: 301</w:instrText>
            </w:r>
            <w:r w:rsidRPr="0092758A">
              <w:rPr>
                <w:rFonts w:ascii="Times New Roman" w:hAnsi="Times New Roman" w:cs="Times New Roman"/>
                <w:szCs w:val="21"/>
              </w:rPr>
              <w:instrText>49919\nTLDR: The results suggest that Brg1 might play an essential role in maintaining airway inflammation and affect the PI3K/Akt/mTOR pathway in asthma.","page":"3212-3218","source":"PubMed","title":"Brg1 aggravates airway inflammation in asthma via inhi</w:instrText>
            </w:r>
            <w:r w:rsidRPr="0092758A">
              <w:rPr>
                <w:rFonts w:ascii="Times New Roman" w:hAnsi="Times New Roman" w:cs="Times New Roman"/>
                <w:szCs w:val="21"/>
              </w:rPr>
              <w:instrText>bition of the PI3K/akt/mTOR pathway","volume":"503","author":[{"family":"Zou","given":"Wenjing"},{"family":"Ding","given":"Fengxia"},{"family":"Niu","given":"Chao"},{"family":"Fu","given":"Zhou"},{"family":"Liu","given":"Sha"}],"issued":{"date-parts":[["20</w:instrText>
            </w:r>
            <w:r w:rsidRPr="0092758A">
              <w:rPr>
                <w:rFonts w:ascii="Times New Roman" w:hAnsi="Times New Roman" w:cs="Times New Roman"/>
                <w:szCs w:val="21"/>
              </w:rPr>
              <w:instrText xml:space="preserve">18",9,18]]}}}],"schema":"https://github.com/citation-style-language/schema/raw/master/csl-citation.json"} </w:instrText>
            </w:r>
            <w:r w:rsidRPr="0092758A">
              <w:rPr>
                <w:rFonts w:ascii="Times New Roman" w:hAnsi="Times New Roman" w:cs="Times New Roman"/>
                <w:szCs w:val="21"/>
              </w:rPr>
              <w:fldChar w:fldCharType="separate"/>
            </w:r>
            <w:r w:rsidRPr="0092758A">
              <w:rPr>
                <w:rFonts w:ascii="Times New Roman" w:hAnsi="Times New Roman" w:cs="Times New Roman" w:hint="eastAsia"/>
                <w:szCs w:val="21"/>
              </w:rPr>
              <w:t>[</w:t>
            </w:r>
            <w:r w:rsidRPr="0092758A">
              <w:rPr>
                <w:rFonts w:ascii="Times New Roman" w:hAnsi="Times New Roman" w:cs="Times New Roman"/>
                <w:szCs w:val="21"/>
              </w:rPr>
              <w:t>2</w:t>
            </w:r>
            <w:r w:rsidRPr="0092758A">
              <w:rPr>
                <w:rFonts w:ascii="Times New Roman" w:hAnsi="Times New Roman" w:cs="Times New Roman" w:hint="eastAsia"/>
                <w:szCs w:val="21"/>
              </w:rPr>
              <w:t>]</w:t>
            </w:r>
            <w:r w:rsidRPr="0092758A">
              <w:rPr>
                <w:rFonts w:ascii="Times New Roman" w:hAnsi="Times New Roman" w:cs="Times New Roman"/>
                <w:szCs w:val="21"/>
              </w:rPr>
              <w:fldChar w:fldCharType="end"/>
            </w:r>
          </w:p>
        </w:tc>
        <w:tc>
          <w:tcPr>
            <w:tcW w:w="2479" w:type="dxa"/>
            <w:tcBorders>
              <w:top w:val="nil"/>
              <w:left w:val="nil"/>
              <w:bottom w:val="nil"/>
              <w:right w:val="nil"/>
            </w:tcBorders>
            <w:shd w:val="clear" w:color="auto" w:fill="FFFFFF"/>
          </w:tcPr>
          <w:p w14:paraId="54543C11"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PI3K/AKT/mTOR</w:t>
            </w:r>
          </w:p>
        </w:tc>
        <w:tc>
          <w:tcPr>
            <w:tcW w:w="3352" w:type="dxa"/>
            <w:tcBorders>
              <w:top w:val="nil"/>
              <w:left w:val="nil"/>
              <w:bottom w:val="nil"/>
              <w:right w:val="nil"/>
            </w:tcBorders>
            <w:shd w:val="clear" w:color="auto" w:fill="FFFFFF"/>
          </w:tcPr>
          <w:p w14:paraId="6277FDCA"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Brg1 aggravates airway inflammation in asthma via inhibition of the PI3K/Akt/mTOR pathway.</w:t>
            </w:r>
          </w:p>
        </w:tc>
      </w:tr>
      <w:tr w:rsidR="0092758A" w:rsidRPr="0092758A" w14:paraId="3649E04A" w14:textId="77777777" w:rsidTr="00331973">
        <w:trPr>
          <w:trHeight w:hRule="exact" w:val="1637"/>
          <w:jc w:val="center"/>
        </w:trPr>
        <w:tc>
          <w:tcPr>
            <w:tcW w:w="3048" w:type="dxa"/>
            <w:tcBorders>
              <w:top w:val="nil"/>
              <w:left w:val="nil"/>
              <w:bottom w:val="nil"/>
              <w:right w:val="nil"/>
            </w:tcBorders>
            <w:shd w:val="clear" w:color="auto" w:fill="FFFFFF"/>
          </w:tcPr>
          <w:p w14:paraId="0A695819" w14:textId="7F11E534"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Dong et al. 2022</w:t>
            </w:r>
            <w:r w:rsidR="00495871" w:rsidRPr="0092758A">
              <w:rPr>
                <w:rFonts w:ascii="Times New Roman" w:hAnsi="Times New Roman" w:cs="Times New Roman" w:hint="eastAsia"/>
                <w:szCs w:val="21"/>
              </w:rPr>
              <w:t xml:space="preserve"> </w:t>
            </w:r>
            <w:r w:rsidRPr="0092758A">
              <w:rPr>
                <w:rFonts w:ascii="Times New Roman" w:hAnsi="Times New Roman" w:cs="Times New Roman"/>
                <w:szCs w:val="21"/>
              </w:rPr>
              <w:fldChar w:fldCharType="begin"/>
            </w:r>
            <w:r w:rsidRPr="0092758A">
              <w:rPr>
                <w:rFonts w:ascii="Times New Roman" w:hAnsi="Times New Roman" w:cs="Times New Roman"/>
                <w:szCs w:val="21"/>
              </w:rPr>
              <w:instrText xml:space="preserve"> ADDIN ZOTERO_ITEM CSL_CITATION {"citationID":"MWNpwKnG","properties":{"formattedCitation":"(3)","plainCitation":"(3)","noteIndex":0},"citationItems":[{"id":60,"uris":["http://zotero.org/users/local/Vfylx43J/items/XJ6NVJZ4"],"itemData":{"id":60,"type":"art</w:instrText>
            </w:r>
            <w:r w:rsidRPr="0092758A">
              <w:rPr>
                <w:rFonts w:ascii="Times New Roman" w:hAnsi="Times New Roman" w:cs="Times New Roman"/>
                <w:szCs w:val="21"/>
              </w:rPr>
              <w:instrText>icle-journal","abstract":"BACKGROUND: Acquired resistance of 5-fluorouracil (5-FU) remains a clinical challenge in colorectal cancer (CRC), and efforts to develop targeted agents to reduce resistance have not yielded success. Metabolic reprogramming is a k</w:instrText>
            </w:r>
            <w:r w:rsidRPr="0092758A">
              <w:rPr>
                <w:rFonts w:ascii="Times New Roman" w:hAnsi="Times New Roman" w:cs="Times New Roman"/>
                <w:szCs w:val="21"/>
              </w:rPr>
              <w:instrText xml:space="preserve">ey cancer hallmark and confers several tumor phenotypes including chemoresistance. Glucose metabolic reprogramming events of 5-FU resistance in CRC has not been evaluated, and whether abnormal glucose metabolism could impart 5-FU resistance in CRC is also </w:instrText>
            </w:r>
            <w:r w:rsidRPr="0092758A">
              <w:rPr>
                <w:rFonts w:ascii="Times New Roman" w:hAnsi="Times New Roman" w:cs="Times New Roman"/>
                <w:szCs w:val="21"/>
              </w:rPr>
              <w:instrText>poorly defined.\nMETHODS: Three separate acquired 5-FU resistance CRC cell line models were generated, and glucose metabolism was assessed by measuring glucose and lactate utilization, RNA and protein expressions of glucose metabolism-related enzymes and c</w:instrText>
            </w:r>
            <w:r w:rsidRPr="0092758A">
              <w:rPr>
                <w:rFonts w:ascii="Times New Roman" w:hAnsi="Times New Roman" w:cs="Times New Roman"/>
                <w:szCs w:val="21"/>
              </w:rPr>
              <w:instrText>hanges of intermediate metabolites of glucose metabolite pool. The protein levels of hypoxia inducible factor 1α (HIF-1α) in primary tumors and circulating tumor cells of CRC patients were detected by immunohistochemistry and immunofluorescence. Stable HIF</w:instrText>
            </w:r>
            <w:r w:rsidRPr="0092758A">
              <w:rPr>
                <w:rFonts w:ascii="Times New Roman" w:hAnsi="Times New Roman" w:cs="Times New Roman"/>
                <w:szCs w:val="21"/>
              </w:rPr>
              <w:instrText>1A knockdown in cell models was established with a lentiviral system. The influence of both HIF1A gene knockdown and pharmacological inhibition on 5-FU resistance in CRC was evaluated in cell models in vivo and in vitro.\nRESULTS: The abnormality of glucos</w:instrText>
            </w:r>
            <w:r w:rsidRPr="0092758A">
              <w:rPr>
                <w:rFonts w:ascii="Times New Roman" w:hAnsi="Times New Roman" w:cs="Times New Roman"/>
                <w:szCs w:val="21"/>
              </w:rPr>
              <w:instrText>e metabolism in 5-FU-resistant CRC were described in detail. The enhanced glycolysis and pentose phosphate pathway in CRC were associated with increased HIF-1α expression. HIF-1α-induced glucose metabolic reprogramming imparted 5-FU resistance in CRC. HIF-</w:instrText>
            </w:r>
            <w:r w:rsidRPr="0092758A">
              <w:rPr>
                <w:rFonts w:ascii="Times New Roman" w:hAnsi="Times New Roman" w:cs="Times New Roman"/>
                <w:szCs w:val="21"/>
              </w:rPr>
              <w:instrText>1α showed enhanced expression in 5-FU-resistant CRC cell lines and clinical specimens, and increased HIF-1α levels were associated with failure of fluorouracil analog-based chemotherapy in CRC patients and poor survival. Upregulation of HIF-1α in 5-FU-resi</w:instrText>
            </w:r>
            <w:r w:rsidRPr="0092758A">
              <w:rPr>
                <w:rFonts w:ascii="Times New Roman" w:hAnsi="Times New Roman" w:cs="Times New Roman"/>
                <w:szCs w:val="21"/>
              </w:rPr>
              <w:instrText>stant CRC occurred through non-oxygen-dependent mechanisms of reactive oxygen species-mediated activation of PI3K/Akt signaling and aberrant activation of β-catenin in the nucleus. Both HIF-1α gene knock-down and pharmacological inhibition restored the sen</w:instrText>
            </w:r>
            <w:r w:rsidRPr="0092758A">
              <w:rPr>
                <w:rFonts w:ascii="Times New Roman" w:hAnsi="Times New Roman" w:cs="Times New Roman"/>
                <w:szCs w:val="21"/>
              </w:rPr>
              <w:instrText xml:space="preserve">sitivity of CRC to 5-FU.\nCONCLUSIONS: HIF-1α is a potential biomarker for 5-FU-resistant CRC, and targeting HIF-1a in combination with 5-FU may represent an effective therapeutic strategy in 5-FU-resistant CRC.","container-title":"Journal of experimental </w:instrText>
            </w:r>
            <w:r w:rsidRPr="0092758A">
              <w:rPr>
                <w:rFonts w:ascii="Times New Roman" w:hAnsi="Times New Roman" w:cs="Times New Roman"/>
                <w:szCs w:val="21"/>
              </w:rPr>
              <w:instrText>&amp; clinical cancer research: CR","DOI":"10.1186/s13046-021-02229-6","ISSN":"1756-9966","issue":"1","journalAbbreviation":"J Exp Clin Cancer Res","language":"en","note":"PMID: 34998404\nPMCID: PMC8742403\nTLDR: Hif-1α is a potential biomarker for 5-FU-resist</w:instrText>
            </w:r>
            <w:r w:rsidRPr="0092758A">
              <w:rPr>
                <w:rFonts w:ascii="Times New Roman" w:hAnsi="Times New Roman" w:cs="Times New Roman"/>
                <w:szCs w:val="21"/>
              </w:rPr>
              <w:instrText xml:space="preserve">ant CRC, and targeting HIF-1a in combination with5-FU may represent an effective therapeutic strategy in 5-fu- resistant CRC.","page":"15","source":"PubMed","title":"ROS/PI3K/Akt and Wnt/β-catenin signalings activate HIF-1α-induced metabolic reprogramming </w:instrText>
            </w:r>
            <w:r w:rsidRPr="0092758A">
              <w:rPr>
                <w:rFonts w:ascii="Times New Roman" w:hAnsi="Times New Roman" w:cs="Times New Roman"/>
                <w:szCs w:val="21"/>
              </w:rPr>
              <w:instrText>to impart 5-fluorouracil resistance in colorectal cancer","volume":"41","author":[{"family":"Dong","given":"Shuohui"},{"family":"Liang","given":"Shuo"},{"family":"Cheng","given":"Zhiqiang"},{"family":"Zhang","given":"Xiang"},{"family":"Luo","given":"Li"},{</w:instrText>
            </w:r>
            <w:r w:rsidRPr="0092758A">
              <w:rPr>
                <w:rFonts w:ascii="Times New Roman" w:hAnsi="Times New Roman" w:cs="Times New Roman"/>
                <w:szCs w:val="21"/>
              </w:rPr>
              <w:instrText>"family":"Li","given":"Linchuan"},{"family":"Zhang","given":"Wenjie"},{"family":"Li","given":"Songhan"},{"family":"Xu","given":"Qian"},{"family":"Zhong","given":"Mingwei"},{"family":"Zhu","given":"Jiankang"},{"family":"Zhang","given":"Guangyong"},{"family"</w:instrText>
            </w:r>
            <w:r w:rsidRPr="0092758A">
              <w:rPr>
                <w:rFonts w:ascii="Times New Roman" w:hAnsi="Times New Roman" w:cs="Times New Roman"/>
                <w:szCs w:val="21"/>
              </w:rPr>
              <w:instrText xml:space="preserve">:"Hu","given":"Sanyuan"}],"issued":{"date-parts":[["2022",1,8]]}}}],"schema":"https://github.com/citation-style-language/schema/raw/master/csl-citation.json"} </w:instrText>
            </w:r>
            <w:r w:rsidRPr="0092758A">
              <w:rPr>
                <w:rFonts w:ascii="Times New Roman" w:hAnsi="Times New Roman" w:cs="Times New Roman"/>
                <w:szCs w:val="21"/>
              </w:rPr>
              <w:fldChar w:fldCharType="separate"/>
            </w:r>
            <w:r w:rsidRPr="0092758A">
              <w:rPr>
                <w:rFonts w:ascii="Times New Roman" w:hAnsi="Times New Roman" w:cs="Times New Roman" w:hint="eastAsia"/>
                <w:szCs w:val="21"/>
              </w:rPr>
              <w:t>[</w:t>
            </w:r>
            <w:r w:rsidRPr="0092758A">
              <w:rPr>
                <w:rFonts w:ascii="Times New Roman" w:hAnsi="Times New Roman" w:cs="Times New Roman"/>
                <w:szCs w:val="21"/>
              </w:rPr>
              <w:t>3</w:t>
            </w:r>
            <w:r w:rsidRPr="0092758A">
              <w:rPr>
                <w:rFonts w:ascii="Times New Roman" w:hAnsi="Times New Roman" w:cs="Times New Roman" w:hint="eastAsia"/>
                <w:szCs w:val="21"/>
              </w:rPr>
              <w:t>]</w:t>
            </w:r>
            <w:r w:rsidRPr="0092758A">
              <w:rPr>
                <w:rFonts w:ascii="Times New Roman" w:hAnsi="Times New Roman" w:cs="Times New Roman"/>
                <w:szCs w:val="21"/>
              </w:rPr>
              <w:fldChar w:fldCharType="end"/>
            </w:r>
          </w:p>
        </w:tc>
        <w:tc>
          <w:tcPr>
            <w:tcW w:w="2479" w:type="dxa"/>
            <w:tcBorders>
              <w:top w:val="nil"/>
              <w:left w:val="nil"/>
              <w:bottom w:val="nil"/>
              <w:right w:val="nil"/>
            </w:tcBorders>
            <w:shd w:val="clear" w:color="auto" w:fill="FFFFFF"/>
          </w:tcPr>
          <w:p w14:paraId="0665623F"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PI3K/AKT/</w:t>
            </w:r>
            <w:proofErr w:type="spellStart"/>
            <w:r w:rsidRPr="0092758A">
              <w:rPr>
                <w:rFonts w:ascii="Times New Roman" w:hAnsi="Times New Roman" w:cs="Times New Roman"/>
                <w:szCs w:val="21"/>
              </w:rPr>
              <w:t>Wnt</w:t>
            </w:r>
            <w:proofErr w:type="spellEnd"/>
            <w:r w:rsidRPr="0092758A">
              <w:rPr>
                <w:rFonts w:ascii="Times New Roman" w:hAnsi="Times New Roman" w:cs="Times New Roman"/>
                <w:szCs w:val="21"/>
              </w:rPr>
              <w:t>/β-catenin</w:t>
            </w:r>
          </w:p>
        </w:tc>
        <w:tc>
          <w:tcPr>
            <w:tcW w:w="3352" w:type="dxa"/>
            <w:tcBorders>
              <w:top w:val="nil"/>
              <w:left w:val="nil"/>
              <w:bottom w:val="nil"/>
              <w:right w:val="nil"/>
            </w:tcBorders>
            <w:shd w:val="clear" w:color="auto" w:fill="FFFFFF"/>
          </w:tcPr>
          <w:p w14:paraId="7A76AFF9"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ROS/PI3K/</w:t>
            </w:r>
            <w:proofErr w:type="spellStart"/>
            <w:r w:rsidRPr="0092758A">
              <w:rPr>
                <w:rFonts w:ascii="Times New Roman" w:hAnsi="Times New Roman" w:cs="Times New Roman"/>
                <w:szCs w:val="21"/>
              </w:rPr>
              <w:t>Akt</w:t>
            </w:r>
            <w:proofErr w:type="spellEnd"/>
            <w:r w:rsidRPr="0092758A">
              <w:rPr>
                <w:rFonts w:ascii="Times New Roman" w:hAnsi="Times New Roman" w:cs="Times New Roman"/>
                <w:szCs w:val="21"/>
              </w:rPr>
              <w:t xml:space="preserve"> and </w:t>
            </w:r>
            <w:proofErr w:type="spellStart"/>
            <w:r w:rsidRPr="0092758A">
              <w:rPr>
                <w:rFonts w:ascii="Times New Roman" w:hAnsi="Times New Roman" w:cs="Times New Roman"/>
                <w:szCs w:val="21"/>
              </w:rPr>
              <w:t>Wnt</w:t>
            </w:r>
            <w:proofErr w:type="spellEnd"/>
            <w:r w:rsidRPr="0092758A">
              <w:rPr>
                <w:rFonts w:ascii="Times New Roman" w:hAnsi="Times New Roman" w:cs="Times New Roman"/>
                <w:szCs w:val="21"/>
              </w:rPr>
              <w:t xml:space="preserve">/β-catenin </w:t>
            </w:r>
            <w:proofErr w:type="spellStart"/>
            <w:r w:rsidRPr="0092758A">
              <w:rPr>
                <w:rFonts w:ascii="Times New Roman" w:hAnsi="Times New Roman" w:cs="Times New Roman"/>
                <w:szCs w:val="21"/>
              </w:rPr>
              <w:t>signalings</w:t>
            </w:r>
            <w:proofErr w:type="spellEnd"/>
            <w:r w:rsidRPr="0092758A">
              <w:rPr>
                <w:rFonts w:ascii="Times New Roman" w:hAnsi="Times New Roman" w:cs="Times New Roman"/>
                <w:szCs w:val="21"/>
              </w:rPr>
              <w:t xml:space="preserve"> activate HIF-1α-induced m</w:t>
            </w:r>
            <w:r w:rsidRPr="0092758A">
              <w:rPr>
                <w:rFonts w:ascii="Times New Roman" w:hAnsi="Times New Roman" w:cs="Times New Roman"/>
                <w:szCs w:val="21"/>
              </w:rPr>
              <w:t>etabolic reprogramming to impart 5-fluorouracil resistance in</w:t>
            </w:r>
            <w:r w:rsidRPr="0092758A">
              <w:rPr>
                <w:rFonts w:ascii="Times New Roman" w:hAnsi="Times New Roman" w:cs="Times New Roman" w:hint="eastAsia"/>
                <w:szCs w:val="21"/>
              </w:rPr>
              <w:t xml:space="preserve"> </w:t>
            </w:r>
            <w:r w:rsidRPr="0092758A">
              <w:rPr>
                <w:rFonts w:ascii="Times New Roman" w:hAnsi="Times New Roman" w:cs="Times New Roman"/>
                <w:szCs w:val="21"/>
              </w:rPr>
              <w:t>colorectal cancer.</w:t>
            </w:r>
          </w:p>
        </w:tc>
      </w:tr>
      <w:tr w:rsidR="0092758A" w:rsidRPr="0092758A" w14:paraId="5C19C069" w14:textId="77777777" w:rsidTr="00331973">
        <w:trPr>
          <w:trHeight w:hRule="exact" w:val="1335"/>
          <w:jc w:val="center"/>
        </w:trPr>
        <w:tc>
          <w:tcPr>
            <w:tcW w:w="3048" w:type="dxa"/>
            <w:tcBorders>
              <w:top w:val="nil"/>
              <w:left w:val="nil"/>
              <w:bottom w:val="nil"/>
              <w:right w:val="nil"/>
            </w:tcBorders>
            <w:shd w:val="clear" w:color="auto" w:fill="FFFFFF"/>
          </w:tcPr>
          <w:p w14:paraId="4B2E4209" w14:textId="76A1FF53" w:rsidR="00331973" w:rsidRPr="0092758A" w:rsidRDefault="0092758A">
            <w:pPr>
              <w:jc w:val="left"/>
              <w:rPr>
                <w:rFonts w:ascii="Times New Roman" w:hAnsi="Times New Roman" w:cs="Times New Roman"/>
                <w:szCs w:val="21"/>
              </w:rPr>
            </w:pPr>
            <w:proofErr w:type="spellStart"/>
            <w:r w:rsidRPr="0092758A">
              <w:rPr>
                <w:rFonts w:ascii="Times New Roman" w:hAnsi="Times New Roman" w:cs="Times New Roman"/>
                <w:szCs w:val="21"/>
              </w:rPr>
              <w:t>Wangqiu</w:t>
            </w:r>
            <w:proofErr w:type="spellEnd"/>
            <w:r w:rsidRPr="0092758A">
              <w:rPr>
                <w:rFonts w:ascii="Times New Roman" w:hAnsi="Times New Roman" w:cs="Times New Roman"/>
                <w:szCs w:val="21"/>
              </w:rPr>
              <w:t xml:space="preserve"> et al. 2021</w:t>
            </w:r>
            <w:r w:rsidR="00495871" w:rsidRPr="0092758A">
              <w:rPr>
                <w:rFonts w:ascii="Times New Roman" w:hAnsi="Times New Roman" w:cs="Times New Roman" w:hint="eastAsia"/>
                <w:szCs w:val="21"/>
              </w:rPr>
              <w:t xml:space="preserve"> </w:t>
            </w:r>
            <w:r w:rsidRPr="0092758A">
              <w:rPr>
                <w:rFonts w:ascii="Times New Roman" w:hAnsi="Times New Roman" w:cs="Times New Roman"/>
                <w:szCs w:val="21"/>
              </w:rPr>
              <w:fldChar w:fldCharType="begin"/>
            </w:r>
            <w:r w:rsidRPr="0092758A">
              <w:rPr>
                <w:rFonts w:ascii="Times New Roman" w:hAnsi="Times New Roman" w:cs="Times New Roman"/>
                <w:szCs w:val="21"/>
              </w:rPr>
              <w:instrText xml:space="preserve"> ADDIN ZOTERO_ITEM CSL_CITATION {"citationID":"KCCJn4Tr","properties":{"formattedCitation":"(4)","plainCitation":"(4)","noteIndex":0},"citationItems":[{"i</w:instrText>
            </w:r>
            <w:r w:rsidRPr="0092758A">
              <w:rPr>
                <w:rFonts w:ascii="Times New Roman" w:hAnsi="Times New Roman" w:cs="Times New Roman"/>
                <w:szCs w:val="21"/>
              </w:rPr>
              <w:instrText>d":233,"uris":["http://zotero.org/users/local/Vfylx43J/items/KQ9VZEKF"],"itemData":{"id":233,"type":"article-journal","abstract":"Although accelerated cellular senescence is closely related to the progression of chronic kidney disease (CKD) and renal fibro</w:instrText>
            </w:r>
            <w:r w:rsidRPr="0092758A">
              <w:rPr>
                <w:rFonts w:ascii="Times New Roman" w:hAnsi="Times New Roman" w:cs="Times New Roman"/>
                <w:szCs w:val="21"/>
              </w:rPr>
              <w:instrText xml:space="preserve">sis, the underlying mechanisms remain largely unknown. Here, we reported that tubular aberrant expression of Brahma-related gene 1 (BRG1), an enzymatic subunit of the SWItch/Sucrose Non-Fermentable complex, is critically involved in tubular senescence and </w:instrText>
            </w:r>
            <w:r w:rsidRPr="0092758A">
              <w:rPr>
                <w:rFonts w:ascii="Times New Roman" w:hAnsi="Times New Roman" w:cs="Times New Roman"/>
                <w:szCs w:val="21"/>
              </w:rPr>
              <w:instrText>renal fibrosis. BRG1 was significantly up-regulated in the kidneys, predominantly in tubular epithelial cells, of both CKD patients and unilateral ureteral obstruction (UUO) mice. In vivo, shRNA-mediated knockdown of BRG1 significantly ameliorated renal fi</w:instrText>
            </w:r>
            <w:r w:rsidRPr="0092758A">
              <w:rPr>
                <w:rFonts w:ascii="Times New Roman" w:hAnsi="Times New Roman" w:cs="Times New Roman"/>
                <w:szCs w:val="21"/>
              </w:rPr>
              <w:instrText>brosis, improved tubular senescence, and inhibited UUO-induced activation of Wnt/β-catenin pathway. In mouse renal tubular epithelial cells (mTECs) and primary renal tubular cells, inhibition of BRG1 diminished transforming growth factor-β1 (TGF-β1)-induce</w:instrText>
            </w:r>
            <w:r w:rsidRPr="0092758A">
              <w:rPr>
                <w:rFonts w:ascii="Times New Roman" w:hAnsi="Times New Roman" w:cs="Times New Roman"/>
                <w:szCs w:val="21"/>
              </w:rPr>
              <w:instrText>d cellular senescence and fibrotic responses. Correspondingly, ectopic expression of BRG1 in mTECs or normal kidneys increased p16INK4a, p19ARF, and p21 expression and senescence-associated β-galactosidase (SA-β-gal) activity, indicating accelerated tubula</w:instrText>
            </w:r>
            <w:r w:rsidRPr="0092758A">
              <w:rPr>
                <w:rFonts w:ascii="Times New Roman" w:hAnsi="Times New Roman" w:cs="Times New Roman"/>
                <w:szCs w:val="21"/>
              </w:rPr>
              <w:instrText>r senescence. Additionally, BRG1-mediated pro-fibrotic responses were largely abolished by small interfering RNA (siRNA)-mediated p16INK4a silencing in vitro or continuous senolytic treatment with ABT-263 in vivo. Moreover, BRG1 activated the Wnt/β-catenin</w:instrText>
            </w:r>
            <w:r w:rsidRPr="0092758A">
              <w:rPr>
                <w:rFonts w:ascii="Times New Roman" w:hAnsi="Times New Roman" w:cs="Times New Roman"/>
                <w:szCs w:val="21"/>
              </w:rPr>
              <w:instrText xml:space="preserve"> pathway, which further inhibited autophagy. Pharmacologic inhibition of the Wnt/β-catenin pathway (ICG-001) or rapamycin (RAPA)-mediated activation of autophagy effectively blocked BRG1-induced tubular senescence and fibrotic responses, while bafilomycin </w:instrText>
            </w:r>
            <w:r w:rsidRPr="0092758A">
              <w:rPr>
                <w:rFonts w:ascii="Times New Roman" w:hAnsi="Times New Roman" w:cs="Times New Roman"/>
                <w:szCs w:val="21"/>
              </w:rPr>
              <w:instrText>A1 (Baf A1)-mediated inhibition of autophagy abolished the effects of ICG-001. Further, BRG1 altered the secretome of senescent tubular cells, which promoted proliferation and activation of fibroblasts. Taken together, our results indicate that BRG1 induce</w:instrText>
            </w:r>
            <w:r w:rsidRPr="0092758A">
              <w:rPr>
                <w:rFonts w:ascii="Times New Roman" w:hAnsi="Times New Roman" w:cs="Times New Roman"/>
                <w:szCs w:val="21"/>
              </w:rPr>
              <w:instrText>s tubular senescence by inhibiting autophagy via the Wnt/β-catenin pathway, which ultimately contributes to the development of renal fibrosis.","container-title":"Clinical Science (London, England: 1979)","DOI":"10.1042/CS20210447","ISSN":"1470-8736","issu</w:instrText>
            </w:r>
            <w:r w:rsidRPr="0092758A">
              <w:rPr>
                <w:rFonts w:ascii="Times New Roman" w:hAnsi="Times New Roman" w:cs="Times New Roman"/>
                <w:szCs w:val="21"/>
              </w:rPr>
              <w:instrText>e":"15","journalAbbreviation":"Clin. Sci. (Lond. Engl.: 1979)","language":"en","note":"PMCID: PMC8358963\nPMID: 34318888\nTLDR: It is reported that tubular aberrant expression of Brahma-related gene 1 (BRG1), an enzymatic subunit of the SWltch/Sucrose Non-</w:instrText>
            </w:r>
            <w:r w:rsidRPr="0092758A">
              <w:rPr>
                <w:rFonts w:ascii="Times New Roman" w:hAnsi="Times New Roman" w:cs="Times New Roman"/>
                <w:szCs w:val="21"/>
              </w:rPr>
              <w:instrText>Fermentable complex, is critically involved in tubular senescence and renal fibrosis.","page":"1873-1895","source":"PubMed","title":"Brahma-related gene-1 promotes tubular senescence and renal fibrosis through wnt/β-catenin/autophagy axis","volume":"135","</w:instrText>
            </w:r>
            <w:r w:rsidRPr="0092758A">
              <w:rPr>
                <w:rFonts w:ascii="Times New Roman" w:hAnsi="Times New Roman" w:cs="Times New Roman"/>
                <w:szCs w:val="21"/>
              </w:rPr>
              <w:instrText>author":[{"family":"Gong","given":"Wangqiu"},{"family":"Luo","given":"Congwei"},{"family":"Peng","given":"Fenfen"},{"family":"Xiao","given":"Jing"},{"family":"Zeng","given":"Yiqun"},{"family":"Yin","given":"Bohui"},{"family":"Chen","given":"Xiaowen"},{"fam</w:instrText>
            </w:r>
            <w:r w:rsidRPr="0092758A">
              <w:rPr>
                <w:rFonts w:ascii="Times New Roman" w:hAnsi="Times New Roman" w:cs="Times New Roman"/>
                <w:szCs w:val="21"/>
              </w:rPr>
              <w:instrText>ily":"Li","given":"Shuting"},{"family":"He","given":"Xiaoyang"},{"family":"Liu","given":"Yanxia"},{"family":"Cao","given":"Huihui"},{"family":"Xu","given":"Jiangping"},{"family":"Long","given":"Haibo"}],"issued":{"date-parts":[["2021",8,13]]}}}],"schema":"</w:instrText>
            </w:r>
            <w:r w:rsidRPr="0092758A">
              <w:rPr>
                <w:rFonts w:ascii="Times New Roman" w:hAnsi="Times New Roman" w:cs="Times New Roman"/>
                <w:szCs w:val="21"/>
              </w:rPr>
              <w:instrText xml:space="preserve">https://github.com/citation-style-language/schema/raw/master/csl-citation.json"} </w:instrText>
            </w:r>
            <w:r w:rsidRPr="0092758A">
              <w:rPr>
                <w:rFonts w:ascii="Times New Roman" w:hAnsi="Times New Roman" w:cs="Times New Roman"/>
                <w:szCs w:val="21"/>
              </w:rPr>
              <w:fldChar w:fldCharType="separate"/>
            </w:r>
            <w:r w:rsidRPr="0092758A">
              <w:rPr>
                <w:rFonts w:ascii="Times New Roman" w:hAnsi="Times New Roman" w:cs="Times New Roman" w:hint="eastAsia"/>
                <w:szCs w:val="21"/>
              </w:rPr>
              <w:t>[</w:t>
            </w:r>
            <w:r w:rsidRPr="0092758A">
              <w:rPr>
                <w:rFonts w:ascii="Times New Roman" w:hAnsi="Times New Roman" w:cs="Times New Roman"/>
                <w:szCs w:val="21"/>
              </w:rPr>
              <w:t>4</w:t>
            </w:r>
            <w:r w:rsidRPr="0092758A">
              <w:rPr>
                <w:rFonts w:ascii="Times New Roman" w:hAnsi="Times New Roman" w:cs="Times New Roman" w:hint="eastAsia"/>
                <w:szCs w:val="21"/>
              </w:rPr>
              <w:t>]</w:t>
            </w:r>
            <w:r w:rsidRPr="0092758A">
              <w:rPr>
                <w:rFonts w:ascii="Times New Roman" w:hAnsi="Times New Roman" w:cs="Times New Roman"/>
                <w:szCs w:val="21"/>
              </w:rPr>
              <w:fldChar w:fldCharType="end"/>
            </w:r>
          </w:p>
        </w:tc>
        <w:tc>
          <w:tcPr>
            <w:tcW w:w="2479" w:type="dxa"/>
            <w:tcBorders>
              <w:top w:val="nil"/>
              <w:left w:val="nil"/>
              <w:bottom w:val="nil"/>
              <w:right w:val="nil"/>
            </w:tcBorders>
            <w:shd w:val="clear" w:color="auto" w:fill="FFFFFF"/>
          </w:tcPr>
          <w:p w14:paraId="48A8343A" w14:textId="77777777" w:rsidR="00331973" w:rsidRPr="0092758A" w:rsidRDefault="0092758A">
            <w:pPr>
              <w:jc w:val="left"/>
              <w:rPr>
                <w:rFonts w:ascii="Times New Roman" w:hAnsi="Times New Roman" w:cs="Times New Roman"/>
                <w:szCs w:val="21"/>
              </w:rPr>
            </w:pPr>
            <w:proofErr w:type="spellStart"/>
            <w:r w:rsidRPr="0092758A">
              <w:rPr>
                <w:rFonts w:ascii="Times New Roman" w:hAnsi="Times New Roman" w:cs="Times New Roman"/>
                <w:szCs w:val="21"/>
              </w:rPr>
              <w:t>Wnt</w:t>
            </w:r>
            <w:proofErr w:type="spellEnd"/>
            <w:r w:rsidRPr="0092758A">
              <w:rPr>
                <w:rFonts w:ascii="Times New Roman" w:hAnsi="Times New Roman" w:cs="Times New Roman"/>
                <w:szCs w:val="21"/>
              </w:rPr>
              <w:t>/β-catenin</w:t>
            </w:r>
          </w:p>
        </w:tc>
        <w:tc>
          <w:tcPr>
            <w:tcW w:w="3352" w:type="dxa"/>
            <w:tcBorders>
              <w:top w:val="nil"/>
              <w:left w:val="nil"/>
              <w:bottom w:val="nil"/>
              <w:right w:val="nil"/>
            </w:tcBorders>
            <w:shd w:val="clear" w:color="auto" w:fill="FFFFFF"/>
          </w:tcPr>
          <w:p w14:paraId="2B32EF79"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Brahma-related gene-1 promotes tubular</w:t>
            </w:r>
            <w:r w:rsidRPr="0092758A">
              <w:rPr>
                <w:rFonts w:ascii="Times New Roman" w:hAnsi="Times New Roman" w:cs="Times New Roman" w:hint="eastAsia"/>
                <w:szCs w:val="21"/>
              </w:rPr>
              <w:t xml:space="preserve"> </w:t>
            </w:r>
            <w:r w:rsidRPr="0092758A">
              <w:rPr>
                <w:rFonts w:ascii="Times New Roman" w:hAnsi="Times New Roman" w:cs="Times New Roman"/>
                <w:szCs w:val="21"/>
              </w:rPr>
              <w:t xml:space="preserve">senescence and renal fibrosis through </w:t>
            </w:r>
            <w:proofErr w:type="spellStart"/>
            <w:r w:rsidRPr="0092758A">
              <w:rPr>
                <w:rFonts w:ascii="Times New Roman" w:hAnsi="Times New Roman" w:cs="Times New Roman"/>
                <w:szCs w:val="21"/>
              </w:rPr>
              <w:t>Wnt</w:t>
            </w:r>
            <w:proofErr w:type="spellEnd"/>
            <w:r w:rsidRPr="0092758A">
              <w:rPr>
                <w:rFonts w:ascii="Times New Roman" w:hAnsi="Times New Roman" w:cs="Times New Roman"/>
                <w:szCs w:val="21"/>
              </w:rPr>
              <w:t>/β-catenin/autophagy axis.</w:t>
            </w:r>
          </w:p>
        </w:tc>
      </w:tr>
      <w:tr w:rsidR="0092758A" w:rsidRPr="0092758A" w14:paraId="1A78B066" w14:textId="77777777" w:rsidTr="00331973">
        <w:trPr>
          <w:trHeight w:hRule="exact" w:val="1638"/>
          <w:jc w:val="center"/>
        </w:trPr>
        <w:tc>
          <w:tcPr>
            <w:tcW w:w="3048" w:type="dxa"/>
            <w:tcBorders>
              <w:top w:val="nil"/>
              <w:left w:val="nil"/>
              <w:bottom w:val="nil"/>
              <w:right w:val="nil"/>
            </w:tcBorders>
            <w:shd w:val="clear" w:color="auto" w:fill="FFFFFF"/>
          </w:tcPr>
          <w:p w14:paraId="62F7529C" w14:textId="6E3DD228"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Chen et al. 2025</w:t>
            </w:r>
            <w:r w:rsidR="00495871" w:rsidRPr="0092758A">
              <w:rPr>
                <w:rFonts w:ascii="Times New Roman" w:hAnsi="Times New Roman" w:cs="Times New Roman" w:hint="eastAsia"/>
                <w:szCs w:val="21"/>
              </w:rPr>
              <w:t xml:space="preserve"> </w:t>
            </w:r>
            <w:r w:rsidRPr="0092758A">
              <w:rPr>
                <w:rFonts w:ascii="Times New Roman" w:hAnsi="Times New Roman" w:cs="Times New Roman"/>
                <w:szCs w:val="21"/>
              </w:rPr>
              <w:fldChar w:fldCharType="begin"/>
            </w:r>
            <w:r w:rsidRPr="0092758A">
              <w:rPr>
                <w:rFonts w:ascii="Times New Roman" w:hAnsi="Times New Roman" w:cs="Times New Roman"/>
                <w:szCs w:val="21"/>
              </w:rPr>
              <w:instrText xml:space="preserve"> ADDIN ZOTERO_ITEM CSL_CITATION {"citationID":"UFDVgYDG","properties":{"formattedCitation":"(5)","plainCitation":"(5)","noteIndex":0},"citationItems":[{"id":62,"uris":["http://zotero.org/users/local/Vfylx43J/items/SL9NIYRI"],"itemData":{"id":62,"type":"art</w:instrText>
            </w:r>
            <w:r w:rsidRPr="0092758A">
              <w:rPr>
                <w:rFonts w:ascii="Times New Roman" w:hAnsi="Times New Roman" w:cs="Times New Roman"/>
                <w:szCs w:val="21"/>
              </w:rPr>
              <w:instrText>icle-journal","abstract":"Brahma-related gene 1 (BRG1) has been implicated in the repair of DNA double-strand breaks (DSBs). Downregulation of BRG1 impairs DSBs repair leading to accumulation of double-stranded DNA (dsDNA). Currently, the role of BRG1 in d</w:instrText>
            </w:r>
            <w:r w:rsidRPr="0092758A">
              <w:rPr>
                <w:rFonts w:ascii="Times New Roman" w:hAnsi="Times New Roman" w:cs="Times New Roman"/>
                <w:szCs w:val="21"/>
              </w:rPr>
              <w:instrText>iabetic cardiomyopathy (DCM) has not been clarified. In this study, we aimed to explore the function and molecular by which BRG1 regulates DCM using mice and cell models. We found that BRG1 was downregulated in the cardiac tissues of DCM mice and in cardio</w:instrText>
            </w:r>
            <w:r w:rsidRPr="0092758A">
              <w:rPr>
                <w:rFonts w:ascii="Times New Roman" w:hAnsi="Times New Roman" w:cs="Times New Roman"/>
                <w:szCs w:val="21"/>
              </w:rPr>
              <w:instrText>myocytes cultured with high glucose and palmitic acid (HG/PA), which was accompanied by accumulation of dsDNA and activation of the cyclic GMP-AMP synthase (cGAS)-stimulator of interferon genes (STING) signaling pathway. shRNA-mediated Brg1 knockdown aggra</w:instrText>
            </w:r>
            <w:r w:rsidRPr="0092758A">
              <w:rPr>
                <w:rFonts w:ascii="Times New Roman" w:hAnsi="Times New Roman" w:cs="Times New Roman"/>
                <w:szCs w:val="21"/>
              </w:rPr>
              <w:instrText>vated DCM mice cardiac functions, enhanced dsDNA accumulation, cGAS-STING signaling activation, which induced inflammation and apoptosis. In addition, the results were further verified in HG/PA-treated primary neonatal rat cardiomyocytes (NRCMs). Overexpre</w:instrText>
            </w:r>
            <w:r w:rsidRPr="0092758A">
              <w:rPr>
                <w:rFonts w:ascii="Times New Roman" w:hAnsi="Times New Roman" w:cs="Times New Roman"/>
                <w:szCs w:val="21"/>
              </w:rPr>
              <w:instrText xml:space="preserve">ssion of BRG1 in NRCMs yielded opposite results. Furthermore, a selective cGAS inhibitor RU.521 or STING inhibitor C-176 partially reversed the BRG1 knockdown-induced inflammation and apoptosis in vitro. In conclusion, our results demonstrate that BRG1 is </w:instrText>
            </w:r>
            <w:r w:rsidRPr="0092758A">
              <w:rPr>
                <w:rFonts w:ascii="Times New Roman" w:hAnsi="Times New Roman" w:cs="Times New Roman"/>
                <w:szCs w:val="21"/>
              </w:rPr>
              <w:instrText xml:space="preserve">downregulated during DCM in vivo and in vitro, resulting in cardiomyocyte inflammation and apoptosis due to dsDNA accumulation and cGAS-STING signaling activation. Therefore, targeting the BRG1-cGAS-STING pathway may represent a novel therapeutic strategy </w:instrText>
            </w:r>
            <w:r w:rsidRPr="0092758A">
              <w:rPr>
                <w:rFonts w:ascii="Times New Roman" w:hAnsi="Times New Roman" w:cs="Times New Roman"/>
                <w:szCs w:val="21"/>
              </w:rPr>
              <w:instrText xml:space="preserve">for improving cardiac function of patients with DCM.","container-title":"Inflammation","DOI":"10.1007/s10753-024-02058-7","ISSN":"1573-2576","issue":"1","journalAbbreviation":"Inflammation","language":"en","note":"PMID: 38867118\nPMCID: PMC11807080\nTLDR: </w:instrText>
            </w:r>
            <w:r w:rsidRPr="0092758A">
              <w:rPr>
                <w:rFonts w:ascii="Times New Roman" w:hAnsi="Times New Roman" w:cs="Times New Roman"/>
                <w:szCs w:val="21"/>
              </w:rPr>
              <w:instrText>It is demonstrated that BRG1 is downregulated during DCM in vivo and in vitro, resulting in cardiomyocyte inflammation and apoptosis due to dsDNA accumulation and cGAS-STING signaling activation, and targeting the BRG1-cGAS-STING pathway may represent a no</w:instrText>
            </w:r>
            <w:r w:rsidRPr="0092758A">
              <w:rPr>
                <w:rFonts w:ascii="Times New Roman" w:hAnsi="Times New Roman" w:cs="Times New Roman"/>
                <w:szCs w:val="21"/>
              </w:rPr>
              <w:instrText>vel therapeutic strategy for improving cardiac function of patients with DCM.","page":"299-315","source":"PubMed","title":"BRG1 Deficiency Promotes Cardiomyocyte Inflammation and Apoptosis by Activating the cGAS-STING Signaling in Diabetic Cardiomyopathy",</w:instrText>
            </w:r>
            <w:r w:rsidRPr="0092758A">
              <w:rPr>
                <w:rFonts w:ascii="Times New Roman" w:hAnsi="Times New Roman" w:cs="Times New Roman"/>
                <w:szCs w:val="21"/>
              </w:rPr>
              <w:instrText>"volume":"48","author":[{"family":"Chen","given":"Ziying"},{"family":"Lai","given":"Xiangmao"},{"family":"Li","given":"Jingxuan"},{"family":"Yuan","given":"Xun"},{"family":"Li","given":"Yilang"},{"family":"Zhang","given":"Xiaojing"},{"family":"Kang","given</w:instrText>
            </w:r>
            <w:r w:rsidRPr="0092758A">
              <w:rPr>
                <w:rFonts w:ascii="Times New Roman" w:hAnsi="Times New Roman" w:cs="Times New Roman"/>
                <w:szCs w:val="21"/>
              </w:rPr>
              <w:instrText>":"Zhanfang"},{"family":"Ouyang","given":"Zizhang"},{"family":"Zeng","given":"Jianwen"},{"family":"Hou","given":"Ning"},{"family":"Liu","given":"Xiaoping"}],"issued":{"date-parts":[["2025",2]]}}}],"schema":"https://github.com/citation-style-language/schema</w:instrText>
            </w:r>
            <w:r w:rsidRPr="0092758A">
              <w:rPr>
                <w:rFonts w:ascii="Times New Roman" w:hAnsi="Times New Roman" w:cs="Times New Roman"/>
                <w:szCs w:val="21"/>
              </w:rPr>
              <w:instrText xml:space="preserve">/raw/master/csl-citation.json"} </w:instrText>
            </w:r>
            <w:r w:rsidRPr="0092758A">
              <w:rPr>
                <w:rFonts w:ascii="Times New Roman" w:hAnsi="Times New Roman" w:cs="Times New Roman"/>
                <w:szCs w:val="21"/>
              </w:rPr>
              <w:fldChar w:fldCharType="separate"/>
            </w:r>
            <w:r w:rsidRPr="0092758A">
              <w:rPr>
                <w:rFonts w:ascii="Times New Roman" w:hAnsi="Times New Roman" w:cs="Times New Roman" w:hint="eastAsia"/>
                <w:szCs w:val="21"/>
              </w:rPr>
              <w:t>[</w:t>
            </w:r>
            <w:r w:rsidRPr="0092758A">
              <w:rPr>
                <w:rFonts w:ascii="Times New Roman" w:hAnsi="Times New Roman" w:cs="Times New Roman"/>
                <w:szCs w:val="21"/>
              </w:rPr>
              <w:t>5</w:t>
            </w:r>
            <w:r w:rsidRPr="0092758A">
              <w:rPr>
                <w:rFonts w:ascii="Times New Roman" w:hAnsi="Times New Roman" w:cs="Times New Roman" w:hint="eastAsia"/>
                <w:szCs w:val="21"/>
              </w:rPr>
              <w:t>]</w:t>
            </w:r>
            <w:r w:rsidRPr="0092758A">
              <w:rPr>
                <w:rFonts w:ascii="Times New Roman" w:hAnsi="Times New Roman" w:cs="Times New Roman"/>
                <w:szCs w:val="21"/>
              </w:rPr>
              <w:fldChar w:fldCharType="end"/>
            </w:r>
          </w:p>
        </w:tc>
        <w:tc>
          <w:tcPr>
            <w:tcW w:w="2479" w:type="dxa"/>
            <w:tcBorders>
              <w:top w:val="nil"/>
              <w:left w:val="nil"/>
              <w:bottom w:val="nil"/>
              <w:right w:val="nil"/>
            </w:tcBorders>
            <w:shd w:val="clear" w:color="auto" w:fill="FFFFFF"/>
          </w:tcPr>
          <w:p w14:paraId="45291C0A"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cGAS/STING</w:t>
            </w:r>
          </w:p>
        </w:tc>
        <w:tc>
          <w:tcPr>
            <w:tcW w:w="3352" w:type="dxa"/>
            <w:tcBorders>
              <w:top w:val="nil"/>
              <w:left w:val="nil"/>
              <w:bottom w:val="nil"/>
              <w:right w:val="nil"/>
            </w:tcBorders>
            <w:shd w:val="clear" w:color="auto" w:fill="FFFFFF"/>
          </w:tcPr>
          <w:p w14:paraId="55257EA7"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BRG1 deficiency promotes cardiomyocyte inflammation and apoptosis by activating the cGAS-STING signaling in diabetic cardiomyopathy.</w:t>
            </w:r>
          </w:p>
        </w:tc>
      </w:tr>
      <w:tr w:rsidR="0092758A" w:rsidRPr="0092758A" w14:paraId="74019989" w14:textId="77777777" w:rsidTr="00331973">
        <w:trPr>
          <w:trHeight w:hRule="exact" w:val="1065"/>
          <w:jc w:val="center"/>
        </w:trPr>
        <w:tc>
          <w:tcPr>
            <w:tcW w:w="3048" w:type="dxa"/>
            <w:tcBorders>
              <w:top w:val="nil"/>
              <w:left w:val="nil"/>
              <w:bottom w:val="nil"/>
              <w:right w:val="nil"/>
            </w:tcBorders>
            <w:shd w:val="clear" w:color="auto" w:fill="FFFFFF"/>
          </w:tcPr>
          <w:p w14:paraId="231409D4" w14:textId="704C88E2" w:rsidR="00331973" w:rsidRPr="0092758A" w:rsidRDefault="0092758A">
            <w:pPr>
              <w:jc w:val="left"/>
              <w:rPr>
                <w:rFonts w:ascii="Times New Roman" w:hAnsi="Times New Roman" w:cs="Times New Roman"/>
                <w:szCs w:val="21"/>
              </w:rPr>
            </w:pPr>
            <w:proofErr w:type="spellStart"/>
            <w:r w:rsidRPr="0092758A">
              <w:rPr>
                <w:rFonts w:ascii="Times New Roman" w:hAnsi="Times New Roman" w:cs="Times New Roman"/>
                <w:szCs w:val="21"/>
              </w:rPr>
              <w:t>Mian</w:t>
            </w:r>
            <w:proofErr w:type="spellEnd"/>
            <w:r w:rsidRPr="0092758A">
              <w:rPr>
                <w:rFonts w:ascii="Times New Roman" w:hAnsi="Times New Roman" w:cs="Times New Roman"/>
                <w:szCs w:val="21"/>
              </w:rPr>
              <w:t xml:space="preserve"> et al. 2017</w:t>
            </w:r>
            <w:r w:rsidR="00495871" w:rsidRPr="0092758A">
              <w:rPr>
                <w:rFonts w:ascii="Times New Roman" w:hAnsi="Times New Roman" w:cs="Times New Roman" w:hint="eastAsia"/>
                <w:szCs w:val="21"/>
              </w:rPr>
              <w:t xml:space="preserve"> </w:t>
            </w:r>
            <w:r w:rsidRPr="0092758A">
              <w:rPr>
                <w:rFonts w:ascii="Times New Roman" w:hAnsi="Times New Roman" w:cs="Times New Roman"/>
                <w:szCs w:val="21"/>
              </w:rPr>
              <w:fldChar w:fldCharType="begin"/>
            </w:r>
            <w:r w:rsidRPr="0092758A">
              <w:rPr>
                <w:rFonts w:ascii="Times New Roman" w:hAnsi="Times New Roman" w:cs="Times New Roman"/>
                <w:szCs w:val="21"/>
              </w:rPr>
              <w:instrText xml:space="preserve"> ADDIN ZOTERO_ITEM CSL_CITATION {"citationID":"xFlMHFDW</w:instrText>
            </w:r>
            <w:r w:rsidRPr="0092758A">
              <w:rPr>
                <w:rFonts w:ascii="Times New Roman" w:hAnsi="Times New Roman" w:cs="Times New Roman"/>
                <w:szCs w:val="21"/>
              </w:rPr>
              <w:instrText>","properties":{"formattedCitation":"(6)","plainCitation":"(6)","noteIndex":0},"citationItems":[{"id":227,"uris":["http://zotero.org/users/local/Vfylx43J/items/H6ETBYX8"],"itemData":{"id":227,"type":"article-journal","abstract":"Cytoprotective gene heme ox</w:instrText>
            </w:r>
            <w:r w:rsidRPr="0092758A">
              <w:rPr>
                <w:rFonts w:ascii="Times New Roman" w:hAnsi="Times New Roman" w:cs="Times New Roman"/>
                <w:szCs w:val="21"/>
              </w:rPr>
              <w:instrText>ygenase 1 (HO-1) could be induced by nuclear factor E2-related factor 2 (Nrf2) nuclear translocation. The purpose of this study was to determine the role of Brahma-related gene 1 (Brg1), a catalytic subunit of SWI2/SNF2-like chromatin remodeling complexes,</w:instrText>
            </w:r>
            <w:r w:rsidRPr="0092758A">
              <w:rPr>
                <w:rFonts w:ascii="Times New Roman" w:hAnsi="Times New Roman" w:cs="Times New Roman"/>
                <w:szCs w:val="21"/>
              </w:rPr>
              <w:instrText xml:space="preserve"> in Nrf2/HO-1 pathway activation during hepatic ischemia-reperfusion (HIR). Our results showed that hepatic Brg1 was inhibited during early HIR while Brg1 overexpression reduced oxidative injury in CMV-Brg1 mice subjected to HIR. Moreover, promoter-driven </w:instrText>
            </w:r>
            <w:r w:rsidRPr="0092758A">
              <w:rPr>
                <w:rFonts w:ascii="Times New Roman" w:hAnsi="Times New Roman" w:cs="Times New Roman"/>
                <w:szCs w:val="21"/>
              </w:rPr>
              <w:instrText xml:space="preserve">luciferase assay showed that overexpression of Brg1 by adenovirus transfection in AML12 cells selectively enhanced HO-1 gene expression after hypoxia/reoxygenation (H/R) treatment but did not affect the other Nrf2 target gene NQO1. Furthermore, inhibition </w:instrText>
            </w:r>
            <w:r w:rsidRPr="0092758A">
              <w:rPr>
                <w:rFonts w:ascii="Times New Roman" w:hAnsi="Times New Roman" w:cs="Times New Roman"/>
                <w:szCs w:val="21"/>
              </w:rPr>
              <w:instrText>of HO-1 by the selective HO-1 inhibitor zinc protoporphyria could partly reverse the hepatic protective effects of Brg1 overexpression while HO-1-Adv attenuated AML12 cells H/R damage. Further, chromatin immunoprecipitation analysis revealed that Brg1 over</w:instrText>
            </w:r>
            <w:r w:rsidRPr="0092758A">
              <w:rPr>
                <w:rFonts w:ascii="Times New Roman" w:hAnsi="Times New Roman" w:cs="Times New Roman"/>
                <w:szCs w:val="21"/>
              </w:rPr>
              <w:instrText>expression, which could significantly increase the recruitment of Brg1 protein to HO-1 but not NQO1 promoter, was recruited by Nrf2 to the HO-1 regulatory regions in AML12 hepatocytes subjected to H/R. In conclusion, our results demonstrated that restorati</w:instrText>
            </w:r>
            <w:r w:rsidRPr="0092758A">
              <w:rPr>
                <w:rFonts w:ascii="Times New Roman" w:hAnsi="Times New Roman" w:cs="Times New Roman"/>
                <w:szCs w:val="21"/>
              </w:rPr>
              <w:instrText>on of Brg1 during reperfusion could enhance Nrf2-mediated inducible expression of HO-1 during HIR to effectively increase antioxidant ability to combat against hepatocytes damage.","container-title":"Cell Death and Disease","DOI":"10.1038/cddis.2017.236","</w:instrText>
            </w:r>
            <w:r w:rsidRPr="0092758A">
              <w:rPr>
                <w:rFonts w:ascii="Times New Roman" w:hAnsi="Times New Roman" w:cs="Times New Roman"/>
                <w:szCs w:val="21"/>
              </w:rPr>
              <w:instrText>ISSN":"2041-4889","issue":"6","journalAbbreviation":"Cell Death Dis.","language":"en","note":"PMCID: PMC5520895\nPMID: 28569786\nTLDR: Restoration of Brg1 during reperfusion could enhance Nrf2-mediated inducible expression of HO-1 during HIR to effectively</w:instrText>
            </w:r>
            <w:r w:rsidRPr="0092758A">
              <w:rPr>
                <w:rFonts w:ascii="Times New Roman" w:hAnsi="Times New Roman" w:cs="Times New Roman"/>
                <w:szCs w:val="21"/>
              </w:rPr>
              <w:instrText xml:space="preserve"> increase antioxidant ability to combat against hepatocytes damage.","page":"e2841","source":"PubMed","title":"Brg1-mediated Nrf2/HO-1 pathway activation alleviates hepatic ischemia-reperfusion injury","volume":"8","author":[{"family":"Ge","given":"Mian"},</w:instrText>
            </w:r>
            <w:r w:rsidRPr="0092758A">
              <w:rPr>
                <w:rFonts w:ascii="Times New Roman" w:hAnsi="Times New Roman" w:cs="Times New Roman"/>
                <w:szCs w:val="21"/>
              </w:rPr>
              <w:instrText>{"family":"Yao","given":"Weifeng"},{"family":"Yuan","given":"Dongdong"},{"family":"Zhou","given":"Shaoli"},{"family":"Chen","given":"Xi"},{"family":"Zhang","given":"Yihan"},{"family":"Li","given":"Haobo"},{"family":"Xia","given":"Zhengyuan"},{"family":"Hei</w:instrText>
            </w:r>
            <w:r w:rsidRPr="0092758A">
              <w:rPr>
                <w:rFonts w:ascii="Times New Roman" w:hAnsi="Times New Roman" w:cs="Times New Roman"/>
                <w:szCs w:val="21"/>
              </w:rPr>
              <w:instrText xml:space="preserve">","given":"Ziqing"}],"issued":{"date-parts":[["2017",6,1]]}}}],"schema":"https://github.com/citation-style-language/schema/raw/master/csl-citation.json"} </w:instrText>
            </w:r>
            <w:r w:rsidRPr="0092758A">
              <w:rPr>
                <w:rFonts w:ascii="Times New Roman" w:hAnsi="Times New Roman" w:cs="Times New Roman"/>
                <w:szCs w:val="21"/>
              </w:rPr>
              <w:fldChar w:fldCharType="separate"/>
            </w:r>
            <w:r w:rsidRPr="0092758A">
              <w:rPr>
                <w:rFonts w:ascii="Times New Roman" w:hAnsi="Times New Roman" w:cs="Times New Roman" w:hint="eastAsia"/>
                <w:szCs w:val="21"/>
              </w:rPr>
              <w:t>[</w:t>
            </w:r>
            <w:r w:rsidRPr="0092758A">
              <w:rPr>
                <w:rFonts w:ascii="Times New Roman" w:hAnsi="Times New Roman" w:cs="Times New Roman"/>
                <w:szCs w:val="21"/>
              </w:rPr>
              <w:t>6</w:t>
            </w:r>
            <w:r w:rsidRPr="0092758A">
              <w:rPr>
                <w:rFonts w:ascii="Times New Roman" w:hAnsi="Times New Roman" w:cs="Times New Roman" w:hint="eastAsia"/>
                <w:szCs w:val="21"/>
              </w:rPr>
              <w:t>]</w:t>
            </w:r>
            <w:r w:rsidRPr="0092758A">
              <w:rPr>
                <w:rFonts w:ascii="Times New Roman" w:hAnsi="Times New Roman" w:cs="Times New Roman"/>
                <w:szCs w:val="21"/>
              </w:rPr>
              <w:fldChar w:fldCharType="end"/>
            </w:r>
          </w:p>
        </w:tc>
        <w:tc>
          <w:tcPr>
            <w:tcW w:w="2479" w:type="dxa"/>
            <w:tcBorders>
              <w:top w:val="nil"/>
              <w:left w:val="nil"/>
              <w:bottom w:val="nil"/>
              <w:right w:val="nil"/>
            </w:tcBorders>
            <w:shd w:val="clear" w:color="auto" w:fill="FFFFFF"/>
          </w:tcPr>
          <w:p w14:paraId="52C9DC83"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Nrf2/HO-1</w:t>
            </w:r>
          </w:p>
        </w:tc>
        <w:tc>
          <w:tcPr>
            <w:tcW w:w="3352" w:type="dxa"/>
            <w:tcBorders>
              <w:top w:val="nil"/>
              <w:left w:val="nil"/>
              <w:bottom w:val="nil"/>
              <w:right w:val="nil"/>
            </w:tcBorders>
            <w:shd w:val="clear" w:color="auto" w:fill="FFFFFF"/>
          </w:tcPr>
          <w:p w14:paraId="251D66E8"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Brg1-mediated Nrf2/HO-1 pathway activation alleviates</w:t>
            </w:r>
            <w:r w:rsidRPr="0092758A">
              <w:rPr>
                <w:rFonts w:ascii="Times New Roman" w:hAnsi="Times New Roman" w:cs="Times New Roman" w:hint="eastAsia"/>
                <w:szCs w:val="21"/>
              </w:rPr>
              <w:t xml:space="preserve"> </w:t>
            </w:r>
            <w:r w:rsidRPr="0092758A">
              <w:rPr>
                <w:rFonts w:ascii="Times New Roman" w:hAnsi="Times New Roman" w:cs="Times New Roman"/>
                <w:szCs w:val="21"/>
              </w:rPr>
              <w:t xml:space="preserve">hepatic ischemia–reperfusion </w:t>
            </w:r>
            <w:r w:rsidRPr="0092758A">
              <w:rPr>
                <w:rFonts w:ascii="Times New Roman" w:hAnsi="Times New Roman" w:cs="Times New Roman"/>
                <w:szCs w:val="21"/>
              </w:rPr>
              <w:t>injury.</w:t>
            </w:r>
          </w:p>
        </w:tc>
      </w:tr>
      <w:tr w:rsidR="0092758A" w:rsidRPr="0092758A" w14:paraId="6E115D25" w14:textId="77777777" w:rsidTr="00331973">
        <w:trPr>
          <w:trHeight w:hRule="exact" w:val="1939"/>
          <w:jc w:val="center"/>
        </w:trPr>
        <w:tc>
          <w:tcPr>
            <w:tcW w:w="3048" w:type="dxa"/>
            <w:tcBorders>
              <w:top w:val="nil"/>
              <w:left w:val="nil"/>
              <w:bottom w:val="single" w:sz="12" w:space="0" w:color="000000"/>
              <w:right w:val="nil"/>
            </w:tcBorders>
            <w:shd w:val="clear" w:color="auto" w:fill="FFFFFF"/>
          </w:tcPr>
          <w:p w14:paraId="7C6C1301" w14:textId="20E1D786"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Sun et al. 2020</w:t>
            </w:r>
            <w:r w:rsidR="00495871" w:rsidRPr="0092758A">
              <w:rPr>
                <w:rFonts w:ascii="Times New Roman" w:hAnsi="Times New Roman" w:cs="Times New Roman" w:hint="eastAsia"/>
                <w:szCs w:val="21"/>
              </w:rPr>
              <w:t xml:space="preserve"> </w:t>
            </w:r>
            <w:r w:rsidRPr="0092758A">
              <w:rPr>
                <w:rFonts w:ascii="Times New Roman" w:hAnsi="Times New Roman" w:cs="Times New Roman"/>
                <w:szCs w:val="21"/>
              </w:rPr>
              <w:fldChar w:fldCharType="begin"/>
            </w:r>
            <w:r w:rsidRPr="0092758A">
              <w:rPr>
                <w:rFonts w:ascii="Times New Roman" w:hAnsi="Times New Roman" w:cs="Times New Roman"/>
                <w:szCs w:val="21"/>
              </w:rPr>
              <w:instrText xml:space="preserve"> ADDIN ZOTERO_ITEM CSL_CITATION {"citationID":"aegMkJCh","properties":{"formattedCitation":"(7)","plainCitation":"(7)","noteIndex":0},"citationItems":[{"id":38,"uris":["http://zotero.org/users/local/Vfylx43J/items/QGRP6XC7"],"itemData":{"id":38,"type":"art</w:instrText>
            </w:r>
            <w:r w:rsidRPr="0092758A">
              <w:rPr>
                <w:rFonts w:ascii="Times New Roman" w:hAnsi="Times New Roman" w:cs="Times New Roman"/>
                <w:szCs w:val="21"/>
              </w:rPr>
              <w:instrText>icle-journal","abstract":"High glucose (HG)-induced oxidative damage of retinal ganglion cells (RGCs) contributes to the pathogenesis of diabetic retinopathy, a severe complication of diabetes mellitus. Brahma-related gene 1 (Brg1) has currently emerged as</w:instrText>
            </w:r>
            <w:r w:rsidRPr="0092758A">
              <w:rPr>
                <w:rFonts w:ascii="Times New Roman" w:hAnsi="Times New Roman" w:cs="Times New Roman"/>
                <w:szCs w:val="21"/>
              </w:rPr>
              <w:instrText xml:space="preserve"> a cytoprotective protein that alleviates oxidative damage induced by various stress. However, whether Brg1 is involved in the regulation of HG-induced oxidative damage of RGCs remains unknown. In this study, we aimed to investigate the potential role and </w:instrText>
            </w:r>
            <w:r w:rsidRPr="0092758A">
              <w:rPr>
                <w:rFonts w:ascii="Times New Roman" w:hAnsi="Times New Roman" w:cs="Times New Roman"/>
                <w:szCs w:val="21"/>
              </w:rPr>
              <w:instrText>underlying mechanism of Brg1 in regulating HG-induced damage of RGCs. We found that Brg1 expression was significantly downregulated in RGCs in response to HG treatment. Functional experiments showed that Brg1 knockdown enhanced HG-induced apoptosis and pro</w:instrText>
            </w:r>
            <w:r w:rsidRPr="0092758A">
              <w:rPr>
                <w:rFonts w:ascii="Times New Roman" w:hAnsi="Times New Roman" w:cs="Times New Roman"/>
                <w:szCs w:val="21"/>
              </w:rPr>
              <w:instrText>duction of reactive oxygen species, while Brg1 overexpression suppressed HG-induced apoptosis and reactive oxygen species production, showing a protective effect. Moreover, Brg1 overexpression resulted in an increase in nuclear expression of nuclear factor</w:instrText>
            </w:r>
            <w:r w:rsidRPr="0092758A">
              <w:rPr>
                <w:rFonts w:ascii="Times New Roman" w:hAnsi="Times New Roman" w:cs="Times New Roman"/>
                <w:szCs w:val="21"/>
              </w:rPr>
              <w:instrText>-erythroid-2-related factor-2 (Nrf2) and the expression of heme oxygenase-1 (HO-1) in RGCs. Notably, inhibition of Nrf2 or HO-1 significantly blocked Brg1-mediated protection against HG-induced damage. Overall, these findings demonstrate that Brg1 protects</w:instrText>
            </w:r>
            <w:r w:rsidRPr="0092758A">
              <w:rPr>
                <w:rFonts w:ascii="Times New Roman" w:hAnsi="Times New Roman" w:cs="Times New Roman"/>
                <w:szCs w:val="21"/>
              </w:rPr>
              <w:instrText xml:space="preserve"> RGCs from HG-induced oxidative damage through promotion of Nrf2/HO-1 signaling, indicating a potential role of Brg1 in the pathogenesis of diabetic retinopathy.","container-title":"European Journal of Pharmacology","DOI":"10.1016/j.ejphar.2020.173038","IS</w:instrText>
            </w:r>
            <w:r w:rsidRPr="0092758A">
              <w:rPr>
                <w:rFonts w:ascii="Times New Roman" w:hAnsi="Times New Roman" w:cs="Times New Roman"/>
                <w:szCs w:val="21"/>
              </w:rPr>
              <w:instrText>SN":"1879-0712","journalAbbreviation":"Eur J Pharmacol","language":"en","note":"PMID: 32105681","page":"173038","source":"PubMed","title":"Upregulation of heme oxygenase-1 by Brahma-related gene 1 through Nrf2 signaling confers protective effect against hi</w:instrText>
            </w:r>
            <w:r w:rsidRPr="0092758A">
              <w:rPr>
                <w:rFonts w:ascii="Times New Roman" w:hAnsi="Times New Roman" w:cs="Times New Roman"/>
                <w:szCs w:val="21"/>
              </w:rPr>
              <w:instrText>gh glucose-induced oxidative damage of retinal ganglion cells","volume":"875","author":[{"family":"Sun","given":"Wentao"},{"family":"Yu","given":"Jingni"},{"family":"Kang","given":"Qianyan"}],"issued":{"date-parts":[["2020",5,15]]}}}],"schema":"https://git</w:instrText>
            </w:r>
            <w:r w:rsidRPr="0092758A">
              <w:rPr>
                <w:rFonts w:ascii="Times New Roman" w:hAnsi="Times New Roman" w:cs="Times New Roman"/>
                <w:szCs w:val="21"/>
              </w:rPr>
              <w:instrText xml:space="preserve">hub.com/citation-style-language/schema/raw/master/csl-citation.json"} </w:instrText>
            </w:r>
            <w:r w:rsidRPr="0092758A">
              <w:rPr>
                <w:rFonts w:ascii="Times New Roman" w:hAnsi="Times New Roman" w:cs="Times New Roman"/>
                <w:szCs w:val="21"/>
              </w:rPr>
              <w:fldChar w:fldCharType="separate"/>
            </w:r>
            <w:r w:rsidRPr="0092758A">
              <w:rPr>
                <w:rFonts w:ascii="Times New Roman" w:hAnsi="Times New Roman" w:cs="Times New Roman" w:hint="eastAsia"/>
                <w:szCs w:val="21"/>
              </w:rPr>
              <w:t>[</w:t>
            </w:r>
            <w:r w:rsidRPr="0092758A">
              <w:rPr>
                <w:rFonts w:ascii="Times New Roman" w:hAnsi="Times New Roman" w:cs="Times New Roman"/>
                <w:szCs w:val="21"/>
              </w:rPr>
              <w:t>7</w:t>
            </w:r>
            <w:r w:rsidRPr="0092758A">
              <w:rPr>
                <w:rFonts w:ascii="Times New Roman" w:hAnsi="Times New Roman" w:cs="Times New Roman" w:hint="eastAsia"/>
                <w:szCs w:val="21"/>
              </w:rPr>
              <w:t>]</w:t>
            </w:r>
            <w:r w:rsidRPr="0092758A">
              <w:rPr>
                <w:rFonts w:ascii="Times New Roman" w:hAnsi="Times New Roman" w:cs="Times New Roman"/>
                <w:szCs w:val="21"/>
              </w:rPr>
              <w:fldChar w:fldCharType="end"/>
            </w:r>
          </w:p>
        </w:tc>
        <w:tc>
          <w:tcPr>
            <w:tcW w:w="2479" w:type="dxa"/>
            <w:tcBorders>
              <w:top w:val="nil"/>
              <w:left w:val="nil"/>
              <w:bottom w:val="single" w:sz="12" w:space="0" w:color="000000"/>
              <w:right w:val="nil"/>
            </w:tcBorders>
            <w:shd w:val="clear" w:color="auto" w:fill="FFFFFF"/>
          </w:tcPr>
          <w:p w14:paraId="5921FF7A"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Nrf2/HO-1</w:t>
            </w:r>
          </w:p>
        </w:tc>
        <w:tc>
          <w:tcPr>
            <w:tcW w:w="3352" w:type="dxa"/>
            <w:tcBorders>
              <w:top w:val="nil"/>
              <w:left w:val="nil"/>
              <w:bottom w:val="single" w:sz="12" w:space="0" w:color="000000"/>
              <w:right w:val="nil"/>
            </w:tcBorders>
            <w:shd w:val="clear" w:color="auto" w:fill="FFFFFF"/>
          </w:tcPr>
          <w:p w14:paraId="0852DDBD"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szCs w:val="21"/>
              </w:rPr>
              <w:t>Upregulation of heme oxygenase-1 by Brahma-related gene 1 through Nrf2 signaling confers protective effect against high glucose-induced oxidative damage of retinal gangl</w:t>
            </w:r>
            <w:r w:rsidRPr="0092758A">
              <w:rPr>
                <w:rFonts w:ascii="Times New Roman" w:hAnsi="Times New Roman" w:cs="Times New Roman"/>
                <w:szCs w:val="21"/>
              </w:rPr>
              <w:t>ion cells.</w:t>
            </w:r>
          </w:p>
        </w:tc>
      </w:tr>
    </w:tbl>
    <w:p w14:paraId="3F9D7B50" w14:textId="521DEABA" w:rsidR="00C822B4" w:rsidRPr="0092758A" w:rsidRDefault="00C822B4" w:rsidP="00C822B4">
      <w:pPr>
        <w:pStyle w:val="20"/>
        <w:spacing w:after="0" w:line="276" w:lineRule="auto"/>
        <w:rPr>
          <w:rFonts w:ascii="Times New Roman" w:hAnsi="Times New Roman" w:cs="Times New Roman"/>
          <w:b/>
          <w:bCs/>
          <w:sz w:val="20"/>
          <w:szCs w:val="22"/>
          <w:lang w:val="de-CH"/>
        </w:rPr>
      </w:pPr>
      <w:r w:rsidRPr="0092758A">
        <w:rPr>
          <w:rFonts w:ascii="Times New Roman" w:hAnsi="Times New Roman" w:cs="Times New Roman" w:hint="eastAsia"/>
          <w:b/>
          <w:bCs/>
          <w:sz w:val="20"/>
          <w:szCs w:val="22"/>
          <w:lang w:val="de-CH"/>
        </w:rPr>
        <w:t>References</w:t>
      </w:r>
    </w:p>
    <w:p w14:paraId="1C4EC7C8" w14:textId="019FE360" w:rsidR="00331973" w:rsidRPr="0092758A" w:rsidRDefault="0092758A" w:rsidP="00C822B4">
      <w:pPr>
        <w:pStyle w:val="20"/>
        <w:spacing w:after="0" w:line="276" w:lineRule="auto"/>
        <w:rPr>
          <w:rFonts w:ascii="Times New Roman" w:hAnsi="Times New Roman" w:cs="Times New Roman"/>
          <w:sz w:val="22"/>
          <w:szCs w:val="22"/>
        </w:rPr>
      </w:pPr>
      <w:r w:rsidRPr="0092758A">
        <w:rPr>
          <w:rFonts w:ascii="Times New Roman" w:hAnsi="Times New Roman" w:cs="Times New Roman"/>
          <w:b/>
          <w:bCs/>
          <w:sz w:val="20"/>
          <w:szCs w:val="22"/>
        </w:rPr>
        <w:fldChar w:fldCharType="begin"/>
      </w:r>
      <w:r w:rsidRPr="0092758A">
        <w:rPr>
          <w:rFonts w:ascii="Times New Roman" w:hAnsi="Times New Roman" w:cs="Times New Roman"/>
          <w:b/>
          <w:bCs/>
          <w:sz w:val="20"/>
          <w:szCs w:val="22"/>
          <w:lang w:val="de-CH"/>
        </w:rPr>
        <w:instrText xml:space="preserve"> ADDIN ZOTERO_BIBL {"uncited":[],"omitted":[],"custom":[]} CSL_BIBLIOGRAPHY </w:instrText>
      </w:r>
      <w:r w:rsidRPr="0092758A">
        <w:rPr>
          <w:rFonts w:ascii="Times New Roman" w:hAnsi="Times New Roman" w:cs="Times New Roman"/>
          <w:b/>
          <w:bCs/>
          <w:sz w:val="20"/>
          <w:szCs w:val="22"/>
        </w:rPr>
        <w:fldChar w:fldCharType="separate"/>
      </w:r>
      <w:r w:rsidRPr="0092758A">
        <w:rPr>
          <w:rFonts w:ascii="Times New Roman" w:hAnsi="Times New Roman" w:cs="Times New Roman"/>
          <w:sz w:val="22"/>
          <w:szCs w:val="22"/>
          <w:lang w:val="de-CH"/>
        </w:rPr>
        <w:t>1</w:t>
      </w:r>
      <w:r w:rsidRPr="0092758A">
        <w:rPr>
          <w:rFonts w:ascii="Times New Roman" w:hAnsi="Times New Roman" w:cs="Times New Roman"/>
          <w:sz w:val="22"/>
          <w:szCs w:val="22"/>
          <w:lang w:val="de-CH"/>
        </w:rPr>
        <w:tab/>
        <w:t xml:space="preserve">Ren X, Huang S, Xu J, Xue Q, Xu T, Shi D, et al. </w:t>
      </w:r>
      <w:r w:rsidRPr="0092758A">
        <w:rPr>
          <w:rFonts w:ascii="Times New Roman" w:hAnsi="Times New Roman" w:cs="Times New Roman"/>
          <w:sz w:val="22"/>
          <w:szCs w:val="22"/>
        </w:rPr>
        <w:t xml:space="preserve">BRG1 improves reprogramming efficiency by enhancing glycolytic metabolism. Cell Mol LIFE Sci. 2024;81(1):482. </w:t>
      </w:r>
    </w:p>
    <w:p w14:paraId="15530C57" w14:textId="31E3C675" w:rsidR="00331973" w:rsidRPr="0092758A" w:rsidRDefault="0092758A" w:rsidP="00C822B4">
      <w:pPr>
        <w:pStyle w:val="20"/>
        <w:spacing w:after="0" w:line="276" w:lineRule="auto"/>
        <w:rPr>
          <w:rFonts w:ascii="Times New Roman" w:hAnsi="Times New Roman" w:cs="Times New Roman"/>
          <w:sz w:val="22"/>
          <w:szCs w:val="22"/>
        </w:rPr>
      </w:pPr>
      <w:r w:rsidRPr="0092758A">
        <w:rPr>
          <w:rFonts w:ascii="Times New Roman" w:hAnsi="Times New Roman" w:cs="Times New Roman"/>
          <w:sz w:val="22"/>
          <w:szCs w:val="22"/>
        </w:rPr>
        <w:t>2</w:t>
      </w:r>
      <w:r w:rsidRPr="0092758A">
        <w:rPr>
          <w:rFonts w:ascii="Times New Roman" w:hAnsi="Times New Roman" w:cs="Times New Roman"/>
          <w:sz w:val="22"/>
          <w:szCs w:val="22"/>
        </w:rPr>
        <w:tab/>
        <w:t>Zou W, Ding F, Niu C, Fu Z, Liu S. Brg1 aggravates airway inflammation in asthma via inhibition of the PI3K/</w:t>
      </w:r>
      <w:r w:rsidR="00A53441" w:rsidRPr="0092758A">
        <w:rPr>
          <w:rFonts w:ascii="Times New Roman" w:hAnsi="Times New Roman" w:cs="Times New Roman"/>
          <w:sz w:val="22"/>
          <w:szCs w:val="22"/>
        </w:rPr>
        <w:t>A</w:t>
      </w:r>
      <w:r w:rsidRPr="0092758A">
        <w:rPr>
          <w:rFonts w:ascii="Times New Roman" w:hAnsi="Times New Roman" w:cs="Times New Roman"/>
          <w:sz w:val="22"/>
          <w:szCs w:val="22"/>
        </w:rPr>
        <w:t>kt/mTOR pathway. Biochem Biophys R</w:t>
      </w:r>
      <w:r w:rsidRPr="0092758A">
        <w:rPr>
          <w:rFonts w:ascii="Times New Roman" w:hAnsi="Times New Roman" w:cs="Times New Roman"/>
          <w:sz w:val="22"/>
          <w:szCs w:val="22"/>
        </w:rPr>
        <w:t xml:space="preserve">es Commun. 2018;503(4):3212–8. </w:t>
      </w:r>
    </w:p>
    <w:p w14:paraId="2E0D206D" w14:textId="35D93FF9" w:rsidR="00331973" w:rsidRPr="0092758A" w:rsidRDefault="0092758A" w:rsidP="00C822B4">
      <w:pPr>
        <w:pStyle w:val="20"/>
        <w:spacing w:after="0" w:line="276" w:lineRule="auto"/>
        <w:ind w:left="220" w:hangingChars="100" w:hanging="220"/>
        <w:rPr>
          <w:rFonts w:ascii="Times New Roman" w:hAnsi="Times New Roman" w:cs="Times New Roman"/>
          <w:sz w:val="22"/>
          <w:szCs w:val="22"/>
        </w:rPr>
      </w:pPr>
      <w:r w:rsidRPr="0092758A">
        <w:rPr>
          <w:rFonts w:ascii="Times New Roman" w:hAnsi="Times New Roman" w:cs="Times New Roman"/>
          <w:sz w:val="22"/>
          <w:szCs w:val="22"/>
        </w:rPr>
        <w:t>3</w:t>
      </w:r>
      <w:r w:rsidRPr="0092758A">
        <w:rPr>
          <w:rFonts w:ascii="Times New Roman" w:hAnsi="Times New Roman" w:cs="Times New Roman"/>
          <w:sz w:val="22"/>
          <w:szCs w:val="22"/>
        </w:rPr>
        <w:tab/>
        <w:t xml:space="preserve">Dong S, Liang S, Cheng Z, Zhang X, Luo L, Li L, et al. ROS/PI3K/Akt and Wnt/β-catenin </w:t>
      </w:r>
      <w:r w:rsidRPr="0092758A">
        <w:rPr>
          <w:rFonts w:ascii="Times New Roman" w:hAnsi="Times New Roman" w:cs="Times New Roman"/>
          <w:sz w:val="22"/>
          <w:szCs w:val="22"/>
        </w:rPr>
        <w:t xml:space="preserve">signalings activate HIF-1α-induced metabolic reprogramming to impart 5-fluorouracil resistance in colorectal cancer. J Exp Clin Cancer Res. 2022;41(1):15. </w:t>
      </w:r>
    </w:p>
    <w:p w14:paraId="48A1BFA0" w14:textId="34742ED7" w:rsidR="00331973" w:rsidRPr="0092758A" w:rsidRDefault="0092758A" w:rsidP="00C822B4">
      <w:pPr>
        <w:pStyle w:val="20"/>
        <w:spacing w:after="0" w:line="276" w:lineRule="auto"/>
        <w:rPr>
          <w:rFonts w:ascii="Times New Roman" w:hAnsi="Times New Roman" w:cs="Times New Roman"/>
          <w:sz w:val="22"/>
          <w:szCs w:val="22"/>
        </w:rPr>
      </w:pPr>
      <w:r w:rsidRPr="0092758A">
        <w:rPr>
          <w:rFonts w:ascii="Times New Roman" w:hAnsi="Times New Roman" w:cs="Times New Roman"/>
          <w:sz w:val="22"/>
          <w:szCs w:val="22"/>
        </w:rPr>
        <w:t>4</w:t>
      </w:r>
      <w:r w:rsidRPr="0092758A">
        <w:rPr>
          <w:rFonts w:ascii="Times New Roman" w:hAnsi="Times New Roman" w:cs="Times New Roman"/>
          <w:sz w:val="22"/>
          <w:szCs w:val="22"/>
        </w:rPr>
        <w:tab/>
        <w:t>Gong W, Luo C, Peng F, Xiao J, Zeng Y, Yin B, et al. Brahma-related gene-1 promotes tubular senesc</w:t>
      </w:r>
      <w:r w:rsidRPr="0092758A">
        <w:rPr>
          <w:rFonts w:ascii="Times New Roman" w:hAnsi="Times New Roman" w:cs="Times New Roman"/>
          <w:sz w:val="22"/>
          <w:szCs w:val="22"/>
        </w:rPr>
        <w:t xml:space="preserve">ence and renal fibrosis through </w:t>
      </w:r>
      <w:r w:rsidR="002533FF" w:rsidRPr="0092758A">
        <w:rPr>
          <w:rFonts w:ascii="Times New Roman" w:hAnsi="Times New Roman" w:cs="Times New Roman"/>
          <w:sz w:val="22"/>
          <w:szCs w:val="22"/>
        </w:rPr>
        <w:t>W</w:t>
      </w:r>
      <w:r w:rsidRPr="0092758A">
        <w:rPr>
          <w:rFonts w:ascii="Times New Roman" w:hAnsi="Times New Roman" w:cs="Times New Roman"/>
          <w:sz w:val="22"/>
          <w:szCs w:val="22"/>
        </w:rPr>
        <w:t xml:space="preserve">nt/β-catenin/autophagy axis. Clin Sci (Lond). 2021;135(15):1873–95. </w:t>
      </w:r>
    </w:p>
    <w:p w14:paraId="004148A7" w14:textId="2EBDDB09" w:rsidR="00331973" w:rsidRPr="0092758A" w:rsidRDefault="0092758A" w:rsidP="00C822B4">
      <w:pPr>
        <w:pStyle w:val="20"/>
        <w:spacing w:after="0" w:line="276" w:lineRule="auto"/>
        <w:rPr>
          <w:rFonts w:ascii="Times New Roman" w:hAnsi="Times New Roman" w:cs="Times New Roman"/>
          <w:sz w:val="22"/>
          <w:szCs w:val="22"/>
        </w:rPr>
      </w:pPr>
      <w:r w:rsidRPr="0092758A">
        <w:rPr>
          <w:rFonts w:ascii="Times New Roman" w:hAnsi="Times New Roman" w:cs="Times New Roman"/>
          <w:sz w:val="22"/>
          <w:szCs w:val="22"/>
          <w:lang w:val="de-CH"/>
        </w:rPr>
        <w:t>5</w:t>
      </w:r>
      <w:r w:rsidRPr="0092758A">
        <w:rPr>
          <w:rFonts w:ascii="Times New Roman" w:hAnsi="Times New Roman" w:cs="Times New Roman"/>
          <w:sz w:val="22"/>
          <w:szCs w:val="22"/>
          <w:lang w:val="de-CH"/>
        </w:rPr>
        <w:tab/>
        <w:t xml:space="preserve">Chen Z, Lai X, Li J, Yuan X, Li Y, Zhang X, et al. </w:t>
      </w:r>
      <w:r w:rsidRPr="0092758A">
        <w:rPr>
          <w:rFonts w:ascii="Times New Roman" w:hAnsi="Times New Roman" w:cs="Times New Roman"/>
          <w:sz w:val="22"/>
          <w:szCs w:val="22"/>
        </w:rPr>
        <w:t xml:space="preserve">BRG1 </w:t>
      </w:r>
      <w:r w:rsidR="002533FF" w:rsidRPr="0092758A">
        <w:rPr>
          <w:rFonts w:ascii="Times New Roman" w:hAnsi="Times New Roman" w:cs="Times New Roman"/>
          <w:sz w:val="22"/>
          <w:szCs w:val="22"/>
        </w:rPr>
        <w:t>deficiency promotes cardiomyocyte inflammation and apoptosis by activatin</w:t>
      </w:r>
      <w:r w:rsidRPr="0092758A">
        <w:rPr>
          <w:rFonts w:ascii="Times New Roman" w:hAnsi="Times New Roman" w:cs="Times New Roman"/>
          <w:sz w:val="22"/>
          <w:szCs w:val="22"/>
        </w:rPr>
        <w:t xml:space="preserve">g the cGAS-STING </w:t>
      </w:r>
      <w:r w:rsidR="002533FF" w:rsidRPr="0092758A">
        <w:rPr>
          <w:rFonts w:ascii="Times New Roman" w:hAnsi="Times New Roman" w:cs="Times New Roman"/>
          <w:sz w:val="22"/>
          <w:szCs w:val="22"/>
        </w:rPr>
        <w:t>signaling in diabetic cardiomyopat</w:t>
      </w:r>
      <w:r w:rsidRPr="0092758A">
        <w:rPr>
          <w:rFonts w:ascii="Times New Roman" w:hAnsi="Times New Roman" w:cs="Times New Roman"/>
          <w:sz w:val="22"/>
          <w:szCs w:val="22"/>
        </w:rPr>
        <w:t xml:space="preserve">hy. Inflammation. 2025;48(1):299–315. </w:t>
      </w:r>
    </w:p>
    <w:p w14:paraId="638CD4E1" w14:textId="1C38E9FA" w:rsidR="00331973" w:rsidRPr="0092758A" w:rsidRDefault="0092758A" w:rsidP="00C822B4">
      <w:pPr>
        <w:pStyle w:val="20"/>
        <w:spacing w:after="0" w:line="276" w:lineRule="auto"/>
        <w:rPr>
          <w:rFonts w:ascii="Times New Roman" w:hAnsi="Times New Roman" w:cs="Times New Roman"/>
          <w:sz w:val="22"/>
          <w:szCs w:val="22"/>
        </w:rPr>
      </w:pPr>
      <w:r w:rsidRPr="0092758A">
        <w:rPr>
          <w:rFonts w:ascii="Times New Roman" w:hAnsi="Times New Roman" w:cs="Times New Roman"/>
          <w:sz w:val="22"/>
          <w:szCs w:val="22"/>
        </w:rPr>
        <w:t>6</w:t>
      </w:r>
      <w:r w:rsidRPr="0092758A">
        <w:rPr>
          <w:rFonts w:ascii="Times New Roman" w:hAnsi="Times New Roman" w:cs="Times New Roman"/>
          <w:sz w:val="22"/>
          <w:szCs w:val="22"/>
        </w:rPr>
        <w:tab/>
        <w:t xml:space="preserve">Ge M, Yao W, Yuan D, Zhou S, Chen X, Zhang Y, et al. Brg1-mediated Nrf2/HO-1 pathway activation alleviates hepatic ischemia-reperfusion injury. Cell Death Dis. 2017;8(6):e2841. </w:t>
      </w:r>
    </w:p>
    <w:p w14:paraId="2CCFAE02" w14:textId="13C1519B" w:rsidR="00331973" w:rsidRPr="0092758A" w:rsidRDefault="0092758A" w:rsidP="00C822B4">
      <w:pPr>
        <w:pStyle w:val="20"/>
        <w:spacing w:after="0" w:line="276" w:lineRule="auto"/>
        <w:rPr>
          <w:rFonts w:ascii="Times New Roman" w:hAnsi="Times New Roman" w:cs="Times New Roman"/>
          <w:sz w:val="22"/>
          <w:szCs w:val="22"/>
        </w:rPr>
      </w:pPr>
      <w:r w:rsidRPr="0092758A">
        <w:rPr>
          <w:rFonts w:ascii="Times New Roman" w:hAnsi="Times New Roman" w:cs="Times New Roman"/>
          <w:sz w:val="22"/>
          <w:szCs w:val="22"/>
        </w:rPr>
        <w:t>7</w:t>
      </w:r>
      <w:r w:rsidRPr="0092758A">
        <w:rPr>
          <w:rFonts w:ascii="Times New Roman" w:hAnsi="Times New Roman" w:cs="Times New Roman"/>
          <w:sz w:val="22"/>
          <w:szCs w:val="22"/>
        </w:rPr>
        <w:tab/>
        <w:t xml:space="preserve">Sun W, </w:t>
      </w:r>
      <w:r w:rsidRPr="0092758A">
        <w:rPr>
          <w:rFonts w:ascii="Times New Roman" w:hAnsi="Times New Roman" w:cs="Times New Roman"/>
          <w:sz w:val="22"/>
          <w:szCs w:val="22"/>
        </w:rPr>
        <w:t xml:space="preserve">Yu J, Kang Q. Upregulation of heme oxygenase-1 by Brahma-related gene 1 through Nrf2 signaling confers protective effect against high glucose-induced oxidative damage of retinal ganglion cells. Eur J Pharmacol. 2020;875:173038. </w:t>
      </w:r>
    </w:p>
    <w:p w14:paraId="057F9049" w14:textId="77777777" w:rsidR="00331973" w:rsidRPr="0092758A" w:rsidRDefault="0092758A" w:rsidP="00C822B4">
      <w:pPr>
        <w:spacing w:line="276" w:lineRule="auto"/>
        <w:rPr>
          <w:rFonts w:ascii="Times New Roman" w:hAnsi="Times New Roman" w:cs="Times New Roman"/>
          <w:b/>
          <w:bCs/>
          <w:sz w:val="24"/>
        </w:rPr>
      </w:pPr>
      <w:r w:rsidRPr="0092758A">
        <w:rPr>
          <w:rFonts w:ascii="Times New Roman" w:hAnsi="Times New Roman" w:cs="Times New Roman"/>
          <w:b/>
          <w:bCs/>
          <w:sz w:val="22"/>
          <w:szCs w:val="22"/>
        </w:rPr>
        <w:fldChar w:fldCharType="end"/>
      </w:r>
    </w:p>
    <w:p w14:paraId="792F171D" w14:textId="73A5ED1D" w:rsidR="00331973" w:rsidRPr="0092758A" w:rsidRDefault="0092758A">
      <w:pPr>
        <w:jc w:val="left"/>
        <w:rPr>
          <w:rFonts w:ascii="Times New Roman" w:hAnsi="Times New Roman"/>
          <w:kern w:val="21"/>
          <w:szCs w:val="21"/>
        </w:rPr>
      </w:pPr>
      <w:r w:rsidRPr="0092758A">
        <w:rPr>
          <w:rFonts w:ascii="Times New Roman" w:hAnsi="Times New Roman" w:cs="Times New Roman"/>
          <w:b/>
          <w:bCs/>
          <w:sz w:val="24"/>
        </w:rPr>
        <w:br w:type="page"/>
      </w:r>
      <w:r w:rsidRPr="0092758A">
        <w:rPr>
          <w:rFonts w:ascii="Times New Roman" w:hAnsi="Times New Roman" w:cs="Times New Roman"/>
          <w:b/>
          <w:bCs/>
          <w:sz w:val="22"/>
        </w:rPr>
        <w:t>Supplementary Figure S</w:t>
      </w:r>
      <w:r w:rsidRPr="0092758A">
        <w:rPr>
          <w:rFonts w:ascii="Times New Roman" w:hAnsi="Times New Roman" w:cs="Times New Roman"/>
          <w:b/>
          <w:bCs/>
          <w:sz w:val="22"/>
        </w:rPr>
        <w:t xml:space="preserve">1. </w:t>
      </w:r>
      <w:r w:rsidRPr="0092758A">
        <w:rPr>
          <w:rFonts w:ascii="Times New Roman" w:hAnsi="Times New Roman" w:cs="Times New Roman"/>
          <w:b/>
          <w:bCs/>
          <w:szCs w:val="21"/>
        </w:rPr>
        <w:t xml:space="preserve">Immunofluorescence images showing changes in BRG1 fluorescence intensity following subconjunctival injection. </w:t>
      </w:r>
      <w:r w:rsidRPr="0092758A">
        <w:rPr>
          <w:rFonts w:ascii="Times New Roman" w:hAnsi="Times New Roman" w:cs="Times New Roman"/>
          <w:szCs w:val="21"/>
        </w:rPr>
        <w:t xml:space="preserve">Groups: control (Ctrl), diabetic (DM), DM + subconjunctival empty vector control (DM+VC), subconjunctival pCMV-Smarca4-3flag-mcmv-EGFP (BRG1-OE), </w:t>
      </w:r>
      <w:r w:rsidR="00A61BD2" w:rsidRPr="0092758A">
        <w:rPr>
          <w:rFonts w:ascii="Times New Roman" w:hAnsi="Times New Roman" w:cs="Times New Roman"/>
          <w:szCs w:val="21"/>
        </w:rPr>
        <w:t>subconjunctival m-Smarca4 shRNA1</w:t>
      </w:r>
      <w:r w:rsidR="00A61BD2" w:rsidRPr="0092758A">
        <w:rPr>
          <w:rFonts w:ascii="Times New Roman" w:hAnsi="Times New Roman" w:cs="Times New Roman" w:hint="eastAsia"/>
          <w:szCs w:val="21"/>
        </w:rPr>
        <w:t xml:space="preserve"> </w:t>
      </w:r>
      <w:r w:rsidRPr="0092758A">
        <w:rPr>
          <w:rFonts w:ascii="Times New Roman" w:hAnsi="Times New Roman" w:cs="Times New Roman"/>
          <w:szCs w:val="21"/>
        </w:rPr>
        <w:t>(</w:t>
      </w:r>
      <w:r w:rsidR="00A61BD2" w:rsidRPr="0092758A">
        <w:rPr>
          <w:rFonts w:ascii="Times New Roman" w:hAnsi="Times New Roman" w:cs="Times New Roman"/>
          <w:szCs w:val="21"/>
        </w:rPr>
        <w:t>BRG1-KD</w:t>
      </w:r>
      <w:r w:rsidRPr="0092758A">
        <w:rPr>
          <w:rFonts w:ascii="Times New Roman" w:hAnsi="Times New Roman" w:cs="Times New Roman"/>
          <w:szCs w:val="21"/>
        </w:rPr>
        <w:t xml:space="preserve">). </w:t>
      </w:r>
      <w:r w:rsidRPr="0092758A">
        <w:rPr>
          <w:rFonts w:ascii="Times New Roman" w:hAnsi="Times New Roman" w:cs="Times New Roman"/>
          <w:iCs/>
          <w:szCs w:val="21"/>
        </w:rPr>
        <w:t xml:space="preserve">Scale bars: 50 </w:t>
      </w:r>
      <w:proofErr w:type="spellStart"/>
      <w:r w:rsidRPr="0092758A">
        <w:rPr>
          <w:rFonts w:ascii="Times New Roman" w:hAnsi="Times New Roman" w:cs="Times New Roman"/>
          <w:iCs/>
          <w:szCs w:val="21"/>
        </w:rPr>
        <w:t>μm</w:t>
      </w:r>
      <w:proofErr w:type="spellEnd"/>
      <w:r w:rsidRPr="0092758A">
        <w:rPr>
          <w:rFonts w:ascii="Times New Roman" w:hAnsi="Times New Roman" w:cs="Times New Roman"/>
          <w:iCs/>
          <w:szCs w:val="21"/>
        </w:rPr>
        <w:t>. BRG1</w:t>
      </w:r>
      <w:r w:rsidR="00A61BD2" w:rsidRPr="0092758A">
        <w:rPr>
          <w:rFonts w:ascii="Times New Roman" w:hAnsi="Times New Roman" w:cs="Times New Roman" w:hint="eastAsia"/>
          <w:iCs/>
          <w:szCs w:val="21"/>
        </w:rPr>
        <w:t xml:space="preserve">, </w:t>
      </w:r>
      <w:r w:rsidRPr="0092758A">
        <w:rPr>
          <w:rFonts w:ascii="Times New Roman" w:hAnsi="Times New Roman"/>
          <w:kern w:val="21"/>
          <w:szCs w:val="21"/>
        </w:rPr>
        <w:t>Brahma-related gene 1</w:t>
      </w:r>
      <w:r w:rsidR="00A61BD2" w:rsidRPr="0092758A">
        <w:rPr>
          <w:rFonts w:ascii="Times New Roman" w:hAnsi="Times New Roman" w:hint="eastAsia"/>
          <w:kern w:val="21"/>
          <w:szCs w:val="21"/>
        </w:rPr>
        <w:t xml:space="preserve">; </w:t>
      </w:r>
      <w:r w:rsidRPr="0092758A">
        <w:rPr>
          <w:rFonts w:ascii="Times New Roman" w:hAnsi="Times New Roman" w:cs="Times New Roman"/>
          <w:iCs/>
          <w:szCs w:val="21"/>
        </w:rPr>
        <w:t>DAPI</w:t>
      </w:r>
      <w:r w:rsidR="00A61BD2" w:rsidRPr="0092758A">
        <w:rPr>
          <w:rFonts w:ascii="Times New Roman" w:hAnsi="Times New Roman" w:cs="Times New Roman" w:hint="eastAsia"/>
          <w:iCs/>
          <w:szCs w:val="21"/>
        </w:rPr>
        <w:t xml:space="preserve">, </w:t>
      </w:r>
      <w:r w:rsidRPr="0092758A">
        <w:rPr>
          <w:rFonts w:ascii="Times New Roman" w:hAnsi="Times New Roman" w:hint="eastAsia"/>
          <w:kern w:val="21"/>
          <w:szCs w:val="21"/>
        </w:rPr>
        <w:t>4',6-</w:t>
      </w:r>
      <w:r w:rsidR="009E1444" w:rsidRPr="0092758A">
        <w:rPr>
          <w:rFonts w:ascii="Times New Roman" w:hAnsi="Times New Roman"/>
          <w:kern w:val="21"/>
          <w:szCs w:val="21"/>
        </w:rPr>
        <w:t>diamidino-2-ph</w:t>
      </w:r>
      <w:r w:rsidRPr="0092758A">
        <w:rPr>
          <w:rFonts w:ascii="Times New Roman" w:hAnsi="Times New Roman" w:hint="eastAsia"/>
          <w:kern w:val="21"/>
          <w:szCs w:val="21"/>
        </w:rPr>
        <w:t>enylindole</w:t>
      </w:r>
      <w:r w:rsidRPr="0092758A">
        <w:rPr>
          <w:rFonts w:ascii="Times New Roman" w:hAnsi="Times New Roman"/>
          <w:kern w:val="21"/>
          <w:szCs w:val="21"/>
        </w:rPr>
        <w:t xml:space="preserve"> </w:t>
      </w:r>
    </w:p>
    <w:p w14:paraId="00A3EF42" w14:textId="77777777" w:rsidR="00331973" w:rsidRPr="0092758A" w:rsidRDefault="00331973">
      <w:pPr>
        <w:rPr>
          <w:rFonts w:ascii="Times New Roman" w:hAnsi="Times New Roman" w:cs="Times New Roman"/>
          <w:szCs w:val="21"/>
        </w:rPr>
      </w:pPr>
    </w:p>
    <w:p w14:paraId="5DE4BFCB" w14:textId="77777777" w:rsidR="00331973" w:rsidRPr="0092758A" w:rsidRDefault="0092758A">
      <w:pPr>
        <w:widowControl/>
        <w:jc w:val="left"/>
        <w:rPr>
          <w:rFonts w:ascii="Times New Roman" w:hAnsi="Times New Roman" w:cs="Times New Roman"/>
          <w:b/>
          <w:bCs/>
          <w:sz w:val="24"/>
        </w:rPr>
      </w:pPr>
      <w:r w:rsidRPr="0092758A">
        <w:rPr>
          <w:rFonts w:ascii="Times New Roman" w:hAnsi="Times New Roman" w:cs="Times New Roman" w:hint="eastAsia"/>
          <w:b/>
          <w:bCs/>
          <w:noProof/>
          <w:sz w:val="24"/>
          <w:lang w:val="en-IN" w:eastAsia="en-IN"/>
        </w:rPr>
        <w:drawing>
          <wp:inline distT="0" distB="0" distL="114300" distR="114300" wp14:anchorId="11DBE96F" wp14:editId="3C970E6F">
            <wp:extent cx="5262880" cy="6570345"/>
            <wp:effectExtent l="0" t="0" r="7620" b="825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4"/>
                    <a:stretch>
                      <a:fillRect/>
                    </a:stretch>
                  </pic:blipFill>
                  <pic:spPr>
                    <a:xfrm>
                      <a:off x="0" y="0"/>
                      <a:ext cx="5262880" cy="6570345"/>
                    </a:xfrm>
                    <a:prstGeom prst="rect">
                      <a:avLst/>
                    </a:prstGeom>
                  </pic:spPr>
                </pic:pic>
              </a:graphicData>
            </a:graphic>
          </wp:inline>
        </w:drawing>
      </w:r>
    </w:p>
    <w:p w14:paraId="02BE5238" w14:textId="77777777" w:rsidR="00331973" w:rsidRPr="0092758A" w:rsidRDefault="00331973">
      <w:pPr>
        <w:widowControl/>
        <w:jc w:val="left"/>
        <w:rPr>
          <w:rFonts w:ascii="Times New Roman" w:hAnsi="Times New Roman" w:cs="Times New Roman"/>
          <w:b/>
          <w:bCs/>
          <w:sz w:val="24"/>
        </w:rPr>
      </w:pPr>
    </w:p>
    <w:p w14:paraId="2CE82351" w14:textId="77777777" w:rsidR="00331973" w:rsidRPr="0092758A" w:rsidRDefault="00331973">
      <w:pPr>
        <w:jc w:val="left"/>
        <w:rPr>
          <w:rFonts w:ascii="Times New Roman" w:hAnsi="Times New Roman" w:cs="Times New Roman"/>
          <w:b/>
          <w:bCs/>
          <w:szCs w:val="21"/>
        </w:rPr>
      </w:pPr>
    </w:p>
    <w:p w14:paraId="17919366" w14:textId="77777777" w:rsidR="00331973" w:rsidRPr="0092758A" w:rsidRDefault="00331973">
      <w:pPr>
        <w:jc w:val="left"/>
        <w:rPr>
          <w:rFonts w:ascii="Times New Roman" w:hAnsi="Times New Roman" w:cs="Times New Roman"/>
          <w:b/>
          <w:bCs/>
          <w:szCs w:val="21"/>
        </w:rPr>
      </w:pPr>
    </w:p>
    <w:p w14:paraId="719CF48D" w14:textId="1436DAF8" w:rsidR="00331973" w:rsidRPr="0092758A" w:rsidRDefault="0092758A">
      <w:pPr>
        <w:jc w:val="left"/>
        <w:rPr>
          <w:rFonts w:ascii="Times New Roman" w:hAnsi="Times New Roman" w:cs="Times New Roman"/>
          <w:szCs w:val="21"/>
        </w:rPr>
      </w:pPr>
      <w:r w:rsidRPr="0092758A">
        <w:rPr>
          <w:rFonts w:ascii="Times New Roman" w:hAnsi="Times New Roman" w:cs="Times New Roman" w:hint="eastAsia"/>
          <w:b/>
          <w:bCs/>
          <w:szCs w:val="21"/>
        </w:rPr>
        <w:t xml:space="preserve">Supplementary Figure </w:t>
      </w:r>
      <w:r w:rsidRPr="0092758A">
        <w:rPr>
          <w:rFonts w:ascii="Times New Roman" w:hAnsi="Times New Roman" w:cs="Times New Roman"/>
          <w:b/>
          <w:bCs/>
          <w:szCs w:val="21"/>
        </w:rPr>
        <w:t>S</w:t>
      </w:r>
      <w:r w:rsidRPr="0092758A">
        <w:rPr>
          <w:rFonts w:ascii="Times New Roman" w:hAnsi="Times New Roman" w:cs="Times New Roman" w:hint="eastAsia"/>
          <w:b/>
          <w:bCs/>
          <w:szCs w:val="21"/>
        </w:rPr>
        <w:t>2. Changes in epithelial healing and corneal nerve density after subconjunctival BRG1 intervention.</w:t>
      </w:r>
      <w:r w:rsidRPr="0092758A">
        <w:rPr>
          <w:rFonts w:ascii="Times New Roman" w:hAnsi="Times New Roman" w:cs="Times New Roman"/>
          <w:b/>
          <w:bCs/>
          <w:szCs w:val="21"/>
        </w:rPr>
        <w:t xml:space="preserve"> a</w:t>
      </w:r>
      <w:r w:rsidRPr="0092758A">
        <w:rPr>
          <w:rFonts w:ascii="Times New Roman" w:hAnsi="Times New Roman" w:cs="Times New Roman" w:hint="eastAsia"/>
          <w:b/>
          <w:bCs/>
          <w:szCs w:val="21"/>
        </w:rPr>
        <w:t xml:space="preserve"> </w:t>
      </w:r>
      <w:r w:rsidRPr="0092758A">
        <w:rPr>
          <w:rFonts w:ascii="Times New Roman" w:hAnsi="Times New Roman" w:cs="Times New Roman" w:hint="eastAsia"/>
          <w:szCs w:val="21"/>
        </w:rPr>
        <w:t>Dynamic corneal epithelial healing post-debridement.</w:t>
      </w:r>
      <w:r w:rsidRPr="0092758A">
        <w:rPr>
          <w:rFonts w:ascii="Times New Roman" w:hAnsi="Times New Roman" w:cs="Times New Roman" w:hint="eastAsia"/>
          <w:b/>
          <w:bCs/>
          <w:szCs w:val="21"/>
        </w:rPr>
        <w:t xml:space="preserve"> </w:t>
      </w:r>
      <w:r w:rsidRPr="0092758A">
        <w:rPr>
          <w:rFonts w:ascii="Times New Roman" w:hAnsi="Times New Roman" w:cs="Times New Roman" w:hint="eastAsia"/>
          <w:szCs w:val="21"/>
        </w:rPr>
        <w:t xml:space="preserve">Groups: </w:t>
      </w:r>
      <w:r w:rsidRPr="0092758A">
        <w:rPr>
          <w:rFonts w:ascii="Times New Roman" w:hAnsi="Times New Roman" w:cs="Times New Roman"/>
          <w:szCs w:val="21"/>
        </w:rPr>
        <w:t>c</w:t>
      </w:r>
      <w:r w:rsidRPr="0092758A">
        <w:rPr>
          <w:rFonts w:ascii="Times New Roman" w:hAnsi="Times New Roman" w:cs="Times New Roman" w:hint="eastAsia"/>
          <w:szCs w:val="21"/>
        </w:rPr>
        <w:t xml:space="preserve">ontrol (Ctrl), </w:t>
      </w:r>
      <w:r w:rsidRPr="0092758A">
        <w:rPr>
          <w:rFonts w:ascii="Times New Roman" w:hAnsi="Times New Roman" w:cs="Times New Roman"/>
          <w:szCs w:val="21"/>
        </w:rPr>
        <w:t>d</w:t>
      </w:r>
      <w:r w:rsidRPr="0092758A">
        <w:rPr>
          <w:rFonts w:ascii="Times New Roman" w:hAnsi="Times New Roman" w:cs="Times New Roman" w:hint="eastAsia"/>
          <w:szCs w:val="21"/>
        </w:rPr>
        <w:t xml:space="preserve">iabetic (DM), DM + </w:t>
      </w:r>
      <w:r w:rsidRPr="0092758A">
        <w:rPr>
          <w:rFonts w:ascii="Times New Roman" w:hAnsi="Times New Roman" w:cs="Times New Roman" w:hint="eastAsia"/>
          <w:szCs w:val="21"/>
        </w:rPr>
        <w:t>subconjunctival empty vector control (DM+VC), subconjunctival pCMV-Smarca4-3flag-mcmv-EGFP (BRG1-OE), subconjunctival m-Smarca4 shRNA1 (BRG1-KD).</w:t>
      </w:r>
      <w:r w:rsidRPr="0092758A">
        <w:rPr>
          <w:rFonts w:ascii="Times New Roman" w:hAnsi="Times New Roman" w:cs="Times New Roman"/>
          <w:szCs w:val="21"/>
        </w:rPr>
        <w:t xml:space="preserve"> </w:t>
      </w:r>
      <w:r w:rsidRPr="0092758A">
        <w:rPr>
          <w:rFonts w:ascii="Times New Roman" w:hAnsi="Times New Roman" w:cs="Times New Roman"/>
          <w:b/>
          <w:bCs/>
          <w:szCs w:val="21"/>
        </w:rPr>
        <w:t>a1</w:t>
      </w:r>
      <w:r w:rsidRPr="0092758A">
        <w:rPr>
          <w:rFonts w:ascii="Times New Roman" w:hAnsi="Times New Roman" w:cs="Times New Roman" w:hint="eastAsia"/>
          <w:szCs w:val="21"/>
        </w:rPr>
        <w:t xml:space="preserve"> Representative sodium fluorescein staining images at 0, 12, 24, and 36 hours. </w:t>
      </w:r>
      <w:r w:rsidRPr="0092758A">
        <w:rPr>
          <w:rFonts w:ascii="Times New Roman" w:hAnsi="Times New Roman" w:cs="Times New Roman"/>
          <w:b/>
          <w:bCs/>
          <w:szCs w:val="21"/>
        </w:rPr>
        <w:t>a2</w:t>
      </w:r>
      <w:r w:rsidRPr="0092758A">
        <w:rPr>
          <w:rFonts w:ascii="Times New Roman" w:hAnsi="Times New Roman" w:cs="Times New Roman" w:hint="eastAsia"/>
          <w:szCs w:val="21"/>
        </w:rPr>
        <w:t xml:space="preserve"> Quantified epithelial defe</w:t>
      </w:r>
      <w:r w:rsidRPr="0092758A">
        <w:rPr>
          <w:rFonts w:ascii="Times New Roman" w:hAnsi="Times New Roman" w:cs="Times New Roman" w:hint="eastAsia"/>
          <w:szCs w:val="21"/>
        </w:rPr>
        <w:t xml:space="preserve">ct area (%). </w:t>
      </w:r>
      <w:r w:rsidRPr="0092758A">
        <w:rPr>
          <w:rFonts w:ascii="Times New Roman" w:hAnsi="Times New Roman" w:cs="Times New Roman"/>
          <w:b/>
          <w:bCs/>
          <w:szCs w:val="21"/>
        </w:rPr>
        <w:t>b</w:t>
      </w:r>
      <w:r w:rsidRPr="0092758A">
        <w:rPr>
          <w:rFonts w:ascii="Times New Roman" w:hAnsi="Times New Roman" w:cs="Times New Roman" w:hint="eastAsia"/>
          <w:szCs w:val="21"/>
        </w:rPr>
        <w:t xml:space="preserve"> Corneal nerve regeneration analysis (n</w:t>
      </w:r>
      <w:r w:rsidRPr="0092758A">
        <w:rPr>
          <w:rFonts w:ascii="Times New Roman" w:hAnsi="Times New Roman" w:cs="Times New Roman"/>
          <w:szCs w:val="21"/>
        </w:rPr>
        <w:t xml:space="preserve"> </w:t>
      </w:r>
      <w:r w:rsidRPr="0092758A">
        <w:rPr>
          <w:rFonts w:ascii="Times New Roman" w:hAnsi="Times New Roman" w:cs="Times New Roman" w:hint="eastAsia"/>
          <w:szCs w:val="21"/>
        </w:rPr>
        <w:t>=</w:t>
      </w:r>
      <w:r w:rsidRPr="0092758A">
        <w:rPr>
          <w:rFonts w:ascii="Times New Roman" w:hAnsi="Times New Roman" w:cs="Times New Roman"/>
          <w:szCs w:val="21"/>
        </w:rPr>
        <w:t xml:space="preserve"> </w:t>
      </w:r>
      <w:r w:rsidRPr="0092758A">
        <w:rPr>
          <w:rFonts w:ascii="Times New Roman" w:hAnsi="Times New Roman" w:cs="Times New Roman" w:hint="eastAsia"/>
          <w:szCs w:val="21"/>
        </w:rPr>
        <w:t>6).</w:t>
      </w:r>
      <w:r w:rsidRPr="0092758A">
        <w:rPr>
          <w:rFonts w:ascii="Times New Roman" w:hAnsi="Times New Roman" w:cs="Times New Roman" w:hint="eastAsia"/>
          <w:b/>
          <w:bCs/>
          <w:szCs w:val="21"/>
        </w:rPr>
        <w:t xml:space="preserve"> </w:t>
      </w:r>
      <w:r w:rsidR="007E749B" w:rsidRPr="0092758A">
        <w:rPr>
          <w:rFonts w:ascii="Times New Roman" w:hAnsi="Times New Roman" w:cs="Times New Roman"/>
          <w:b/>
          <w:bCs/>
          <w:szCs w:val="21"/>
        </w:rPr>
        <w:t>b</w:t>
      </w:r>
      <w:r w:rsidR="007E749B" w:rsidRPr="0092758A">
        <w:rPr>
          <w:rFonts w:ascii="Times New Roman" w:hAnsi="Times New Roman" w:cs="Times New Roman" w:hint="eastAsia"/>
          <w:b/>
          <w:bCs/>
          <w:szCs w:val="21"/>
        </w:rPr>
        <w:t>1</w:t>
      </w:r>
      <w:r w:rsidRPr="0092758A">
        <w:rPr>
          <w:rFonts w:ascii="Times New Roman" w:hAnsi="Times New Roman" w:cs="Times New Roman"/>
          <w:b/>
          <w:bCs/>
          <w:szCs w:val="21"/>
        </w:rPr>
        <w:t xml:space="preserve"> </w:t>
      </w:r>
      <w:r w:rsidRPr="0092758A">
        <w:rPr>
          <w:rFonts w:ascii="Times New Roman" w:hAnsi="Times New Roman" w:cs="Times New Roman" w:hint="eastAsia"/>
          <w:szCs w:val="21"/>
        </w:rPr>
        <w:t xml:space="preserve">Representative </w:t>
      </w:r>
      <w:r w:rsidRPr="0092758A">
        <w:rPr>
          <w:rFonts w:ascii="Times New Roman" w:hAnsi="Times New Roman" w:cs="Times New Roman"/>
          <w:szCs w:val="21"/>
        </w:rPr>
        <w:t>β</w:t>
      </w:r>
      <w:r w:rsidRPr="0092758A">
        <w:rPr>
          <w:rFonts w:ascii="Times New Roman" w:hAnsi="Times New Roman" w:cs="Times New Roman" w:hint="eastAsia"/>
          <w:szCs w:val="21"/>
        </w:rPr>
        <w:t xml:space="preserve">III-tubulin-stained whole-mount images. </w:t>
      </w:r>
      <w:r w:rsidRPr="0092758A">
        <w:rPr>
          <w:rFonts w:ascii="Times New Roman" w:hAnsi="Times New Roman" w:cs="Times New Roman"/>
          <w:b/>
          <w:szCs w:val="21"/>
        </w:rPr>
        <w:t>b2</w:t>
      </w:r>
      <w:r w:rsidRPr="0092758A">
        <w:rPr>
          <w:rFonts w:ascii="Times New Roman" w:hAnsi="Times New Roman" w:cs="Times New Roman" w:hint="eastAsia"/>
          <w:szCs w:val="21"/>
        </w:rPr>
        <w:t xml:space="preserve"> Quantitative analysis of corneal nerve fiber density.</w:t>
      </w:r>
      <w:r w:rsidRPr="0092758A">
        <w:rPr>
          <w:rFonts w:ascii="Times New Roman" w:hAnsi="Times New Roman" w:cs="Times New Roman" w:hint="eastAsia"/>
          <w:b/>
          <w:bCs/>
          <w:szCs w:val="21"/>
        </w:rPr>
        <w:t xml:space="preserve"> </w:t>
      </w:r>
      <w:r w:rsidRPr="0092758A">
        <w:rPr>
          <w:rFonts w:ascii="Times New Roman" w:hAnsi="Times New Roman" w:cs="Times New Roman"/>
          <w:b/>
          <w:bCs/>
          <w:szCs w:val="21"/>
        </w:rPr>
        <w:t>c</w:t>
      </w:r>
      <w:r w:rsidRPr="0092758A">
        <w:rPr>
          <w:rFonts w:ascii="Times New Roman" w:hAnsi="Times New Roman" w:cs="Times New Roman" w:hint="eastAsia"/>
          <w:szCs w:val="21"/>
        </w:rPr>
        <w:t xml:space="preserve"> Corneal sensitivity threshold across groups (n</w:t>
      </w:r>
      <w:r w:rsidRPr="0092758A">
        <w:rPr>
          <w:rFonts w:ascii="Times New Roman" w:hAnsi="Times New Roman" w:cs="Times New Roman"/>
          <w:szCs w:val="21"/>
        </w:rPr>
        <w:t xml:space="preserve"> </w:t>
      </w:r>
      <w:r w:rsidRPr="0092758A">
        <w:rPr>
          <w:rFonts w:ascii="Times New Roman" w:hAnsi="Times New Roman" w:cs="Times New Roman" w:hint="eastAsia"/>
          <w:szCs w:val="21"/>
        </w:rPr>
        <w:t>=</w:t>
      </w:r>
      <w:r w:rsidRPr="0092758A">
        <w:rPr>
          <w:rFonts w:ascii="Times New Roman" w:hAnsi="Times New Roman" w:cs="Times New Roman"/>
          <w:szCs w:val="21"/>
        </w:rPr>
        <w:t xml:space="preserve"> </w:t>
      </w:r>
      <w:r w:rsidRPr="0092758A">
        <w:rPr>
          <w:rFonts w:ascii="Times New Roman" w:hAnsi="Times New Roman" w:cs="Times New Roman" w:hint="eastAsia"/>
          <w:szCs w:val="21"/>
        </w:rPr>
        <w:t>6).</w:t>
      </w:r>
      <w:r w:rsidRPr="0092758A">
        <w:rPr>
          <w:rFonts w:ascii="Times New Roman" w:hAnsi="Times New Roman" w:cs="Times New Roman" w:hint="eastAsia"/>
          <w:iCs/>
          <w:szCs w:val="21"/>
        </w:rPr>
        <w:t xml:space="preserve"> </w:t>
      </w:r>
      <w:r w:rsidR="00024C1C" w:rsidRPr="0092758A">
        <w:rPr>
          <w:rFonts w:ascii="Times New Roman" w:hAnsi="Times New Roman" w:cs="Times New Roman" w:hint="eastAsia"/>
          <w:iCs/>
          <w:szCs w:val="21"/>
        </w:rPr>
        <w:t>Scale bars:</w:t>
      </w:r>
      <w:r w:rsidR="00024C1C" w:rsidRPr="0092758A">
        <w:rPr>
          <w:rFonts w:ascii="Times New Roman" w:hAnsi="Times New Roman" w:cs="Times New Roman"/>
          <w:iCs/>
          <w:szCs w:val="21"/>
        </w:rPr>
        <w:t xml:space="preserve"> </w:t>
      </w:r>
      <w:r w:rsidR="00024C1C" w:rsidRPr="0092758A">
        <w:rPr>
          <w:rFonts w:ascii="Times New Roman" w:hAnsi="Times New Roman" w:cs="Times New Roman" w:hint="eastAsia"/>
          <w:iCs/>
          <w:szCs w:val="21"/>
        </w:rPr>
        <w:t>50</w:t>
      </w:r>
      <w:r w:rsidR="00024C1C" w:rsidRPr="0092758A">
        <w:rPr>
          <w:rFonts w:ascii="Times New Roman" w:hAnsi="Times New Roman" w:cs="Times New Roman"/>
          <w:iCs/>
          <w:szCs w:val="21"/>
        </w:rPr>
        <w:t xml:space="preserve"> </w:t>
      </w:r>
      <w:proofErr w:type="spellStart"/>
      <w:r w:rsidR="00024C1C" w:rsidRPr="0092758A">
        <w:rPr>
          <w:rFonts w:ascii="Times New Roman" w:hAnsi="Times New Roman" w:cs="Times New Roman"/>
          <w:iCs/>
          <w:szCs w:val="21"/>
        </w:rPr>
        <w:t>μm</w:t>
      </w:r>
      <w:proofErr w:type="spellEnd"/>
      <w:r w:rsidR="00024C1C" w:rsidRPr="0092758A">
        <w:rPr>
          <w:rFonts w:ascii="Times New Roman" w:hAnsi="Times New Roman" w:cs="Times New Roman" w:hint="eastAsia"/>
          <w:iCs/>
          <w:szCs w:val="21"/>
        </w:rPr>
        <w:t xml:space="preserve">. </w:t>
      </w:r>
      <w:r w:rsidRPr="0092758A">
        <w:rPr>
          <w:rFonts w:ascii="Times New Roman" w:hAnsi="Times New Roman" w:cs="Times New Roman" w:hint="eastAsia"/>
          <w:iCs/>
          <w:szCs w:val="21"/>
        </w:rPr>
        <w:t>ns</w:t>
      </w:r>
      <w:r w:rsidRPr="0092758A">
        <w:rPr>
          <w:rFonts w:ascii="Times New Roman" w:hAnsi="Times New Roman" w:cs="Times New Roman"/>
          <w:iCs/>
          <w:szCs w:val="21"/>
        </w:rPr>
        <w:t xml:space="preserve">, </w:t>
      </w:r>
      <w:r w:rsidRPr="0092758A">
        <w:rPr>
          <w:rFonts w:ascii="Times New Roman" w:hAnsi="Times New Roman" w:cs="Times New Roman"/>
          <w:iCs/>
          <w:szCs w:val="21"/>
        </w:rPr>
        <w:t>not significant;</w:t>
      </w:r>
      <w:r w:rsidRPr="0092758A">
        <w:rPr>
          <w:rFonts w:ascii="Times New Roman" w:hAnsi="Times New Roman" w:cs="Times New Roman" w:hint="eastAsia"/>
          <w:iCs/>
          <w:szCs w:val="21"/>
        </w:rPr>
        <w:t xml:space="preserve"> *</w:t>
      </w:r>
      <w:r w:rsidR="007E749B" w:rsidRPr="0092758A">
        <w:rPr>
          <w:rFonts w:ascii="Times New Roman" w:hAnsi="Times New Roman" w:cs="Times New Roman" w:hint="eastAsia"/>
          <w:iCs/>
          <w:szCs w:val="21"/>
        </w:rPr>
        <w:t xml:space="preserve">, </w:t>
      </w:r>
      <w:r w:rsidRPr="0092758A">
        <w:rPr>
          <w:rFonts w:ascii="Times New Roman" w:hAnsi="Times New Roman" w:cs="Times New Roman"/>
          <w:i/>
          <w:iCs/>
          <w:szCs w:val="21"/>
        </w:rPr>
        <w:t xml:space="preserve">P </w:t>
      </w:r>
      <w:r w:rsidRPr="0092758A">
        <w:rPr>
          <w:rFonts w:ascii="Times New Roman" w:hAnsi="Times New Roman" w:cs="Times New Roman" w:hint="eastAsia"/>
          <w:iCs/>
          <w:szCs w:val="21"/>
        </w:rPr>
        <w:t>&lt;</w:t>
      </w:r>
      <w:r w:rsidRPr="0092758A">
        <w:rPr>
          <w:rFonts w:ascii="Times New Roman" w:hAnsi="Times New Roman" w:cs="Times New Roman"/>
          <w:iCs/>
          <w:szCs w:val="21"/>
        </w:rPr>
        <w:t xml:space="preserve"> </w:t>
      </w:r>
      <w:r w:rsidRPr="0092758A">
        <w:rPr>
          <w:rFonts w:ascii="Times New Roman" w:hAnsi="Times New Roman" w:cs="Times New Roman" w:hint="eastAsia"/>
          <w:iCs/>
          <w:szCs w:val="21"/>
        </w:rPr>
        <w:t>0.05; **,</w:t>
      </w:r>
      <w:r w:rsidRPr="0092758A">
        <w:rPr>
          <w:rFonts w:ascii="Times New Roman" w:hAnsi="Times New Roman" w:cs="Times New Roman"/>
          <w:iCs/>
          <w:szCs w:val="21"/>
        </w:rPr>
        <w:t xml:space="preserve"> </w:t>
      </w:r>
      <w:r w:rsidRPr="0092758A">
        <w:rPr>
          <w:rFonts w:ascii="Times New Roman" w:hAnsi="Times New Roman" w:cs="Times New Roman"/>
          <w:i/>
          <w:iCs/>
          <w:szCs w:val="21"/>
        </w:rPr>
        <w:t xml:space="preserve">P </w:t>
      </w:r>
      <w:r w:rsidRPr="0092758A">
        <w:rPr>
          <w:rFonts w:ascii="Times New Roman" w:hAnsi="Times New Roman" w:cs="Times New Roman" w:hint="eastAsia"/>
          <w:iCs/>
          <w:szCs w:val="21"/>
        </w:rPr>
        <w:t>&lt;</w:t>
      </w:r>
      <w:r w:rsidRPr="0092758A">
        <w:rPr>
          <w:rFonts w:ascii="Times New Roman" w:hAnsi="Times New Roman" w:cs="Times New Roman"/>
          <w:iCs/>
          <w:szCs w:val="21"/>
        </w:rPr>
        <w:t xml:space="preserve"> </w:t>
      </w:r>
      <w:r w:rsidRPr="0092758A">
        <w:rPr>
          <w:rFonts w:ascii="Times New Roman" w:hAnsi="Times New Roman" w:cs="Times New Roman" w:hint="eastAsia"/>
          <w:iCs/>
          <w:szCs w:val="21"/>
        </w:rPr>
        <w:t xml:space="preserve">0.01; ***, </w:t>
      </w:r>
      <w:r w:rsidRPr="0092758A">
        <w:rPr>
          <w:rFonts w:ascii="Times New Roman" w:hAnsi="Times New Roman" w:cs="Times New Roman"/>
          <w:i/>
          <w:iCs/>
          <w:szCs w:val="21"/>
        </w:rPr>
        <w:t xml:space="preserve">P </w:t>
      </w:r>
      <w:r w:rsidRPr="0092758A">
        <w:rPr>
          <w:rFonts w:ascii="Times New Roman" w:hAnsi="Times New Roman" w:cs="Times New Roman" w:hint="eastAsia"/>
          <w:iCs/>
          <w:szCs w:val="21"/>
        </w:rPr>
        <w:t>&lt;</w:t>
      </w:r>
      <w:r w:rsidRPr="0092758A">
        <w:rPr>
          <w:rFonts w:ascii="Times New Roman" w:hAnsi="Times New Roman" w:cs="Times New Roman"/>
          <w:iCs/>
          <w:szCs w:val="21"/>
        </w:rPr>
        <w:t xml:space="preserve"> </w:t>
      </w:r>
      <w:r w:rsidRPr="0092758A">
        <w:rPr>
          <w:rFonts w:ascii="Times New Roman" w:hAnsi="Times New Roman" w:cs="Times New Roman" w:hint="eastAsia"/>
          <w:iCs/>
          <w:szCs w:val="21"/>
        </w:rPr>
        <w:t>0.001; ****,</w:t>
      </w:r>
      <w:r w:rsidRPr="0092758A">
        <w:rPr>
          <w:rFonts w:ascii="Times New Roman" w:hAnsi="Times New Roman" w:cs="Times New Roman"/>
          <w:iCs/>
          <w:szCs w:val="21"/>
        </w:rPr>
        <w:t xml:space="preserve"> </w:t>
      </w:r>
      <w:r w:rsidRPr="0092758A">
        <w:rPr>
          <w:rFonts w:ascii="Times New Roman" w:hAnsi="Times New Roman" w:cs="Times New Roman"/>
          <w:i/>
          <w:iCs/>
          <w:szCs w:val="21"/>
        </w:rPr>
        <w:t xml:space="preserve">P </w:t>
      </w:r>
      <w:r w:rsidRPr="0092758A">
        <w:rPr>
          <w:rFonts w:ascii="Times New Roman" w:hAnsi="Times New Roman" w:cs="Times New Roman" w:hint="eastAsia"/>
          <w:iCs/>
          <w:szCs w:val="21"/>
        </w:rPr>
        <w:t>&lt;</w:t>
      </w:r>
      <w:r w:rsidRPr="0092758A">
        <w:rPr>
          <w:rFonts w:ascii="Times New Roman" w:hAnsi="Times New Roman" w:cs="Times New Roman"/>
          <w:iCs/>
          <w:szCs w:val="21"/>
        </w:rPr>
        <w:t xml:space="preserve"> </w:t>
      </w:r>
      <w:r w:rsidRPr="0092758A">
        <w:rPr>
          <w:rFonts w:ascii="Times New Roman" w:hAnsi="Times New Roman" w:cs="Times New Roman" w:hint="eastAsia"/>
          <w:iCs/>
          <w:szCs w:val="21"/>
        </w:rPr>
        <w:t>0.0001</w:t>
      </w:r>
      <w:r w:rsidRPr="0092758A">
        <w:rPr>
          <w:rFonts w:ascii="Times New Roman" w:hAnsi="Times New Roman" w:cs="Times New Roman"/>
          <w:iCs/>
          <w:szCs w:val="21"/>
        </w:rPr>
        <w:t xml:space="preserve">. </w:t>
      </w:r>
    </w:p>
    <w:p w14:paraId="33E51AA7" w14:textId="77777777" w:rsidR="00331973" w:rsidRPr="0092758A" w:rsidRDefault="0092758A">
      <w:pPr>
        <w:jc w:val="left"/>
        <w:rPr>
          <w:rFonts w:ascii="Times New Roman" w:hAnsi="Times New Roman" w:cs="Times New Roman"/>
          <w:szCs w:val="21"/>
        </w:rPr>
      </w:pPr>
      <w:r w:rsidRPr="0092758A">
        <w:rPr>
          <w:rFonts w:ascii="Times New Roman" w:hAnsi="Times New Roman" w:cs="Times New Roman"/>
          <w:b/>
          <w:bCs/>
          <w:noProof/>
          <w:sz w:val="24"/>
          <w:lang w:val="en-IN" w:eastAsia="en-IN"/>
        </w:rPr>
        <w:drawing>
          <wp:inline distT="0" distB="0" distL="114300" distR="114300" wp14:anchorId="0A117A44" wp14:editId="6A1CFB34">
            <wp:extent cx="4691743" cy="6801584"/>
            <wp:effectExtent l="0" t="0" r="0" b="0"/>
            <wp:docPr id="1" name="图片 1" descr="br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rg1"/>
                    <pic:cNvPicPr>
                      <a:picLocks noChangeAspect="1"/>
                    </pic:cNvPicPr>
                  </pic:nvPicPr>
                  <pic:blipFill>
                    <a:blip r:embed="rId5"/>
                    <a:stretch>
                      <a:fillRect/>
                    </a:stretch>
                  </pic:blipFill>
                  <pic:spPr>
                    <a:xfrm>
                      <a:off x="0" y="0"/>
                      <a:ext cx="4703309" cy="6818351"/>
                    </a:xfrm>
                    <a:prstGeom prst="rect">
                      <a:avLst/>
                    </a:prstGeom>
                  </pic:spPr>
                </pic:pic>
              </a:graphicData>
            </a:graphic>
          </wp:inline>
        </w:drawing>
      </w:r>
    </w:p>
    <w:sectPr w:rsidR="00331973" w:rsidRPr="0092758A" w:rsidSect="009275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Arial Unicode MS"/>
    <w:charset w:val="86"/>
    <w:family w:val="auto"/>
    <w:pitch w:val="variable"/>
    <w:sig w:usb0="00000000"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System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A0A"/>
    <w:rsid w:val="00024C1C"/>
    <w:rsid w:val="00084A0A"/>
    <w:rsid w:val="000A1919"/>
    <w:rsid w:val="000A1C09"/>
    <w:rsid w:val="000E5C07"/>
    <w:rsid w:val="000F17B6"/>
    <w:rsid w:val="00175E83"/>
    <w:rsid w:val="001A52AC"/>
    <w:rsid w:val="001B7865"/>
    <w:rsid w:val="002533FF"/>
    <w:rsid w:val="00274A85"/>
    <w:rsid w:val="0031226E"/>
    <w:rsid w:val="00331973"/>
    <w:rsid w:val="003E1995"/>
    <w:rsid w:val="003E4DAB"/>
    <w:rsid w:val="003F4A45"/>
    <w:rsid w:val="00410C1E"/>
    <w:rsid w:val="004810EB"/>
    <w:rsid w:val="00495871"/>
    <w:rsid w:val="004C1E6E"/>
    <w:rsid w:val="004C3AFA"/>
    <w:rsid w:val="004F7DB2"/>
    <w:rsid w:val="005513BE"/>
    <w:rsid w:val="00566440"/>
    <w:rsid w:val="005865BC"/>
    <w:rsid w:val="005F78E9"/>
    <w:rsid w:val="006C439F"/>
    <w:rsid w:val="006F39A7"/>
    <w:rsid w:val="00726CA0"/>
    <w:rsid w:val="00775A34"/>
    <w:rsid w:val="007766F9"/>
    <w:rsid w:val="007A1798"/>
    <w:rsid w:val="007C4034"/>
    <w:rsid w:val="007E749B"/>
    <w:rsid w:val="00891C13"/>
    <w:rsid w:val="008A1AA6"/>
    <w:rsid w:val="008B4FCC"/>
    <w:rsid w:val="008F22B6"/>
    <w:rsid w:val="00901B56"/>
    <w:rsid w:val="00910BFF"/>
    <w:rsid w:val="0092758A"/>
    <w:rsid w:val="00932490"/>
    <w:rsid w:val="00995897"/>
    <w:rsid w:val="009B7E80"/>
    <w:rsid w:val="009C68CF"/>
    <w:rsid w:val="009E1444"/>
    <w:rsid w:val="009F5D6C"/>
    <w:rsid w:val="00A53441"/>
    <w:rsid w:val="00A61BD2"/>
    <w:rsid w:val="00A7774A"/>
    <w:rsid w:val="00AB56E0"/>
    <w:rsid w:val="00AB5F1C"/>
    <w:rsid w:val="00AD3D41"/>
    <w:rsid w:val="00AE4E29"/>
    <w:rsid w:val="00B134D1"/>
    <w:rsid w:val="00B15A7A"/>
    <w:rsid w:val="00B604AE"/>
    <w:rsid w:val="00BC2063"/>
    <w:rsid w:val="00C208B3"/>
    <w:rsid w:val="00C43DA6"/>
    <w:rsid w:val="00C61875"/>
    <w:rsid w:val="00C822B4"/>
    <w:rsid w:val="00C85424"/>
    <w:rsid w:val="00C91E06"/>
    <w:rsid w:val="00CA5A42"/>
    <w:rsid w:val="00CC3BB4"/>
    <w:rsid w:val="00CE423D"/>
    <w:rsid w:val="00D218F6"/>
    <w:rsid w:val="00D57D4F"/>
    <w:rsid w:val="00E104CD"/>
    <w:rsid w:val="00E1462D"/>
    <w:rsid w:val="00F0693D"/>
    <w:rsid w:val="00F45F46"/>
    <w:rsid w:val="00FB5424"/>
    <w:rsid w:val="00FE0B81"/>
    <w:rsid w:val="06687863"/>
    <w:rsid w:val="09F73B9B"/>
    <w:rsid w:val="10AF6A82"/>
    <w:rsid w:val="1B104875"/>
    <w:rsid w:val="204D1D3F"/>
    <w:rsid w:val="2DA06F37"/>
    <w:rsid w:val="34737FBD"/>
    <w:rsid w:val="49BE56DF"/>
    <w:rsid w:val="522171D0"/>
    <w:rsid w:val="59F92806"/>
    <w:rsid w:val="5B8F6EDB"/>
    <w:rsid w:val="637741B4"/>
    <w:rsid w:val="68E3263A"/>
    <w:rsid w:val="6D364438"/>
    <w:rsid w:val="736A7A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C7FA71"/>
  <w15:docId w15:val="{32D6838C-6EBE-49FB-8A3C-C2AD7C64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qFormat/>
    <w:pPr>
      <w:jc w:val="left"/>
    </w:pPr>
  </w:style>
  <w:style w:type="paragraph" w:styleId="BalloonText">
    <w:name w:val="Balloon Text"/>
    <w:basedOn w:val="Normal"/>
    <w:link w:val="BalloonTextChar"/>
    <w:qFormat/>
    <w:rPr>
      <w:sz w:val="18"/>
      <w:szCs w:val="18"/>
    </w:rPr>
  </w:style>
  <w:style w:type="paragraph" w:styleId="Footer">
    <w:name w:val="footer"/>
    <w:basedOn w:val="Normal"/>
    <w:link w:val="FooterChar"/>
    <w:qFormat/>
    <w:pPr>
      <w:tabs>
        <w:tab w:val="center" w:pos="4153"/>
        <w:tab w:val="right" w:pos="8306"/>
      </w:tabs>
      <w:snapToGrid w:val="0"/>
      <w:jc w:val="left"/>
    </w:pPr>
    <w:rPr>
      <w:sz w:val="18"/>
      <w:szCs w:val="18"/>
    </w:rPr>
  </w:style>
  <w:style w:type="paragraph" w:styleId="Header">
    <w:name w:val="header"/>
    <w:basedOn w:val="Normal"/>
    <w:link w:val="HeaderChar"/>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qFormat/>
    <w:rPr>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rPr>
  </w:style>
  <w:style w:type="character" w:styleId="CommentReference">
    <w:name w:val="annotation reference"/>
    <w:basedOn w:val="DefaultParagraphFont"/>
    <w:qFormat/>
    <w:rPr>
      <w:sz w:val="21"/>
      <w:szCs w:val="21"/>
    </w:rPr>
  </w:style>
  <w:style w:type="table" w:customStyle="1" w:styleId="a">
    <w:name w:val="三线"/>
    <w:basedOn w:val="TableNormal"/>
    <w:qFormat/>
    <w:rPr>
      <w:rFonts w:eastAsia="Times New Roman"/>
    </w:rPr>
    <w:tblPr>
      <w:tblBorders>
        <w:top w:val="single" w:sz="4" w:space="0" w:color="auto"/>
        <w:bottom w:val="single" w:sz="4" w:space="0" w:color="auto"/>
      </w:tblBorders>
    </w:tblPr>
    <w:tblStylePr w:type="firstRow">
      <w:tblPr/>
      <w:tcPr>
        <w:tcBorders>
          <w:bottom w:val="single" w:sz="4" w:space="0" w:color="auto"/>
        </w:tcBorders>
      </w:tcPr>
    </w:tblStylePr>
  </w:style>
  <w:style w:type="table" w:customStyle="1" w:styleId="a0">
    <w:name w:val="三线表"/>
    <w:basedOn w:val="TableNormal"/>
    <w:qFormat/>
    <w:pPr>
      <w:spacing w:line="360" w:lineRule="exact"/>
      <w:contextualSpacing/>
    </w:pPr>
    <w:rPr>
      <w:kern w:val="21"/>
      <w:sz w:val="21"/>
    </w:rPr>
    <w:tblPr>
      <w:tblBorders>
        <w:top w:val="single" w:sz="12" w:space="0" w:color="auto"/>
        <w:bottom w:val="single" w:sz="12" w:space="0" w:color="auto"/>
      </w:tblBorders>
    </w:tblPr>
    <w:tcPr>
      <w:tcBorders>
        <w:top w:val="single" w:sz="12" w:space="0" w:color="auto"/>
        <w:left w:val="nil"/>
        <w:bottom w:val="single" w:sz="12" w:space="0" w:color="auto"/>
        <w:right w:val="nil"/>
      </w:tcBorders>
      <w:vAlign w:val="center"/>
    </w:tcPr>
    <w:tblStylePr w:type="firstRow">
      <w:pPr>
        <w:wordWrap/>
        <w:spacing w:line="360" w:lineRule="exact"/>
        <w:jc w:val="center"/>
      </w:pPr>
      <w:rPr>
        <w:rFonts w:ascii="Times New Roman" w:hAnsi="Times New Roman" w:cs="Times New Roman" w:hint="default"/>
        <w:b w:val="0"/>
        <w:i w:val="0"/>
        <w:sz w:val="21"/>
        <w:szCs w:val="21"/>
      </w:rPr>
      <w:tblPr/>
      <w:tcPr>
        <w:tcBorders>
          <w:top w:val="single" w:sz="12" w:space="0" w:color="auto"/>
          <w:left w:val="nil"/>
          <w:bottom w:val="single" w:sz="6" w:space="0" w:color="auto"/>
          <w:right w:val="nil"/>
          <w:tl2br w:val="nil"/>
          <w:tr2bl w:val="nil"/>
        </w:tcBorders>
      </w:tcPr>
    </w:tblStylePr>
  </w:style>
  <w:style w:type="character" w:customStyle="1" w:styleId="HeaderChar">
    <w:name w:val="Header Char"/>
    <w:basedOn w:val="DefaultParagraphFont"/>
    <w:link w:val="Header"/>
    <w:qFormat/>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qFormat/>
    <w:rPr>
      <w:rFonts w:asciiTheme="minorHAnsi" w:eastAsiaTheme="minorEastAsia" w:hAnsiTheme="minorHAnsi" w:cstheme="minorBidi"/>
      <w:kern w:val="2"/>
      <w:sz w:val="18"/>
      <w:szCs w:val="18"/>
    </w:r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uiPriority w:val="99"/>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paragraph" w:customStyle="1" w:styleId="1">
    <w:name w:val="修订1"/>
    <w:hidden/>
    <w:uiPriority w:val="99"/>
    <w:unhideWhenUsed/>
    <w:qFormat/>
    <w:rPr>
      <w:rFonts w:asciiTheme="minorHAnsi" w:eastAsiaTheme="minorEastAsia" w:hAnsiTheme="minorHAnsi" w:cstheme="minorBidi"/>
      <w:kern w:val="2"/>
      <w:sz w:val="21"/>
      <w:szCs w:val="24"/>
    </w:rPr>
  </w:style>
  <w:style w:type="paragraph" w:customStyle="1" w:styleId="10">
    <w:name w:val="书目1"/>
    <w:basedOn w:val="Normal"/>
    <w:next w:val="Normal"/>
    <w:uiPriority w:val="37"/>
    <w:unhideWhenUsed/>
    <w:qFormat/>
    <w:pPr>
      <w:tabs>
        <w:tab w:val="left" w:pos="384"/>
      </w:tabs>
      <w:ind w:left="384" w:hanging="384"/>
    </w:pPr>
  </w:style>
  <w:style w:type="paragraph" w:customStyle="1" w:styleId="2">
    <w:name w:val="修订2"/>
    <w:hidden/>
    <w:uiPriority w:val="99"/>
    <w:unhideWhenUsed/>
    <w:qFormat/>
    <w:rPr>
      <w:rFonts w:asciiTheme="minorHAnsi" w:eastAsiaTheme="minorEastAsia" w:hAnsiTheme="minorHAnsi" w:cstheme="minorBidi"/>
      <w:kern w:val="2"/>
      <w:sz w:val="21"/>
      <w:szCs w:val="24"/>
    </w:rPr>
  </w:style>
  <w:style w:type="paragraph" w:customStyle="1" w:styleId="20">
    <w:name w:val="书目2"/>
    <w:basedOn w:val="Normal"/>
    <w:next w:val="Normal"/>
    <w:uiPriority w:val="37"/>
    <w:unhideWhenUsed/>
    <w:qFormat/>
    <w:pPr>
      <w:tabs>
        <w:tab w:val="left" w:pos="264"/>
      </w:tabs>
      <w:spacing w:after="240"/>
      <w:ind w:left="264" w:hanging="264"/>
    </w:pPr>
  </w:style>
  <w:style w:type="paragraph" w:styleId="Revision">
    <w:name w:val="Revision"/>
    <w:hidden/>
    <w:uiPriority w:val="99"/>
    <w:unhideWhenUsed/>
    <w:rsid w:val="00C43DA6"/>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3832</Words>
  <Characters>21846</Characters>
  <Application>Microsoft Office Word</Application>
  <DocSecurity>0</DocSecurity>
  <Lines>182</Lines>
  <Paragraphs>51</Paragraphs>
  <ScaleCrop>false</ScaleCrop>
  <Company/>
  <LinksUpToDate>false</LinksUpToDate>
  <CharactersWithSpaces>25627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Revathi   Thangaraj</cp:lastModifiedBy>
  <cp:revision>48</cp:revision>
  <dcterms:created xsi:type="dcterms:W3CDTF">2025-12-31T07:42:00Z</dcterms:created>
  <dcterms:modified xsi:type="dcterms:W3CDTF">2026-01-08T03:20:00Z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KSOTemplateDocerSaveRecord">
    <vt:lpwstr>eyJoZGlkIjoiYmJhMTg5OTViNTlmYTJiZTgwZWMwZDYyZTMxYTQ2NDMiLCJ1c2VySWQiOiIxMTM4NjcwODk2In0=</vt:lpwstr>
  </property>
  <property fmtid="{D5CDD505-2E9C-101B-9397-08002B2CF9AE}" pid="4" name="ICV">
    <vt:lpwstr>EAEF5EE63475478F95379C0D592E1BD7_12</vt:lpwstr>
  </property>
  <property fmtid="{D5CDD505-2E9C-101B-9397-08002B2CF9AE}" pid="5" name="ZOTERO_PREF_1">
    <vt:lpwstr>&lt;data data-version="3" zotero-version="7.0.30"&gt;&lt;session id="YLKKrbnD"/&gt;&lt;style id="http://www.zotero.org/styles/vancouver" locale="en-GB" hasBibliography="1" bibliographyStyleHasBeenSet="1"/&gt;&lt;prefs&gt;&lt;pref name="fieldType" value="Field"/&gt;&lt;/prefs&gt;&lt;/data&gt;</vt:lpwstr>
  </property>
</Properties>
</file>